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2B24A" w14:textId="77777777" w:rsidR="00917B20" w:rsidRPr="005A3656" w:rsidRDefault="00506E94" w:rsidP="00917B20">
      <w:pPr>
        <w:spacing w:line="360" w:lineRule="auto"/>
        <w:jc w:val="center"/>
        <w:rPr>
          <w:rFonts w:ascii="Times New Roman" w:hAnsi="Times New Roman" w:cs="Times New Roman"/>
          <w:b/>
          <w:bCs/>
          <w:color w:val="4472C4" w:themeColor="accent1"/>
          <w:sz w:val="28"/>
          <w:szCs w:val="28"/>
        </w:rPr>
      </w:pPr>
      <w:r w:rsidRPr="005A3656">
        <w:rPr>
          <w:rFonts w:ascii="Times New Roman" w:hAnsi="Times New Roman" w:cs="Times New Roman"/>
          <w:b/>
          <w:bCs/>
          <w:color w:val="4472C4" w:themeColor="accent1"/>
          <w:sz w:val="28"/>
          <w:szCs w:val="28"/>
        </w:rPr>
        <w:t>EVALUATION OF THE IMPACT OF WORKPLACE RELATED DISABILITIES ON THE HEALTH AND WELL BEING OF EMPLOYEES.</w:t>
      </w:r>
    </w:p>
    <w:p w14:paraId="227E52C7" w14:textId="6FC02C22" w:rsidR="00566292" w:rsidRDefault="00917B20" w:rsidP="00917B2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w:t>
      </w:r>
      <w:r w:rsidR="005A3656">
        <w:rPr>
          <w:rFonts w:ascii="Times New Roman" w:hAnsi="Times New Roman" w:cs="Times New Roman"/>
          <w:b/>
          <w:bCs/>
          <w:sz w:val="24"/>
          <w:szCs w:val="24"/>
        </w:rPr>
        <w:t>y</w:t>
      </w:r>
    </w:p>
    <w:p w14:paraId="4364261F" w14:textId="0B7FA5AD" w:rsidR="00917B20" w:rsidRDefault="00917B20" w:rsidP="00917B20">
      <w:pPr>
        <w:spacing w:line="360" w:lineRule="auto"/>
        <w:jc w:val="center"/>
        <w:rPr>
          <w:rFonts w:ascii="Times New Roman" w:hAnsi="Times New Roman" w:cs="Times New Roman"/>
          <w:b/>
          <w:bCs/>
          <w:sz w:val="24"/>
          <w:szCs w:val="24"/>
        </w:rPr>
      </w:pPr>
      <w:r w:rsidRPr="00917B20">
        <w:rPr>
          <w:rFonts w:ascii="Times New Roman" w:hAnsi="Times New Roman" w:cs="Times New Roman"/>
          <w:b/>
          <w:bCs/>
          <w:sz w:val="24"/>
          <w:szCs w:val="24"/>
          <w:vertAlign w:val="superscript"/>
        </w:rPr>
        <w:t>1</w:t>
      </w:r>
      <w:r>
        <w:rPr>
          <w:rFonts w:ascii="Times New Roman" w:hAnsi="Times New Roman" w:cs="Times New Roman"/>
          <w:b/>
          <w:bCs/>
          <w:sz w:val="24"/>
          <w:szCs w:val="24"/>
        </w:rPr>
        <w:t xml:space="preserve">OTARO MARY ASABE; </w:t>
      </w:r>
      <w:r w:rsidRPr="00917B20">
        <w:rPr>
          <w:rFonts w:ascii="Times New Roman" w:hAnsi="Times New Roman" w:cs="Times New Roman"/>
          <w:b/>
          <w:bCs/>
          <w:sz w:val="24"/>
          <w:szCs w:val="24"/>
          <w:vertAlign w:val="superscript"/>
        </w:rPr>
        <w:t>2</w:t>
      </w:r>
      <w:r>
        <w:rPr>
          <w:rFonts w:ascii="Times New Roman" w:hAnsi="Times New Roman" w:cs="Times New Roman"/>
          <w:b/>
          <w:bCs/>
          <w:sz w:val="24"/>
          <w:szCs w:val="24"/>
        </w:rPr>
        <w:t>IYADI KINGSLEY CHUKS</w:t>
      </w:r>
    </w:p>
    <w:p w14:paraId="60DEC55B" w14:textId="3BD9C7FD" w:rsidR="00917B20" w:rsidRDefault="00917B20" w:rsidP="00917B20">
      <w:pPr>
        <w:spacing w:line="360" w:lineRule="auto"/>
        <w:rPr>
          <w:rFonts w:ascii="Times New Roman" w:hAnsi="Times New Roman" w:cs="Times New Roman"/>
          <w:b/>
          <w:bCs/>
          <w:sz w:val="24"/>
          <w:szCs w:val="24"/>
        </w:rPr>
      </w:pPr>
      <w:r w:rsidRPr="00917B20">
        <w:rPr>
          <w:rFonts w:ascii="Times New Roman" w:hAnsi="Times New Roman" w:cs="Times New Roman"/>
          <w:b/>
          <w:bCs/>
          <w:sz w:val="24"/>
          <w:szCs w:val="24"/>
          <w:vertAlign w:val="superscript"/>
        </w:rPr>
        <w:t>1</w:t>
      </w:r>
      <w:r w:rsidRPr="00917B20">
        <w:rPr>
          <w:rFonts w:ascii="Times New Roman" w:hAnsi="Times New Roman" w:cs="Times New Roman"/>
          <w:b/>
          <w:bCs/>
          <w:sz w:val="24"/>
          <w:szCs w:val="24"/>
        </w:rPr>
        <w:t xml:space="preserve">NIGERIA SOCIAL INSURANCE TRUST FUND, </w:t>
      </w:r>
      <w:r w:rsidRPr="00917B20">
        <w:rPr>
          <w:rFonts w:ascii="Times New Roman" w:hAnsi="Times New Roman" w:cs="Times New Roman"/>
          <w:b/>
          <w:bCs/>
          <w:sz w:val="24"/>
          <w:szCs w:val="24"/>
          <w:vertAlign w:val="superscript"/>
        </w:rPr>
        <w:t>2</w:t>
      </w:r>
      <w:r w:rsidRPr="00917B20">
        <w:rPr>
          <w:rFonts w:ascii="Times New Roman" w:hAnsi="Times New Roman" w:cs="Times New Roman"/>
          <w:b/>
          <w:bCs/>
          <w:sz w:val="24"/>
          <w:szCs w:val="24"/>
        </w:rPr>
        <w:t xml:space="preserve">CBRTD, ABUJA NIGERIA </w:t>
      </w:r>
    </w:p>
    <w:p w14:paraId="2CD9F905" w14:textId="1F8EAFF7" w:rsidR="005A3656" w:rsidRPr="005A3656" w:rsidRDefault="005A3656" w:rsidP="005A3656">
      <w:pPr>
        <w:spacing w:line="240" w:lineRule="auto"/>
        <w:jc w:val="center"/>
        <w:rPr>
          <w:rFonts w:ascii="Times New Roman" w:hAnsi="Times New Roman" w:cs="Times New Roman"/>
          <w:b/>
          <w:bCs/>
          <w:color w:val="4472C4" w:themeColor="accent1"/>
          <w:sz w:val="24"/>
          <w:szCs w:val="24"/>
        </w:rPr>
      </w:pPr>
      <w:r w:rsidRPr="005A3656">
        <w:rPr>
          <w:rFonts w:ascii="Times New Roman" w:hAnsi="Times New Roman" w:cs="Times New Roman"/>
          <w:b/>
          <w:bCs/>
          <w:color w:val="4472C4" w:themeColor="accent1"/>
          <w:sz w:val="24"/>
          <w:szCs w:val="24"/>
        </w:rPr>
        <w:t>CORRESPONDING AUTHOR</w:t>
      </w:r>
    </w:p>
    <w:p w14:paraId="4001518D" w14:textId="0716A7D2" w:rsidR="005A3656" w:rsidRDefault="005A3656" w:rsidP="005A365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OTARO MARY ASABE</w:t>
      </w:r>
    </w:p>
    <w:p w14:paraId="2D3830E8" w14:textId="0B30D4F8" w:rsidR="005A3656" w:rsidRDefault="005A3656" w:rsidP="005A3656">
      <w:pPr>
        <w:spacing w:line="240" w:lineRule="auto"/>
        <w:jc w:val="center"/>
        <w:rPr>
          <w:rFonts w:ascii="Times New Roman" w:hAnsi="Times New Roman" w:cs="Times New Roman"/>
          <w:b/>
          <w:bCs/>
          <w:sz w:val="24"/>
          <w:szCs w:val="24"/>
        </w:rPr>
      </w:pPr>
      <w:r w:rsidRPr="00917B20">
        <w:rPr>
          <w:rFonts w:ascii="Times New Roman" w:hAnsi="Times New Roman" w:cs="Times New Roman"/>
          <w:b/>
          <w:bCs/>
          <w:sz w:val="24"/>
          <w:szCs w:val="24"/>
        </w:rPr>
        <w:t>NIGERIA SOCIAL INSURANCE TRUST FUND</w:t>
      </w:r>
    </w:p>
    <w:p w14:paraId="38896937" w14:textId="55704F7B" w:rsidR="005A3656" w:rsidRDefault="005A3656" w:rsidP="005A365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ABUJA NIGERIA</w:t>
      </w:r>
    </w:p>
    <w:p w14:paraId="50A60018" w14:textId="617CD5BB" w:rsidR="005A3656" w:rsidRDefault="005A3656" w:rsidP="005A3656">
      <w:pPr>
        <w:spacing w:line="240" w:lineRule="auto"/>
        <w:jc w:val="center"/>
        <w:rPr>
          <w:rFonts w:ascii="Times New Roman" w:hAnsi="Times New Roman" w:cs="Times New Roman"/>
          <w:b/>
          <w:bCs/>
          <w:sz w:val="24"/>
          <w:szCs w:val="24"/>
        </w:rPr>
      </w:pPr>
      <w:r>
        <w:rPr>
          <w:rFonts w:ascii="Times New Roman" w:hAnsi="Times New Roman" w:cs="Times New Roman"/>
          <w:b/>
          <w:bCs/>
          <w:sz w:val="24"/>
          <w:szCs w:val="24"/>
        </w:rPr>
        <w:t>WHATSAPP NUMBER: +2347037948733</w:t>
      </w:r>
    </w:p>
    <w:p w14:paraId="415C83A8" w14:textId="77777777" w:rsidR="005A3656" w:rsidRPr="00917B20" w:rsidRDefault="005A3656" w:rsidP="00917B20">
      <w:pPr>
        <w:spacing w:line="360" w:lineRule="auto"/>
        <w:rPr>
          <w:rFonts w:ascii="Times New Roman" w:hAnsi="Times New Roman" w:cs="Times New Roman"/>
          <w:b/>
          <w:bCs/>
          <w:sz w:val="24"/>
          <w:szCs w:val="24"/>
        </w:rPr>
      </w:pPr>
    </w:p>
    <w:p w14:paraId="64E57D5D" w14:textId="70744836" w:rsidR="00506E94" w:rsidRPr="00506E94" w:rsidRDefault="00506E94" w:rsidP="005A3656">
      <w:pPr>
        <w:spacing w:line="360" w:lineRule="auto"/>
        <w:rPr>
          <w:rFonts w:ascii="Times New Roman" w:hAnsi="Times New Roman" w:cs="Times New Roman"/>
          <w:b/>
          <w:bCs/>
          <w:i/>
          <w:iCs/>
          <w:sz w:val="24"/>
          <w:szCs w:val="24"/>
        </w:rPr>
      </w:pPr>
      <w:r w:rsidRPr="00810711">
        <w:rPr>
          <w:rFonts w:ascii="Times New Roman" w:hAnsi="Times New Roman" w:cs="Times New Roman"/>
          <w:b/>
          <w:bCs/>
          <w:i/>
          <w:iCs/>
          <w:sz w:val="24"/>
          <w:szCs w:val="24"/>
        </w:rPr>
        <w:t>ABSTRACT</w:t>
      </w:r>
    </w:p>
    <w:p w14:paraId="7A8D4BD3" w14:textId="54A6F81D" w:rsidR="00506E94" w:rsidRDefault="00506E94" w:rsidP="00917B20">
      <w:pPr>
        <w:spacing w:line="360" w:lineRule="auto"/>
        <w:rPr>
          <w:rFonts w:ascii="Times New Roman" w:hAnsi="Times New Roman" w:cs="Times New Roman"/>
          <w:i/>
          <w:iCs/>
          <w:sz w:val="24"/>
          <w:szCs w:val="24"/>
        </w:rPr>
      </w:pPr>
      <w:r w:rsidRPr="00810711">
        <w:rPr>
          <w:rFonts w:ascii="Times New Roman" w:hAnsi="Times New Roman" w:cs="Times New Roman"/>
          <w:i/>
          <w:iCs/>
          <w:sz w:val="24"/>
          <w:szCs w:val="24"/>
        </w:rPr>
        <w:t>The findings underscore the dual role of compensation schemes: providing critical financial and rehabilitative support to workers and acting as a data source for public health interventions. Through robust data collection and reporting, E</w:t>
      </w:r>
      <w:r w:rsidR="00917B20">
        <w:rPr>
          <w:rFonts w:ascii="Times New Roman" w:hAnsi="Times New Roman" w:cs="Times New Roman"/>
          <w:i/>
          <w:iCs/>
          <w:sz w:val="24"/>
          <w:szCs w:val="24"/>
        </w:rPr>
        <w:t xml:space="preserve">mployees </w:t>
      </w:r>
      <w:r w:rsidRPr="00810711">
        <w:rPr>
          <w:rFonts w:ascii="Times New Roman" w:hAnsi="Times New Roman" w:cs="Times New Roman"/>
          <w:i/>
          <w:iCs/>
          <w:sz w:val="24"/>
          <w:szCs w:val="24"/>
        </w:rPr>
        <w:t>C</w:t>
      </w:r>
      <w:r w:rsidR="00917B20">
        <w:rPr>
          <w:rFonts w:ascii="Times New Roman" w:hAnsi="Times New Roman" w:cs="Times New Roman"/>
          <w:i/>
          <w:iCs/>
          <w:sz w:val="24"/>
          <w:szCs w:val="24"/>
        </w:rPr>
        <w:t xml:space="preserve">ompensation </w:t>
      </w:r>
      <w:r w:rsidRPr="00810711">
        <w:rPr>
          <w:rFonts w:ascii="Times New Roman" w:hAnsi="Times New Roman" w:cs="Times New Roman"/>
          <w:i/>
          <w:iCs/>
          <w:sz w:val="24"/>
          <w:szCs w:val="24"/>
        </w:rPr>
        <w:t>S</w:t>
      </w:r>
      <w:r w:rsidR="00917B20">
        <w:rPr>
          <w:rFonts w:ascii="Times New Roman" w:hAnsi="Times New Roman" w:cs="Times New Roman"/>
          <w:i/>
          <w:iCs/>
          <w:sz w:val="24"/>
          <w:szCs w:val="24"/>
        </w:rPr>
        <w:t xml:space="preserve">cheme </w:t>
      </w:r>
      <w:r w:rsidR="00917B20" w:rsidRPr="00917B20">
        <w:rPr>
          <w:rFonts w:ascii="Times New Roman" w:hAnsi="Times New Roman" w:cs="Times New Roman"/>
          <w:b/>
          <w:bCs/>
          <w:i/>
          <w:iCs/>
          <w:sz w:val="24"/>
          <w:szCs w:val="24"/>
        </w:rPr>
        <w:t>(ECS)</w:t>
      </w:r>
      <w:r w:rsidRPr="00810711">
        <w:rPr>
          <w:rFonts w:ascii="Times New Roman" w:hAnsi="Times New Roman" w:cs="Times New Roman"/>
          <w:i/>
          <w:iCs/>
          <w:sz w:val="24"/>
          <w:szCs w:val="24"/>
        </w:rPr>
        <w:t xml:space="preserve"> enhances the monitoring of occupational health risks and supports the design of targeted prevention strategies. This study advocates for integrating compensation data into broader public health surveillance systems to address workplace hazards proactively, improve safety standards, and foster a healthier workforce. It also highlights the need for policy enhancements to ensure equitable access to compensation and effective rehabilitation for all workers, especially those in high-risk and informal sectors.</w:t>
      </w:r>
    </w:p>
    <w:p w14:paraId="47F03354" w14:textId="083D87C4" w:rsidR="00506E94" w:rsidRDefault="00506E94" w:rsidP="00506E94">
      <w:pPr>
        <w:spacing w:line="360" w:lineRule="auto"/>
        <w:jc w:val="both"/>
        <w:rPr>
          <w:rFonts w:ascii="Times New Roman" w:hAnsi="Times New Roman" w:cs="Times New Roman"/>
          <w:i/>
          <w:iCs/>
          <w:sz w:val="24"/>
          <w:szCs w:val="24"/>
        </w:rPr>
      </w:pPr>
      <w:r w:rsidRPr="00810711">
        <w:rPr>
          <w:rFonts w:ascii="Times New Roman" w:hAnsi="Times New Roman" w:cs="Times New Roman"/>
          <w:i/>
          <w:iCs/>
          <w:sz w:val="24"/>
          <w:szCs w:val="24"/>
        </w:rPr>
        <w:t xml:space="preserve">Workplace-related disabilities significantly impact workers' health, economic productivity, and overall well-being. Compensation for such disabilities is a critical aspect of labor protection, ensuring financial security and facilitating recovery for affected employees. This study examined the role of workplace compensation schemes, specifically the Employee Compensation Scheme (ECS), in addressing workplace-related disabilities and its implications for public health surveillance. The ECS serves as a framework for identifying, compensating, and rehabilitating workers affected by occupational injuries, illnesses, or disabilities. This case study was </w:t>
      </w:r>
      <w:proofErr w:type="spellStart"/>
      <w:r w:rsidRPr="00810711">
        <w:rPr>
          <w:rFonts w:ascii="Times New Roman" w:hAnsi="Times New Roman" w:cs="Times New Roman"/>
          <w:i/>
          <w:iCs/>
          <w:sz w:val="24"/>
          <w:szCs w:val="24"/>
        </w:rPr>
        <w:t>analyzesd</w:t>
      </w:r>
      <w:proofErr w:type="spellEnd"/>
      <w:r w:rsidRPr="00810711">
        <w:rPr>
          <w:rFonts w:ascii="Times New Roman" w:hAnsi="Times New Roman" w:cs="Times New Roman"/>
          <w:i/>
          <w:iCs/>
          <w:sz w:val="24"/>
          <w:szCs w:val="24"/>
        </w:rPr>
        <w:t xml:space="preserve"> </w:t>
      </w:r>
      <w:r w:rsidRPr="00810711">
        <w:rPr>
          <w:rFonts w:ascii="Times New Roman" w:hAnsi="Times New Roman" w:cs="Times New Roman"/>
          <w:i/>
          <w:iCs/>
          <w:sz w:val="24"/>
          <w:szCs w:val="24"/>
        </w:rPr>
        <w:lastRenderedPageBreak/>
        <w:t>how compensation data derived from the ECS contributes to public health surveillance by highlighting trends in workplace injuries and illnesses. By identifying high-risk industries, frequent causes of injury, and the socio-economic impact on workers, this data serves as a valuable resource for policymakers, employers, and public health practitioners</w:t>
      </w:r>
      <w:r>
        <w:rPr>
          <w:rFonts w:ascii="Times New Roman" w:hAnsi="Times New Roman" w:cs="Times New Roman"/>
          <w:i/>
          <w:iCs/>
          <w:sz w:val="24"/>
          <w:szCs w:val="24"/>
        </w:rPr>
        <w:t>.</w:t>
      </w:r>
    </w:p>
    <w:p w14:paraId="1F080E5E" w14:textId="502C0212" w:rsidR="00506E94" w:rsidRPr="00810711" w:rsidRDefault="00506E94" w:rsidP="00506E94">
      <w:pPr>
        <w:spacing w:line="360" w:lineRule="auto"/>
        <w:jc w:val="both"/>
        <w:rPr>
          <w:rFonts w:ascii="Times New Roman" w:hAnsi="Times New Roman" w:cs="Times New Roman"/>
          <w:b/>
          <w:bCs/>
          <w:i/>
          <w:iCs/>
          <w:sz w:val="24"/>
          <w:szCs w:val="24"/>
        </w:rPr>
      </w:pPr>
      <w:r w:rsidRPr="00810711">
        <w:rPr>
          <w:rFonts w:ascii="Times New Roman" w:hAnsi="Times New Roman" w:cs="Times New Roman"/>
          <w:b/>
          <w:bCs/>
          <w:i/>
          <w:iCs/>
          <w:sz w:val="24"/>
          <w:szCs w:val="24"/>
        </w:rPr>
        <w:t>Key Words;</w:t>
      </w:r>
      <w:r w:rsidRPr="00506E94">
        <w:rPr>
          <w:rFonts w:ascii="Times New Roman" w:hAnsi="Times New Roman" w:cs="Times New Roman"/>
          <w:b/>
          <w:bCs/>
          <w:i/>
          <w:iCs/>
          <w:sz w:val="24"/>
          <w:szCs w:val="24"/>
        </w:rPr>
        <w:t xml:space="preserve"> </w:t>
      </w:r>
      <w:r w:rsidRPr="00810711">
        <w:rPr>
          <w:rFonts w:ascii="Times New Roman" w:hAnsi="Times New Roman" w:cs="Times New Roman"/>
          <w:b/>
          <w:bCs/>
          <w:i/>
          <w:iCs/>
          <w:sz w:val="24"/>
          <w:szCs w:val="24"/>
        </w:rPr>
        <w:t xml:space="preserve">Employee, Scheme, Surveillance, </w:t>
      </w:r>
      <w:r>
        <w:rPr>
          <w:rFonts w:ascii="Times New Roman" w:hAnsi="Times New Roman" w:cs="Times New Roman"/>
          <w:b/>
          <w:bCs/>
          <w:i/>
          <w:iCs/>
          <w:sz w:val="24"/>
          <w:szCs w:val="24"/>
        </w:rPr>
        <w:t>Evaluation,</w:t>
      </w:r>
      <w:r w:rsidRPr="00506E94">
        <w:rPr>
          <w:rFonts w:ascii="Times New Roman" w:hAnsi="Times New Roman" w:cs="Times New Roman"/>
          <w:b/>
          <w:bCs/>
          <w:i/>
          <w:iCs/>
          <w:sz w:val="24"/>
          <w:szCs w:val="24"/>
        </w:rPr>
        <w:t xml:space="preserve"> </w:t>
      </w:r>
      <w:r>
        <w:rPr>
          <w:rFonts w:ascii="Times New Roman" w:hAnsi="Times New Roman" w:cs="Times New Roman"/>
          <w:b/>
          <w:bCs/>
          <w:i/>
          <w:iCs/>
          <w:sz w:val="24"/>
          <w:szCs w:val="24"/>
        </w:rPr>
        <w:t>Impact</w:t>
      </w:r>
      <w:r w:rsidRPr="00810711">
        <w:rPr>
          <w:rFonts w:ascii="Times New Roman" w:hAnsi="Times New Roman" w:cs="Times New Roman"/>
          <w:b/>
          <w:bCs/>
          <w:i/>
          <w:iCs/>
          <w:sz w:val="24"/>
          <w:szCs w:val="24"/>
        </w:rPr>
        <w:t>, Workplace, Disabilities</w:t>
      </w:r>
      <w:r>
        <w:rPr>
          <w:rFonts w:ascii="Times New Roman" w:hAnsi="Times New Roman" w:cs="Times New Roman"/>
          <w:b/>
          <w:bCs/>
          <w:i/>
          <w:iCs/>
          <w:sz w:val="24"/>
          <w:szCs w:val="24"/>
        </w:rPr>
        <w:t>.</w:t>
      </w:r>
    </w:p>
    <w:p w14:paraId="7A5AF1CE" w14:textId="2C0DDED3" w:rsidR="00506E94" w:rsidRPr="001677CE" w:rsidRDefault="005A3656" w:rsidP="00506E94">
      <w:pPr>
        <w:spacing w:line="360" w:lineRule="auto"/>
        <w:jc w:val="both"/>
        <w:rPr>
          <w:rFonts w:ascii="Times New Roman" w:eastAsia="Calibri" w:hAnsi="Times New Roman" w:cs="Times New Roman"/>
          <w:b/>
          <w:bCs/>
          <w:color w:val="000000"/>
          <w:sz w:val="24"/>
          <w:szCs w:val="24"/>
        </w:rPr>
      </w:pPr>
      <w:r w:rsidRPr="001677CE">
        <w:rPr>
          <w:rFonts w:ascii="Times New Roman" w:eastAsia="Calibri" w:hAnsi="Times New Roman" w:cs="Times New Roman"/>
          <w:b/>
          <w:bCs/>
          <w:color w:val="000000"/>
          <w:sz w:val="24"/>
          <w:szCs w:val="24"/>
        </w:rPr>
        <w:t>INTRODUCTION</w:t>
      </w:r>
    </w:p>
    <w:p w14:paraId="4B2995DA" w14:textId="77777777" w:rsidR="009A354A" w:rsidRDefault="009A354A" w:rsidP="009A354A">
      <w:pPr>
        <w:spacing w:line="360" w:lineRule="auto"/>
        <w:jc w:val="both"/>
        <w:rPr>
          <w:rFonts w:ascii="Times New Roman" w:hAnsi="Times New Roman" w:cs="Times New Roman"/>
          <w:sz w:val="24"/>
          <w:szCs w:val="24"/>
        </w:rPr>
      </w:pPr>
      <w:r w:rsidRPr="00297C0D">
        <w:rPr>
          <w:rFonts w:ascii="Times New Roman" w:hAnsi="Times New Roman" w:cs="Times New Roman"/>
          <w:sz w:val="24"/>
          <w:szCs w:val="24"/>
        </w:rPr>
        <w:t>In Nigeria, large numbers of people are suffering as a result of poor economic situation and high level of unemployment of which persons with disabilities (PWDs) are the worst victims. PWDs are people affected with one or more types of disabilities. The definition of PWDs varies from place to place as various local and national laws define disability differently. A person with disability is one who has a physical mental and emotional condition that kept him or her from living a functional social life which is deemed to be normal with their peers (</w:t>
      </w:r>
      <w:proofErr w:type="spellStart"/>
      <w:r w:rsidRPr="00297C0D">
        <w:rPr>
          <w:rFonts w:ascii="Times New Roman" w:hAnsi="Times New Roman" w:cs="Times New Roman"/>
          <w:sz w:val="24"/>
          <w:szCs w:val="24"/>
        </w:rPr>
        <w:t>Hapur</w:t>
      </w:r>
      <w:proofErr w:type="spellEnd"/>
      <w:r w:rsidRPr="00297C0D">
        <w:rPr>
          <w:rFonts w:ascii="Times New Roman" w:hAnsi="Times New Roman" w:cs="Times New Roman"/>
          <w:sz w:val="24"/>
          <w:szCs w:val="24"/>
        </w:rPr>
        <w:t xml:space="preserve">, 2012). </w:t>
      </w:r>
      <w:proofErr w:type="spellStart"/>
      <w:r w:rsidRPr="00297C0D">
        <w:rPr>
          <w:rFonts w:ascii="Times New Roman" w:hAnsi="Times New Roman" w:cs="Times New Roman"/>
          <w:sz w:val="24"/>
          <w:szCs w:val="24"/>
        </w:rPr>
        <w:t>Osukwu</w:t>
      </w:r>
      <w:proofErr w:type="spellEnd"/>
      <w:r w:rsidRPr="00297C0D">
        <w:rPr>
          <w:rFonts w:ascii="Times New Roman" w:hAnsi="Times New Roman" w:cs="Times New Roman"/>
          <w:sz w:val="24"/>
          <w:szCs w:val="24"/>
        </w:rPr>
        <w:t xml:space="preserve"> (2019), identified PWDs as those living with impairment, which indicates people who are faced with limited involvement in some events. United Nations (2018), acknowledged that ‘disability is an evolving concept and so does not explicitly define disability but merely elucidates who a PWD is. To United Nations, PWDs include those who have long-term physical, mental, intellectual or sensory impairments which in interaction with various barriers may hinder their full and effective participation in society on an equal basis with others. In Nigeria, PWDs are regarded as individuals who are physically, mentally, intellectually, or emotionally disabled, and are also unable to fully and effectively engage in the society. They are faced with the reduction in the ability for interaction with people, which is associated with their physical growth, mental, intellectual, or senses in the long run. These aspects also harm their full involvement in community-related activities (Adebisi, Jerry, </w:t>
      </w:r>
      <w:proofErr w:type="spellStart"/>
      <w:r w:rsidRPr="00297C0D">
        <w:rPr>
          <w:rFonts w:ascii="Times New Roman" w:hAnsi="Times New Roman" w:cs="Times New Roman"/>
          <w:sz w:val="24"/>
          <w:szCs w:val="24"/>
        </w:rPr>
        <w:t>Rasaki</w:t>
      </w:r>
      <w:proofErr w:type="spellEnd"/>
      <w:r w:rsidRPr="00297C0D">
        <w:rPr>
          <w:rFonts w:ascii="Times New Roman" w:hAnsi="Times New Roman" w:cs="Times New Roman"/>
          <w:sz w:val="24"/>
          <w:szCs w:val="24"/>
        </w:rPr>
        <w:t xml:space="preserve"> &amp; </w:t>
      </w:r>
      <w:proofErr w:type="spellStart"/>
      <w:r w:rsidRPr="00297C0D">
        <w:rPr>
          <w:rFonts w:ascii="Times New Roman" w:hAnsi="Times New Roman" w:cs="Times New Roman"/>
          <w:sz w:val="24"/>
          <w:szCs w:val="24"/>
        </w:rPr>
        <w:t>Igwe</w:t>
      </w:r>
      <w:proofErr w:type="spellEnd"/>
      <w:r w:rsidRPr="00297C0D">
        <w:rPr>
          <w:rFonts w:ascii="Times New Roman" w:hAnsi="Times New Roman" w:cs="Times New Roman"/>
          <w:sz w:val="24"/>
          <w:szCs w:val="24"/>
        </w:rPr>
        <w:t>, 2014)</w:t>
      </w:r>
      <w:r>
        <w:rPr>
          <w:rFonts w:ascii="Times New Roman" w:hAnsi="Times New Roman" w:cs="Times New Roman"/>
          <w:sz w:val="24"/>
          <w:szCs w:val="24"/>
        </w:rPr>
        <w:t>.</w:t>
      </w:r>
    </w:p>
    <w:p w14:paraId="1566B938" w14:textId="77777777" w:rsidR="009A354A" w:rsidRDefault="009A354A" w:rsidP="009A354A">
      <w:pPr>
        <w:spacing w:line="360" w:lineRule="auto"/>
        <w:jc w:val="both"/>
        <w:rPr>
          <w:rFonts w:ascii="Times New Roman" w:hAnsi="Times New Roman" w:cs="Times New Roman"/>
          <w:sz w:val="24"/>
          <w:szCs w:val="24"/>
        </w:rPr>
      </w:pPr>
      <w:r w:rsidRPr="00297C0D">
        <w:rPr>
          <w:rFonts w:ascii="Times New Roman" w:hAnsi="Times New Roman" w:cs="Times New Roman"/>
          <w:sz w:val="24"/>
          <w:szCs w:val="24"/>
        </w:rPr>
        <w:t>PWDs have much in common with people without disability. They include women and men of all ages, living in urban and rural settings, with different personalities, aspirations and desires. Their individual service needs differ significantly in that the type of job for which a disabled person is suited may be influenced by whether he or she has an intellectual disability, physical disability, sensory disability, mental health difficulty, or a combination of these. But this is less important than one’s knowledge, skills and general abilities when it comes to performing in a job (</w:t>
      </w:r>
      <w:proofErr w:type="spellStart"/>
      <w:r w:rsidRPr="00297C0D">
        <w:rPr>
          <w:rFonts w:ascii="Times New Roman" w:hAnsi="Times New Roman" w:cs="Times New Roman"/>
          <w:sz w:val="24"/>
          <w:szCs w:val="24"/>
        </w:rPr>
        <w:t>Ihedioha</w:t>
      </w:r>
      <w:proofErr w:type="spellEnd"/>
      <w:r w:rsidRPr="00297C0D">
        <w:rPr>
          <w:rFonts w:ascii="Times New Roman" w:hAnsi="Times New Roman" w:cs="Times New Roman"/>
          <w:sz w:val="24"/>
          <w:szCs w:val="24"/>
        </w:rPr>
        <w:t xml:space="preserve">, 2015). The ability of disabled persons to work whether the disability is from birth or acquired later </w:t>
      </w:r>
      <w:r w:rsidRPr="00297C0D">
        <w:rPr>
          <w:rFonts w:ascii="Times New Roman" w:hAnsi="Times New Roman" w:cs="Times New Roman"/>
          <w:sz w:val="24"/>
          <w:szCs w:val="24"/>
        </w:rPr>
        <w:lastRenderedPageBreak/>
        <w:t>in life is closely related to the extent to which they have come to terms with the disability and are able to live independently. PWDs are entrepreneurs, self-employed workers, artisans, and</w:t>
      </w:r>
      <w:r>
        <w:rPr>
          <w:rFonts w:ascii="Times New Roman" w:hAnsi="Times New Roman" w:cs="Times New Roman"/>
          <w:sz w:val="24"/>
          <w:szCs w:val="24"/>
        </w:rPr>
        <w:t xml:space="preserve"> </w:t>
      </w:r>
      <w:r w:rsidRPr="00297C0D">
        <w:rPr>
          <w:rFonts w:ascii="Times New Roman" w:hAnsi="Times New Roman" w:cs="Times New Roman"/>
          <w:sz w:val="24"/>
          <w:szCs w:val="24"/>
        </w:rPr>
        <w:t>technicians among others, and they have continued to demonstrate capability despite their conditions.</w:t>
      </w:r>
    </w:p>
    <w:p w14:paraId="20DC57D6" w14:textId="77777777" w:rsidR="009A354A" w:rsidRDefault="009A354A" w:rsidP="009A354A">
      <w:pPr>
        <w:spacing w:line="360" w:lineRule="auto"/>
        <w:jc w:val="both"/>
        <w:rPr>
          <w:rFonts w:ascii="Times New Roman" w:hAnsi="Times New Roman" w:cs="Times New Roman"/>
          <w:sz w:val="24"/>
          <w:szCs w:val="24"/>
        </w:rPr>
      </w:pPr>
      <w:r w:rsidRPr="00297C0D">
        <w:rPr>
          <w:rFonts w:ascii="Times New Roman" w:hAnsi="Times New Roman" w:cs="Times New Roman"/>
          <w:sz w:val="24"/>
          <w:szCs w:val="24"/>
        </w:rPr>
        <w:t xml:space="preserve">As at 2020, a World Bank report showed that over 27million Nigerian are living with some forms of disability (World Bank 2020), while World Health Organization (2011) put the number of Nigerians with disabilities between 25 million and 27 million. While available data may not show the precise number of PWDs in Nigeria, data from the 2018 Nigeria Demographic and health survey, revealed that an estimated 7% of household members above the age of five as well as 9% of those above 60 years’ experience some form of difficulty in at least one functional </w:t>
      </w:r>
      <w:proofErr w:type="gramStart"/>
      <w:r w:rsidRPr="00297C0D">
        <w:rPr>
          <w:rFonts w:ascii="Times New Roman" w:hAnsi="Times New Roman" w:cs="Times New Roman"/>
          <w:sz w:val="24"/>
          <w:szCs w:val="24"/>
        </w:rPr>
        <w:t>domain..</w:t>
      </w:r>
      <w:proofErr w:type="gramEnd"/>
      <w:r w:rsidRPr="00297C0D">
        <w:rPr>
          <w:rFonts w:ascii="Times New Roman" w:hAnsi="Times New Roman" w:cs="Times New Roman"/>
          <w:sz w:val="24"/>
          <w:szCs w:val="24"/>
        </w:rPr>
        <w:t xml:space="preserve"> A study conducted by Leprosy Mission, Nigeria, a few years ago showed that out of the 1, 093 PWDs surveyed, 61% had no job. This affirms the fact that working-age PWDs tend to experience significantly lower employment rates and much higher unemployment rates compared to people without disabilities.</w:t>
      </w:r>
    </w:p>
    <w:p w14:paraId="402272F3" w14:textId="77777777" w:rsidR="009A354A" w:rsidRDefault="009A354A" w:rsidP="009A354A">
      <w:pPr>
        <w:spacing w:line="360" w:lineRule="auto"/>
        <w:jc w:val="both"/>
        <w:rPr>
          <w:rFonts w:ascii="Times New Roman" w:hAnsi="Times New Roman" w:cs="Times New Roman"/>
          <w:sz w:val="24"/>
          <w:szCs w:val="24"/>
        </w:rPr>
      </w:pPr>
      <w:r w:rsidRPr="00297C0D">
        <w:rPr>
          <w:rFonts w:ascii="Times New Roman" w:hAnsi="Times New Roman" w:cs="Times New Roman"/>
          <w:sz w:val="24"/>
          <w:szCs w:val="24"/>
        </w:rPr>
        <w:t xml:space="preserve">The Disabilities Act of 2018 in Nigeria also requires by law that all public organizations must reserve at least five per cent of employment opportunities for persons with disabilities across the 36 states and Abuja through the operation of the federal character principle. Under this fresh arrangement, it is criminal for ministries, extra-ministerial departments and agencies of government to deny persons with disabilities the opportunity to work provided they have the required skills. Though the bill has been passed, only few states of the country have implemented the act. </w:t>
      </w:r>
      <w:proofErr w:type="gramStart"/>
      <w:r w:rsidRPr="00297C0D">
        <w:rPr>
          <w:rFonts w:ascii="Times New Roman" w:hAnsi="Times New Roman" w:cs="Times New Roman"/>
          <w:sz w:val="24"/>
          <w:szCs w:val="24"/>
        </w:rPr>
        <w:t>.(</w:t>
      </w:r>
      <w:proofErr w:type="spellStart"/>
      <w:proofErr w:type="gramEnd"/>
      <w:r w:rsidRPr="00297C0D">
        <w:rPr>
          <w:rFonts w:ascii="Times New Roman" w:hAnsi="Times New Roman" w:cs="Times New Roman"/>
          <w:sz w:val="24"/>
          <w:szCs w:val="24"/>
        </w:rPr>
        <w:t>Owonikoko</w:t>
      </w:r>
      <w:proofErr w:type="spellEnd"/>
      <w:r w:rsidRPr="00297C0D">
        <w:rPr>
          <w:rFonts w:ascii="Times New Roman" w:hAnsi="Times New Roman" w:cs="Times New Roman"/>
          <w:sz w:val="24"/>
          <w:szCs w:val="24"/>
        </w:rPr>
        <w:t>, 2020).</w:t>
      </w:r>
    </w:p>
    <w:p w14:paraId="04A0B5B0" w14:textId="77777777" w:rsidR="009A354A" w:rsidRDefault="009A354A" w:rsidP="009A354A">
      <w:pPr>
        <w:spacing w:line="360" w:lineRule="auto"/>
        <w:jc w:val="both"/>
        <w:rPr>
          <w:rFonts w:ascii="Times New Roman" w:hAnsi="Times New Roman" w:cs="Times New Roman"/>
          <w:sz w:val="24"/>
          <w:szCs w:val="24"/>
        </w:rPr>
      </w:pPr>
      <w:r w:rsidRPr="00297C0D">
        <w:rPr>
          <w:rFonts w:ascii="Times New Roman" w:hAnsi="Times New Roman" w:cs="Times New Roman"/>
          <w:sz w:val="24"/>
          <w:szCs w:val="24"/>
        </w:rPr>
        <w:t xml:space="preserve">PWDs are often excluded from access to economic opportunities even as they face discrimination from employers (Unger, 2016). One of their biggest obstacles is the stigma surrounding their disability which excludes them socially and economically. Due to this stigma, the unemployment rate among PWDs significantly exceeds the general unemployment rate. It is no news that PWDs are disadvantaged in the </w:t>
      </w:r>
      <w:proofErr w:type="spellStart"/>
      <w:r w:rsidRPr="00297C0D">
        <w:rPr>
          <w:rFonts w:ascii="Times New Roman" w:hAnsi="Times New Roman" w:cs="Times New Roman"/>
          <w:sz w:val="24"/>
          <w:szCs w:val="24"/>
        </w:rPr>
        <w:t>labour</w:t>
      </w:r>
      <w:proofErr w:type="spellEnd"/>
      <w:r w:rsidRPr="00297C0D">
        <w:rPr>
          <w:rFonts w:ascii="Times New Roman" w:hAnsi="Times New Roman" w:cs="Times New Roman"/>
          <w:sz w:val="24"/>
          <w:szCs w:val="24"/>
        </w:rPr>
        <w:t xml:space="preserve"> market. The system in Nigeria subconsciously deprioritizes the value of employment for many disadvantaged groups.</w:t>
      </w:r>
    </w:p>
    <w:p w14:paraId="2466D983" w14:textId="77777777" w:rsidR="009A354A" w:rsidRDefault="009A354A" w:rsidP="009A354A">
      <w:pPr>
        <w:spacing w:line="360" w:lineRule="auto"/>
        <w:jc w:val="both"/>
        <w:rPr>
          <w:rFonts w:ascii="Times New Roman" w:hAnsi="Times New Roman" w:cs="Times New Roman"/>
          <w:sz w:val="24"/>
          <w:szCs w:val="24"/>
        </w:rPr>
      </w:pPr>
      <w:proofErr w:type="spellStart"/>
      <w:r w:rsidRPr="00297C0D">
        <w:rPr>
          <w:rFonts w:ascii="Times New Roman" w:hAnsi="Times New Roman" w:cs="Times New Roman"/>
          <w:sz w:val="24"/>
          <w:szCs w:val="24"/>
        </w:rPr>
        <w:t>Uduu</w:t>
      </w:r>
      <w:proofErr w:type="spellEnd"/>
      <w:r w:rsidRPr="00297C0D">
        <w:rPr>
          <w:rFonts w:ascii="Times New Roman" w:hAnsi="Times New Roman" w:cs="Times New Roman"/>
          <w:sz w:val="24"/>
          <w:szCs w:val="24"/>
        </w:rPr>
        <w:t xml:space="preserve"> (2020), regretted that People with Disabilities struggle with prejudices, narrow-mindedness, and maltreatment. Botha and Leah, (2020), added that this situation has brought many questions on how the public serves them socially and economically. Concerning PWDs' employment, their </w:t>
      </w:r>
      <w:r w:rsidRPr="00297C0D">
        <w:rPr>
          <w:rFonts w:ascii="Times New Roman" w:hAnsi="Times New Roman" w:cs="Times New Roman"/>
          <w:sz w:val="24"/>
          <w:szCs w:val="24"/>
        </w:rPr>
        <w:lastRenderedPageBreak/>
        <w:t>source of income and wellbeing are frequently being neglected and has greatly depreciated. Besides, their type of disabilities, public misconception due to their perceived inability and lack of professional competence to fulfil job responsibilities contribute to major decisions when hiring them, hence their continued unemployment.</w:t>
      </w:r>
    </w:p>
    <w:p w14:paraId="12E34CC4" w14:textId="4047A1B4" w:rsidR="009A354A" w:rsidRDefault="00917B20" w:rsidP="009A354A">
      <w:pPr>
        <w:tabs>
          <w:tab w:val="left" w:pos="1690"/>
        </w:tabs>
        <w:rPr>
          <w:rFonts w:ascii="Times New Roman" w:hAnsi="Times New Roman" w:cs="Times New Roman"/>
          <w:b/>
          <w:bCs/>
          <w:sz w:val="24"/>
          <w:szCs w:val="24"/>
        </w:rPr>
      </w:pPr>
      <w:r w:rsidRPr="00234FF7">
        <w:rPr>
          <w:rFonts w:ascii="Times New Roman" w:hAnsi="Times New Roman" w:cs="Times New Roman"/>
          <w:b/>
          <w:bCs/>
          <w:sz w:val="24"/>
          <w:szCs w:val="24"/>
        </w:rPr>
        <w:t>CONCEPTUAL FRAMEWORK</w:t>
      </w:r>
      <w:r>
        <w:rPr>
          <w:rFonts w:ascii="Times New Roman" w:hAnsi="Times New Roman" w:cs="Times New Roman"/>
          <w:b/>
          <w:bCs/>
          <w:sz w:val="24"/>
          <w:szCs w:val="24"/>
        </w:rPr>
        <w:t xml:space="preserve"> OF DISABILITIES </w:t>
      </w:r>
    </w:p>
    <w:p w14:paraId="3504ACBB" w14:textId="016AC06B" w:rsidR="009A354A" w:rsidRDefault="009A354A" w:rsidP="00917B20">
      <w:pPr>
        <w:tabs>
          <w:tab w:val="left" w:pos="1690"/>
        </w:tabs>
        <w:spacing w:line="360" w:lineRule="auto"/>
        <w:rPr>
          <w:rFonts w:ascii="Times New Roman" w:hAnsi="Times New Roman" w:cs="Times New Roman"/>
          <w:sz w:val="24"/>
          <w:szCs w:val="24"/>
        </w:rPr>
      </w:pPr>
      <w:r w:rsidRPr="00234FF7">
        <w:rPr>
          <w:rFonts w:ascii="Times New Roman" w:hAnsi="Times New Roman" w:cs="Times New Roman"/>
          <w:sz w:val="24"/>
          <w:szCs w:val="24"/>
        </w:rPr>
        <w:t xml:space="preserve">According, to the United Nations (UN, 2006, p. 4), the definition of people with disabilities is that it is the term used to describe people who have chronic physical, mental, intellectual, or sensory disabilities that, when combined with additional barriers, may prevent them from fully and equally participating effectively in society when compared to others. Moreover, disability is characterized as limitations in one’s own actions, impairments in one’s body structures and functions, and obstacles to social interaction (Peter, </w:t>
      </w:r>
      <w:r w:rsidR="00917B20">
        <w:rPr>
          <w:rFonts w:ascii="Times New Roman" w:hAnsi="Times New Roman" w:cs="Times New Roman"/>
          <w:sz w:val="24"/>
          <w:szCs w:val="24"/>
        </w:rPr>
        <w:t>et al</w:t>
      </w:r>
      <w:r w:rsidRPr="00234FF7">
        <w:rPr>
          <w:rFonts w:ascii="Times New Roman" w:hAnsi="Times New Roman" w:cs="Times New Roman"/>
          <w:sz w:val="24"/>
          <w:szCs w:val="24"/>
        </w:rPr>
        <w:t>, 2015), in accordance with a widely accepted biopsychosocial framework of disability in which it is understood as involving the interaction of a person’s personal, environmental, and personal elements with their state of health (World Health Organization, 2011).</w:t>
      </w:r>
      <w:r>
        <w:rPr>
          <w:rFonts w:ascii="Times New Roman" w:hAnsi="Times New Roman" w:cs="Times New Roman"/>
          <w:sz w:val="24"/>
          <w:szCs w:val="24"/>
        </w:rPr>
        <w:t xml:space="preserve"> </w:t>
      </w:r>
    </w:p>
    <w:p w14:paraId="0F635E40" w14:textId="77777777" w:rsidR="009A354A" w:rsidRDefault="009A354A" w:rsidP="00917B20">
      <w:pPr>
        <w:tabs>
          <w:tab w:val="left" w:pos="1690"/>
        </w:tabs>
        <w:spacing w:line="360" w:lineRule="auto"/>
        <w:rPr>
          <w:rFonts w:ascii="Times New Roman" w:hAnsi="Times New Roman" w:cs="Times New Roman"/>
          <w:sz w:val="24"/>
          <w:szCs w:val="24"/>
        </w:rPr>
      </w:pPr>
      <w:r w:rsidRPr="00234FF7">
        <w:rPr>
          <w:rFonts w:ascii="Times New Roman" w:hAnsi="Times New Roman" w:cs="Times New Roman"/>
          <w:sz w:val="24"/>
          <w:szCs w:val="24"/>
        </w:rPr>
        <w:t>Additionally, in many aspects, physical impairment is different from intellectual disability. Physical disability is a dysfunction that is permanent or ongoing in a body part (Kim &amp; Kang, 2003). It comprises chronic medical illnesses, such as cardiovascular diseases and respiratory issues, as well as sensory and musculoskeletal concerns (Carroll, 2004). Examples include multiple sclerosis, cerebral palsy, and spinal cord damage (</w:t>
      </w:r>
      <w:proofErr w:type="spellStart"/>
      <w:r w:rsidRPr="00234FF7">
        <w:rPr>
          <w:rFonts w:ascii="Times New Roman" w:hAnsi="Times New Roman" w:cs="Times New Roman"/>
          <w:sz w:val="24"/>
          <w:szCs w:val="24"/>
        </w:rPr>
        <w:t>Gammeltoft</w:t>
      </w:r>
      <w:proofErr w:type="spellEnd"/>
      <w:r w:rsidRPr="00234FF7">
        <w:rPr>
          <w:rFonts w:ascii="Times New Roman" w:hAnsi="Times New Roman" w:cs="Times New Roman"/>
          <w:sz w:val="24"/>
          <w:szCs w:val="24"/>
        </w:rPr>
        <w:t>, 2018).</w:t>
      </w:r>
    </w:p>
    <w:p w14:paraId="72236855" w14:textId="77777777" w:rsidR="009A354A" w:rsidRDefault="009A354A" w:rsidP="00917B20">
      <w:pPr>
        <w:tabs>
          <w:tab w:val="left" w:pos="1690"/>
        </w:tabs>
        <w:spacing w:line="360" w:lineRule="auto"/>
        <w:rPr>
          <w:rFonts w:ascii="Times New Roman" w:hAnsi="Times New Roman" w:cs="Times New Roman"/>
          <w:sz w:val="24"/>
          <w:szCs w:val="24"/>
        </w:rPr>
      </w:pPr>
      <w:r w:rsidRPr="00506185">
        <w:rPr>
          <w:rFonts w:ascii="Times New Roman" w:hAnsi="Times New Roman" w:cs="Times New Roman"/>
          <w:sz w:val="24"/>
          <w:szCs w:val="24"/>
        </w:rPr>
        <w:t>There are also intellectual handicaps, such as substantial impairments in cognitive functioning and adaptive behavior as shown by problems in conceptual, social, and practical adaptive skills (</w:t>
      </w:r>
      <w:proofErr w:type="spellStart"/>
      <w:r w:rsidRPr="00506185">
        <w:rPr>
          <w:rFonts w:ascii="Times New Roman" w:hAnsi="Times New Roman" w:cs="Times New Roman"/>
          <w:sz w:val="24"/>
          <w:szCs w:val="24"/>
        </w:rPr>
        <w:t>Schalock</w:t>
      </w:r>
      <w:proofErr w:type="spellEnd"/>
      <w:r w:rsidRPr="00506185">
        <w:rPr>
          <w:rFonts w:ascii="Times New Roman" w:hAnsi="Times New Roman" w:cs="Times New Roman"/>
          <w:sz w:val="24"/>
          <w:szCs w:val="24"/>
        </w:rPr>
        <w:t xml:space="preserve">, </w:t>
      </w:r>
      <w:proofErr w:type="spellStart"/>
      <w:proofErr w:type="gramStart"/>
      <w:r w:rsidRPr="00506185">
        <w:rPr>
          <w:rFonts w:ascii="Times New Roman" w:hAnsi="Times New Roman" w:cs="Times New Roman"/>
          <w:sz w:val="24"/>
          <w:szCs w:val="24"/>
        </w:rPr>
        <w:t>Luckasson</w:t>
      </w:r>
      <w:proofErr w:type="spellEnd"/>
      <w:r w:rsidRPr="00506185">
        <w:rPr>
          <w:rFonts w:ascii="Times New Roman" w:hAnsi="Times New Roman" w:cs="Times New Roman"/>
          <w:sz w:val="24"/>
          <w:szCs w:val="24"/>
        </w:rPr>
        <w:t>,,</w:t>
      </w:r>
      <w:proofErr w:type="gramEnd"/>
      <w:r w:rsidRPr="00506185">
        <w:rPr>
          <w:rFonts w:ascii="Times New Roman" w:hAnsi="Times New Roman" w:cs="Times New Roman"/>
          <w:sz w:val="24"/>
          <w:szCs w:val="24"/>
        </w:rPr>
        <w:t xml:space="preserve"> &amp; </w:t>
      </w:r>
      <w:proofErr w:type="spellStart"/>
      <w:r w:rsidRPr="00506185">
        <w:rPr>
          <w:rFonts w:ascii="Times New Roman" w:hAnsi="Times New Roman" w:cs="Times New Roman"/>
          <w:sz w:val="24"/>
          <w:szCs w:val="24"/>
        </w:rPr>
        <w:t>Shogren</w:t>
      </w:r>
      <w:proofErr w:type="spellEnd"/>
      <w:r w:rsidRPr="00506185">
        <w:rPr>
          <w:rFonts w:ascii="Times New Roman" w:hAnsi="Times New Roman" w:cs="Times New Roman"/>
          <w:sz w:val="24"/>
          <w:szCs w:val="24"/>
        </w:rPr>
        <w:t xml:space="preserve">, 2007, p. 118). As examples, Bartram et al. (2021) cite Down syndrome, Fragile X syndrome, and Prader-Willi syndrome. PWDs are essentially those who have long-term physical, mental, intellectual, or sensory disabilities that may make it challenging for them to engage in society completely and effectively when paired with other circumstances. (Persons with Disabilities Act, 2008). Over 15% of the world’s population, or more than one billion people, are predicted to have a handicap, according to the World Health Organization (2020). PWDs are a vulnerable population because the majority of them have lives without any support as a result of poverty. The percentage of PWDs living in poverty is significantly higher than that of those without impairments, according to numerous previous studies (Agyei-Okyere </w:t>
      </w:r>
      <w:r w:rsidRPr="00506185">
        <w:rPr>
          <w:rFonts w:ascii="Times New Roman" w:hAnsi="Times New Roman" w:cs="Times New Roman"/>
          <w:sz w:val="24"/>
          <w:szCs w:val="24"/>
        </w:rPr>
        <w:lastRenderedPageBreak/>
        <w:t xml:space="preserve">et al., 2019; Opoku, </w:t>
      </w:r>
      <w:proofErr w:type="spellStart"/>
      <w:r w:rsidRPr="00506185">
        <w:rPr>
          <w:rFonts w:ascii="Times New Roman" w:hAnsi="Times New Roman" w:cs="Times New Roman"/>
          <w:sz w:val="24"/>
          <w:szCs w:val="24"/>
        </w:rPr>
        <w:t>Mprah</w:t>
      </w:r>
      <w:proofErr w:type="spellEnd"/>
      <w:r w:rsidRPr="00506185">
        <w:rPr>
          <w:rFonts w:ascii="Times New Roman" w:hAnsi="Times New Roman" w:cs="Times New Roman"/>
          <w:sz w:val="24"/>
          <w:szCs w:val="24"/>
        </w:rPr>
        <w:t xml:space="preserve">, </w:t>
      </w:r>
      <w:proofErr w:type="spellStart"/>
      <w:r w:rsidRPr="00506185">
        <w:rPr>
          <w:rFonts w:ascii="Times New Roman" w:hAnsi="Times New Roman" w:cs="Times New Roman"/>
          <w:sz w:val="24"/>
          <w:szCs w:val="24"/>
        </w:rPr>
        <w:t>Dogbe</w:t>
      </w:r>
      <w:proofErr w:type="spellEnd"/>
      <w:r w:rsidRPr="00506185">
        <w:rPr>
          <w:rFonts w:ascii="Times New Roman" w:hAnsi="Times New Roman" w:cs="Times New Roman"/>
          <w:sz w:val="24"/>
          <w:szCs w:val="24"/>
        </w:rPr>
        <w:t xml:space="preserve">, </w:t>
      </w:r>
      <w:proofErr w:type="spellStart"/>
      <w:r w:rsidRPr="00506185">
        <w:rPr>
          <w:rFonts w:ascii="Times New Roman" w:hAnsi="Times New Roman" w:cs="Times New Roman"/>
          <w:sz w:val="24"/>
          <w:szCs w:val="24"/>
        </w:rPr>
        <w:t>Moitui</w:t>
      </w:r>
      <w:proofErr w:type="spellEnd"/>
      <w:r w:rsidRPr="00506185">
        <w:rPr>
          <w:rFonts w:ascii="Times New Roman" w:hAnsi="Times New Roman" w:cs="Times New Roman"/>
          <w:sz w:val="24"/>
          <w:szCs w:val="24"/>
        </w:rPr>
        <w:t>, &amp; Badu, 2017; Pinilla-</w:t>
      </w:r>
      <w:proofErr w:type="spellStart"/>
      <w:r w:rsidRPr="00506185">
        <w:rPr>
          <w:rFonts w:ascii="Times New Roman" w:hAnsi="Times New Roman" w:cs="Times New Roman"/>
          <w:sz w:val="24"/>
          <w:szCs w:val="24"/>
        </w:rPr>
        <w:t>Roncancio</w:t>
      </w:r>
      <w:proofErr w:type="spellEnd"/>
      <w:r w:rsidRPr="00506185">
        <w:rPr>
          <w:rFonts w:ascii="Times New Roman" w:hAnsi="Times New Roman" w:cs="Times New Roman"/>
          <w:sz w:val="24"/>
          <w:szCs w:val="24"/>
        </w:rPr>
        <w:t xml:space="preserve"> &amp; </w:t>
      </w:r>
      <w:proofErr w:type="spellStart"/>
      <w:r w:rsidRPr="00506185">
        <w:rPr>
          <w:rFonts w:ascii="Times New Roman" w:hAnsi="Times New Roman" w:cs="Times New Roman"/>
          <w:sz w:val="24"/>
          <w:szCs w:val="24"/>
        </w:rPr>
        <w:t>Alkire</w:t>
      </w:r>
      <w:proofErr w:type="spellEnd"/>
      <w:r w:rsidRPr="00506185">
        <w:rPr>
          <w:rFonts w:ascii="Times New Roman" w:hAnsi="Times New Roman" w:cs="Times New Roman"/>
          <w:sz w:val="24"/>
          <w:szCs w:val="24"/>
        </w:rPr>
        <w:t>, 2021; World Health Organization, 2011). Moreover, unemployment or low pay/income even while employed is a significant factor in why they lead such a life.</w:t>
      </w:r>
    </w:p>
    <w:p w14:paraId="53666FBA" w14:textId="77777777" w:rsidR="009A354A" w:rsidRDefault="009A354A" w:rsidP="009A354A">
      <w:pPr>
        <w:tabs>
          <w:tab w:val="left" w:pos="1690"/>
        </w:tabs>
        <w:spacing w:line="360" w:lineRule="auto"/>
        <w:jc w:val="both"/>
        <w:rPr>
          <w:rFonts w:ascii="Times New Roman" w:hAnsi="Times New Roman" w:cs="Times New Roman"/>
          <w:sz w:val="24"/>
          <w:szCs w:val="24"/>
        </w:rPr>
      </w:pPr>
      <w:r w:rsidRPr="00506185">
        <w:rPr>
          <w:rFonts w:ascii="Times New Roman" w:hAnsi="Times New Roman" w:cs="Times New Roman"/>
          <w:sz w:val="24"/>
          <w:szCs w:val="24"/>
        </w:rPr>
        <w:t xml:space="preserve">Writing on the condition of PWDs in Nigeria, Lindsay, (2011), noted that they face physical as well as attitudinal barriers to employment. Having a good education alone does not guarantee employment for people with disabilities. Negative attitudes and misconceptions about capacity and productivity also act as barriers. In agreement, </w:t>
      </w:r>
      <w:proofErr w:type="spellStart"/>
      <w:r w:rsidRPr="00506185">
        <w:rPr>
          <w:rFonts w:ascii="Times New Roman" w:hAnsi="Times New Roman" w:cs="Times New Roman"/>
          <w:sz w:val="24"/>
          <w:szCs w:val="24"/>
        </w:rPr>
        <w:t>Akubo</w:t>
      </w:r>
      <w:proofErr w:type="spellEnd"/>
      <w:r w:rsidRPr="00506185">
        <w:rPr>
          <w:rFonts w:ascii="Times New Roman" w:hAnsi="Times New Roman" w:cs="Times New Roman"/>
          <w:sz w:val="24"/>
          <w:szCs w:val="24"/>
        </w:rPr>
        <w:t xml:space="preserve"> (2020), lamented that lack of opportunities available for PWDs in Nigeria as well as weak implementation and enforcement of</w:t>
      </w:r>
      <w:r>
        <w:rPr>
          <w:rFonts w:ascii="Times New Roman" w:hAnsi="Times New Roman" w:cs="Times New Roman"/>
          <w:sz w:val="24"/>
          <w:szCs w:val="24"/>
        </w:rPr>
        <w:t xml:space="preserve"> </w:t>
      </w:r>
      <w:r w:rsidRPr="00506185">
        <w:rPr>
          <w:rFonts w:ascii="Times New Roman" w:hAnsi="Times New Roman" w:cs="Times New Roman"/>
          <w:sz w:val="24"/>
          <w:szCs w:val="24"/>
        </w:rPr>
        <w:t>legislation reduces their employment participation. Economic empowerment for PWDs is low, despite their desire to work and in some cases high levels of education. They are given certain jobs due to misconceptions and stereotypes, regardless of skills and education and in some instances; they are employed as token gestures.</w:t>
      </w:r>
    </w:p>
    <w:p w14:paraId="1BD90D50" w14:textId="32B44603" w:rsidR="009A354A" w:rsidRDefault="009A354A" w:rsidP="00917B20">
      <w:pPr>
        <w:tabs>
          <w:tab w:val="left" w:pos="1690"/>
        </w:tabs>
        <w:spacing w:line="360" w:lineRule="auto"/>
        <w:rPr>
          <w:rFonts w:ascii="Times New Roman" w:hAnsi="Times New Roman" w:cs="Times New Roman"/>
          <w:sz w:val="24"/>
          <w:szCs w:val="24"/>
        </w:rPr>
      </w:pPr>
      <w:r w:rsidRPr="00506185">
        <w:rPr>
          <w:rFonts w:ascii="Times New Roman" w:hAnsi="Times New Roman" w:cs="Times New Roman"/>
          <w:sz w:val="24"/>
          <w:szCs w:val="24"/>
        </w:rPr>
        <w:t xml:space="preserve">The Nigeria employers according to </w:t>
      </w:r>
      <w:proofErr w:type="spellStart"/>
      <w:r w:rsidRPr="00506185">
        <w:rPr>
          <w:rFonts w:ascii="Times New Roman" w:hAnsi="Times New Roman" w:cs="Times New Roman"/>
          <w:sz w:val="24"/>
          <w:szCs w:val="24"/>
        </w:rPr>
        <w:t>Iroanusi</w:t>
      </w:r>
      <w:proofErr w:type="spellEnd"/>
      <w:r w:rsidRPr="00506185">
        <w:rPr>
          <w:rFonts w:ascii="Times New Roman" w:hAnsi="Times New Roman" w:cs="Times New Roman"/>
          <w:sz w:val="24"/>
          <w:szCs w:val="24"/>
        </w:rPr>
        <w:t>, (2019), are stakeholders</w:t>
      </w:r>
      <w:r w:rsidR="00917B20">
        <w:rPr>
          <w:rFonts w:ascii="Times New Roman" w:hAnsi="Times New Roman" w:cs="Times New Roman"/>
          <w:sz w:val="24"/>
          <w:szCs w:val="24"/>
        </w:rPr>
        <w:t xml:space="preserve">, </w:t>
      </w:r>
      <w:r w:rsidRPr="00506185">
        <w:rPr>
          <w:rFonts w:ascii="Times New Roman" w:hAnsi="Times New Roman" w:cs="Times New Roman"/>
          <w:sz w:val="24"/>
          <w:szCs w:val="24"/>
        </w:rPr>
        <w:t xml:space="preserve">private sectors, local and national </w:t>
      </w:r>
      <w:proofErr w:type="spellStart"/>
      <w:r w:rsidRPr="00506185">
        <w:rPr>
          <w:rFonts w:ascii="Times New Roman" w:hAnsi="Times New Roman" w:cs="Times New Roman"/>
          <w:sz w:val="24"/>
          <w:szCs w:val="24"/>
        </w:rPr>
        <w:t>organisations</w:t>
      </w:r>
      <w:proofErr w:type="spellEnd"/>
      <w:r w:rsidRPr="00506185">
        <w:rPr>
          <w:rFonts w:ascii="Times New Roman" w:hAnsi="Times New Roman" w:cs="Times New Roman"/>
          <w:sz w:val="24"/>
          <w:szCs w:val="24"/>
        </w:rPr>
        <w:t xml:space="preserve">, which include registered companies operating in Nigeria. The attitude and misconceptions </w:t>
      </w:r>
      <w:proofErr w:type="spellStart"/>
      <w:r w:rsidRPr="00506185">
        <w:rPr>
          <w:rFonts w:ascii="Times New Roman" w:hAnsi="Times New Roman" w:cs="Times New Roman"/>
          <w:sz w:val="24"/>
          <w:szCs w:val="24"/>
        </w:rPr>
        <w:t>harboured</w:t>
      </w:r>
      <w:proofErr w:type="spellEnd"/>
      <w:r w:rsidRPr="00506185">
        <w:rPr>
          <w:rFonts w:ascii="Times New Roman" w:hAnsi="Times New Roman" w:cs="Times New Roman"/>
          <w:sz w:val="24"/>
          <w:szCs w:val="24"/>
        </w:rPr>
        <w:t xml:space="preserve"> by these stake holders against the PWD create an atmosphere of disregard on them. More often than not, these employers deny PWDs employment regarding them as less competent or even a burden to the entire </w:t>
      </w:r>
      <w:proofErr w:type="spellStart"/>
      <w:r w:rsidRPr="00506185">
        <w:rPr>
          <w:rFonts w:ascii="Times New Roman" w:hAnsi="Times New Roman" w:cs="Times New Roman"/>
          <w:sz w:val="24"/>
          <w:szCs w:val="24"/>
        </w:rPr>
        <w:t>organisation</w:t>
      </w:r>
      <w:proofErr w:type="spellEnd"/>
      <w:r w:rsidRPr="00506185">
        <w:rPr>
          <w:rFonts w:ascii="Times New Roman" w:hAnsi="Times New Roman" w:cs="Times New Roman"/>
          <w:sz w:val="24"/>
          <w:szCs w:val="24"/>
        </w:rPr>
        <w:t xml:space="preserve">. Most of the PWDs in Nigeria continually face barriers to their participation in society and are often </w:t>
      </w:r>
      <w:proofErr w:type="spellStart"/>
      <w:r w:rsidRPr="00506185">
        <w:rPr>
          <w:rFonts w:ascii="Times New Roman" w:hAnsi="Times New Roman" w:cs="Times New Roman"/>
          <w:sz w:val="24"/>
          <w:szCs w:val="24"/>
        </w:rPr>
        <w:t>marginalised</w:t>
      </w:r>
      <w:proofErr w:type="spellEnd"/>
      <w:r w:rsidRPr="00506185">
        <w:rPr>
          <w:rFonts w:ascii="Times New Roman" w:hAnsi="Times New Roman" w:cs="Times New Roman"/>
          <w:sz w:val="24"/>
          <w:szCs w:val="24"/>
        </w:rPr>
        <w:t xml:space="preserve"> and afforded little or no opportunities to express themselves and to contribute to their development or that of their families, communities and nation. They are regarded as people to be pitied rather than as people who can contribute to the development of Nigeria. As such, they face stigma and discrimination and lack access to opportunities guaranteed by law, such as education, rehabilitation, employment, and the like. Even when they have been educated or rehabilitated and meet the necessary requirements for employment, they are often denied employment because of their disability (</w:t>
      </w:r>
      <w:proofErr w:type="spellStart"/>
      <w:r w:rsidRPr="00506185">
        <w:rPr>
          <w:rFonts w:ascii="Times New Roman" w:hAnsi="Times New Roman" w:cs="Times New Roman"/>
          <w:sz w:val="24"/>
          <w:szCs w:val="24"/>
        </w:rPr>
        <w:t>Osukwu</w:t>
      </w:r>
      <w:proofErr w:type="spellEnd"/>
      <w:r w:rsidRPr="00506185">
        <w:rPr>
          <w:rFonts w:ascii="Times New Roman" w:hAnsi="Times New Roman" w:cs="Times New Roman"/>
          <w:sz w:val="24"/>
          <w:szCs w:val="24"/>
        </w:rPr>
        <w:t>, 2019).</w:t>
      </w:r>
    </w:p>
    <w:p w14:paraId="70E06843" w14:textId="77777777" w:rsidR="009A354A" w:rsidRDefault="009A354A" w:rsidP="00917B20">
      <w:pPr>
        <w:tabs>
          <w:tab w:val="left" w:pos="1690"/>
        </w:tabs>
        <w:spacing w:line="360" w:lineRule="auto"/>
        <w:rPr>
          <w:rFonts w:ascii="Times New Roman" w:hAnsi="Times New Roman" w:cs="Times New Roman"/>
          <w:sz w:val="24"/>
          <w:szCs w:val="24"/>
        </w:rPr>
      </w:pPr>
      <w:r w:rsidRPr="00506185">
        <w:rPr>
          <w:rFonts w:ascii="Times New Roman" w:hAnsi="Times New Roman" w:cs="Times New Roman"/>
          <w:sz w:val="24"/>
          <w:szCs w:val="24"/>
        </w:rPr>
        <w:t xml:space="preserve">Consequently, PWDs have to depend on family members, well-wishers and charity groups for assistance to sustain themselves as they have no source of income for their livelihood. Their situation is dire because the opportunities for them to emerge from poverty are limited, in many cases by the lack of enabling legislation to promote their access to skills development and </w:t>
      </w:r>
      <w:r w:rsidRPr="00506185">
        <w:rPr>
          <w:rFonts w:ascii="Times New Roman" w:hAnsi="Times New Roman" w:cs="Times New Roman"/>
          <w:sz w:val="24"/>
          <w:szCs w:val="24"/>
        </w:rPr>
        <w:lastRenderedPageBreak/>
        <w:t>employment opportunities or by weak implementation and enforcement measure where such legislation is in place.</w:t>
      </w:r>
    </w:p>
    <w:p w14:paraId="6C0CC700" w14:textId="77777777" w:rsidR="009A354A" w:rsidRDefault="009A354A" w:rsidP="00917B20">
      <w:pPr>
        <w:tabs>
          <w:tab w:val="left" w:pos="1690"/>
        </w:tabs>
        <w:spacing w:line="360" w:lineRule="auto"/>
        <w:rPr>
          <w:rFonts w:ascii="Times New Roman" w:hAnsi="Times New Roman" w:cs="Times New Roman"/>
          <w:sz w:val="24"/>
          <w:szCs w:val="24"/>
        </w:rPr>
      </w:pPr>
      <w:r w:rsidRPr="00506185">
        <w:rPr>
          <w:rFonts w:ascii="Times New Roman" w:hAnsi="Times New Roman" w:cs="Times New Roman"/>
          <w:sz w:val="24"/>
          <w:szCs w:val="24"/>
        </w:rPr>
        <w:t xml:space="preserve">Despite the Nigeria Disabilities Act of 2018 and UNESCO (2020) Global Education Monitoring Report, many researchers have surveyed employers about their attitudes and commitment toward hiring and retaining workers with disabilities and their experiences with accommodating such workers. The picture that has emerged is generally rather rosy, reflecting a veneer of employer acceptance of workers with disabilities. According to report, the percentage of PWDs is excessively high compared to the percentage of individuals who get hired in the employment sector, which indicates mistreatment towards the PWDs especially in terms of job opportunities. Although individuals with disabilities are identified with long-term physical, mental, intellectual, and emotional disabilities, they should have the same rights as others. Disabilities should not be made the reasons for denying their rights as they are part of the community. Besides, Nigeria </w:t>
      </w:r>
      <w:proofErr w:type="gramStart"/>
      <w:r w:rsidRPr="00506185">
        <w:rPr>
          <w:rFonts w:ascii="Times New Roman" w:hAnsi="Times New Roman" w:cs="Times New Roman"/>
          <w:sz w:val="24"/>
          <w:szCs w:val="24"/>
        </w:rPr>
        <w:t>In</w:t>
      </w:r>
      <w:proofErr w:type="gramEnd"/>
      <w:r w:rsidRPr="00506185">
        <w:rPr>
          <w:rFonts w:ascii="Times New Roman" w:hAnsi="Times New Roman" w:cs="Times New Roman"/>
          <w:sz w:val="24"/>
          <w:szCs w:val="24"/>
        </w:rPr>
        <w:t xml:space="preserve"> view of the above, this paper therefore, identifies the factors that hinder the PWDs from being employed; barriers from employers, work place, employees employers, particularly those in the private sector, are mandated to implement the five percent occupational disability policy.</w:t>
      </w:r>
      <w:r w:rsidRPr="006B3831">
        <w:t xml:space="preserve"> </w:t>
      </w:r>
      <w:r w:rsidRPr="006B3831">
        <w:rPr>
          <w:rFonts w:ascii="Times New Roman" w:hAnsi="Times New Roman" w:cs="Times New Roman"/>
          <w:sz w:val="24"/>
          <w:szCs w:val="24"/>
        </w:rPr>
        <w:t>In view of the above, this paper therefore, identifies the factors that hinder the PWDs from being employed; barriers from employers, work place, employees</w:t>
      </w:r>
      <w:r>
        <w:rPr>
          <w:rFonts w:ascii="Times New Roman" w:hAnsi="Times New Roman" w:cs="Times New Roman"/>
          <w:sz w:val="24"/>
          <w:szCs w:val="24"/>
        </w:rPr>
        <w:t xml:space="preserve"> </w:t>
      </w:r>
      <w:r w:rsidRPr="006B3831">
        <w:rPr>
          <w:rFonts w:ascii="Times New Roman" w:hAnsi="Times New Roman" w:cs="Times New Roman"/>
          <w:sz w:val="24"/>
          <w:szCs w:val="24"/>
        </w:rPr>
        <w:t>and wider contexts. Pre-conditions needed for improved job opportunities for the PWDs were discussed as well as strategies to improve the ugly situation.</w:t>
      </w:r>
    </w:p>
    <w:p w14:paraId="45FC2174" w14:textId="08BFC290" w:rsidR="009A354A" w:rsidRPr="00623D06" w:rsidRDefault="009A354A" w:rsidP="009A354A">
      <w:p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t xml:space="preserve"> </w:t>
      </w:r>
      <w:r w:rsidR="00917B20" w:rsidRPr="00623D06">
        <w:rPr>
          <w:rFonts w:ascii="Times New Roman" w:hAnsi="Times New Roman" w:cs="Times New Roman"/>
          <w:b/>
          <w:bCs/>
          <w:sz w:val="24"/>
          <w:szCs w:val="24"/>
        </w:rPr>
        <w:t xml:space="preserve">NATURE OF COMPENSATION </w:t>
      </w:r>
    </w:p>
    <w:p w14:paraId="749C37C7" w14:textId="77777777" w:rsidR="009A354A" w:rsidRDefault="009A354A" w:rsidP="009A354A">
      <w:pPr>
        <w:tabs>
          <w:tab w:val="left" w:pos="1690"/>
        </w:tabs>
        <w:spacing w:line="360" w:lineRule="auto"/>
        <w:jc w:val="both"/>
        <w:rPr>
          <w:rFonts w:ascii="Times New Roman" w:hAnsi="Times New Roman" w:cs="Times New Roman"/>
          <w:sz w:val="24"/>
          <w:szCs w:val="24"/>
        </w:rPr>
      </w:pPr>
      <w:r w:rsidRPr="00116C70">
        <w:rPr>
          <w:rFonts w:ascii="Times New Roman" w:hAnsi="Times New Roman" w:cs="Times New Roman"/>
          <w:sz w:val="24"/>
          <w:szCs w:val="24"/>
        </w:rPr>
        <w:t xml:space="preserve">There are five major compensable injuries recognized under the ECA. These include: </w:t>
      </w:r>
    </w:p>
    <w:p w14:paraId="2814C8ED" w14:textId="77777777" w:rsidR="009A354A" w:rsidRPr="00623D06" w:rsidRDefault="009A354A" w:rsidP="009A354A">
      <w:pPr>
        <w:numPr>
          <w:ilvl w:val="0"/>
          <w:numId w:val="1"/>
        </w:num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t>Disabling injury arising out of or in the course of employment</w:t>
      </w:r>
    </w:p>
    <w:p w14:paraId="406CFAD9" w14:textId="77777777" w:rsidR="009A354A" w:rsidRDefault="009A354A" w:rsidP="00917B20">
      <w:pPr>
        <w:tabs>
          <w:tab w:val="left" w:pos="1690"/>
        </w:tabs>
        <w:spacing w:line="360" w:lineRule="auto"/>
        <w:rPr>
          <w:rFonts w:ascii="Times New Roman" w:hAnsi="Times New Roman" w:cs="Times New Roman"/>
          <w:sz w:val="24"/>
          <w:szCs w:val="24"/>
        </w:rPr>
      </w:pPr>
      <w:r w:rsidRPr="00116C70">
        <w:rPr>
          <w:rFonts w:ascii="Times New Roman" w:hAnsi="Times New Roman" w:cs="Times New Roman"/>
          <w:sz w:val="24"/>
          <w:szCs w:val="24"/>
        </w:rPr>
        <w:t xml:space="preserve"> Compensation is payable for disabling injury arising out of or in the course of employment. Such injury must prevent the employee from earning full remuneration at the workplace. The compensation is payable from the first working day following the day of injury except that only a health care benefit shall be payable in respect of the day of injury. In this wise, the Act improves on the WCA 1987 which required the injury to incapacitate the worker for at least three days. In fact, an employee will be eligible, even where he suffers injury on the first day of work. Compensation exists for permanent total disability and permanent partial disability as contained </w:t>
      </w:r>
      <w:r w:rsidRPr="00116C70">
        <w:rPr>
          <w:rFonts w:ascii="Times New Roman" w:hAnsi="Times New Roman" w:cs="Times New Roman"/>
          <w:sz w:val="24"/>
          <w:szCs w:val="24"/>
        </w:rPr>
        <w:lastRenderedPageBreak/>
        <w:t>in the second schedule to the Act. Periodic payments apply to permanent total and permanent partial disability under sections 21 and 22 respectively.</w:t>
      </w:r>
    </w:p>
    <w:p w14:paraId="2FE02D00" w14:textId="77777777" w:rsidR="009A354A" w:rsidRPr="00D860D6" w:rsidRDefault="009A354A" w:rsidP="009A354A">
      <w:pPr>
        <w:numPr>
          <w:ilvl w:val="0"/>
          <w:numId w:val="1"/>
        </w:num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t>Mental stress</w:t>
      </w:r>
    </w:p>
    <w:p w14:paraId="462B2E7E" w14:textId="77777777" w:rsidR="009A354A" w:rsidRDefault="009A354A" w:rsidP="009A354A">
      <w:pPr>
        <w:tabs>
          <w:tab w:val="left" w:pos="1690"/>
        </w:tabs>
        <w:spacing w:line="360" w:lineRule="auto"/>
        <w:jc w:val="both"/>
        <w:rPr>
          <w:rFonts w:ascii="Times New Roman" w:hAnsi="Times New Roman" w:cs="Times New Roman"/>
          <w:sz w:val="24"/>
          <w:szCs w:val="24"/>
        </w:rPr>
      </w:pPr>
      <w:r w:rsidRPr="00116C70">
        <w:rPr>
          <w:rFonts w:ascii="Times New Roman" w:hAnsi="Times New Roman" w:cs="Times New Roman"/>
          <w:sz w:val="24"/>
          <w:szCs w:val="24"/>
        </w:rPr>
        <w:t xml:space="preserve"> The provision for this compensation is a key innovation in the Act. Section 8 provides for the payment of compensation for mental stress, not resulting from injury to which the employee is entitled to compensation, on condition that the mental stress is an acute reaction to a sudden and unexpected traumatic event, arising out of or in the course of employment under section 8(a) or it is designated by an accredited medical practitioner as a mental or physical condition amounting to mental stress arising out of work under section 8(b). The provision of section 8 (b) will serve a great purpose under the law with the increasing growth of service industries as against manufacturing ones in modern times. This means that work that causes mental stress which is not premised on an identifiable traumatic event but rather resulting from a continuous process will be covered by the Act.</w:t>
      </w:r>
    </w:p>
    <w:p w14:paraId="01A37B48" w14:textId="77777777" w:rsidR="009A354A" w:rsidRPr="00623D06" w:rsidRDefault="009A354A" w:rsidP="009A354A">
      <w:pPr>
        <w:numPr>
          <w:ilvl w:val="0"/>
          <w:numId w:val="1"/>
        </w:num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t>Occupational Diseases</w:t>
      </w:r>
    </w:p>
    <w:p w14:paraId="77BD3505" w14:textId="77777777" w:rsidR="009A354A" w:rsidRDefault="009A354A" w:rsidP="009A354A">
      <w:pPr>
        <w:tabs>
          <w:tab w:val="left" w:pos="1690"/>
        </w:tabs>
        <w:spacing w:line="360" w:lineRule="auto"/>
        <w:jc w:val="both"/>
        <w:rPr>
          <w:rFonts w:ascii="Times New Roman" w:hAnsi="Times New Roman" w:cs="Times New Roman"/>
          <w:sz w:val="24"/>
          <w:szCs w:val="24"/>
        </w:rPr>
      </w:pPr>
      <w:r w:rsidRPr="00116C70">
        <w:rPr>
          <w:rFonts w:ascii="Times New Roman" w:hAnsi="Times New Roman" w:cs="Times New Roman"/>
          <w:sz w:val="24"/>
          <w:szCs w:val="24"/>
        </w:rPr>
        <w:t xml:space="preserve"> Compensation and health care benefits is also available for occupational diseases which disable an employee from earning full remuneration at the workplace or causes the death of the employee. Section 9, together with the first schedule of the Act, contains a list of occupational diseases. The disease must be proved to be due to the nature of any employment in which the employee was employed, whether under one or more employments, or a disease listed in the first schedule to the Act. Therefore, the first schedule list is not exhaustive. According to section 9(3) any employee in any workplace who becomes disabled from any uncomplicated disease or any disease that is complicated by any other disease, condition or factor, shall be entitled to compensation for total or partial disability as shall be determined under the Act. By section 9(4), the employee must have been in employment in a workplace associated with exposure to an agent or agents leading to that condition and he must have been first exposed to the agent causing the disease in the workplace. Section 9 (5) empowers the Board to apportion the compensation between any two or more classes or subclasses of industry where the employee had been exposed according to the duration and severity of exposure in each. There is a presumption that a diseased employee under 70 years at the time of death and who was suffering from an occupational disease of a type that impairs the capacity of the vital organs of non-traumatic origin died from the occupational disease.</w:t>
      </w:r>
    </w:p>
    <w:p w14:paraId="30A8060B" w14:textId="77777777" w:rsidR="009A354A" w:rsidRPr="00D860D6" w:rsidRDefault="009A354A" w:rsidP="009A354A">
      <w:pPr>
        <w:numPr>
          <w:ilvl w:val="0"/>
          <w:numId w:val="1"/>
        </w:num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lastRenderedPageBreak/>
        <w:t xml:space="preserve">Hearing impairment </w:t>
      </w:r>
    </w:p>
    <w:p w14:paraId="38FC915D" w14:textId="77777777" w:rsidR="009A354A" w:rsidRDefault="009A354A" w:rsidP="009A354A">
      <w:pPr>
        <w:tabs>
          <w:tab w:val="left" w:pos="1690"/>
        </w:tabs>
        <w:spacing w:line="360" w:lineRule="auto"/>
        <w:jc w:val="both"/>
        <w:rPr>
          <w:rFonts w:ascii="Times New Roman" w:hAnsi="Times New Roman" w:cs="Times New Roman"/>
          <w:sz w:val="24"/>
          <w:szCs w:val="24"/>
        </w:rPr>
      </w:pPr>
      <w:r w:rsidRPr="00116C70">
        <w:rPr>
          <w:rFonts w:ascii="Times New Roman" w:hAnsi="Times New Roman" w:cs="Times New Roman"/>
          <w:sz w:val="24"/>
          <w:szCs w:val="24"/>
        </w:rPr>
        <w:t>Under section 10, hearing impairment of non-traumatic origin but arising out of or in the course of employment is compensable. Where the impairment results in total deafness, but with no loss of earnings resulting from the hearing impairment, the compensation shall be calculated under regulations made by the Board in consultation with the National Council for Occupational Safety and Health in respect of the ranges of impairment, the percentages of disability, the methods or frequencies to be used to measure hearing impairment and any other matter relative to it. If loss or reduction of earnings results from the hearing impairment, then the employee will be entitled to compensation for a total or partial disability as established under the law.</w:t>
      </w:r>
      <w:r>
        <w:rPr>
          <w:rFonts w:ascii="Times New Roman" w:hAnsi="Times New Roman" w:cs="Times New Roman"/>
          <w:sz w:val="24"/>
          <w:szCs w:val="24"/>
        </w:rPr>
        <w:t xml:space="preserve"> </w:t>
      </w:r>
      <w:r w:rsidRPr="00116C70">
        <w:rPr>
          <w:rFonts w:ascii="Times New Roman" w:hAnsi="Times New Roman" w:cs="Times New Roman"/>
          <w:sz w:val="24"/>
          <w:szCs w:val="24"/>
        </w:rPr>
        <w:t>Although there was provision for compensation for hearing impairment under the repealed law, the hearing impairment to be compensated was tied to injuries arising out of accidents. In the new Act, the provision on hearing impairment is wider in that the impairment need not be traced to accidents and could be a gradual process arising from the employment. This is commendable.</w:t>
      </w:r>
    </w:p>
    <w:p w14:paraId="4C616D8F" w14:textId="77777777" w:rsidR="009A354A" w:rsidRPr="00623D06" w:rsidRDefault="009A354A" w:rsidP="009A354A">
      <w:pPr>
        <w:numPr>
          <w:ilvl w:val="0"/>
          <w:numId w:val="1"/>
        </w:numPr>
        <w:tabs>
          <w:tab w:val="left" w:pos="1690"/>
        </w:tabs>
        <w:spacing w:line="360" w:lineRule="auto"/>
        <w:jc w:val="both"/>
        <w:rPr>
          <w:rFonts w:ascii="Times New Roman" w:hAnsi="Times New Roman" w:cs="Times New Roman"/>
          <w:b/>
          <w:bCs/>
          <w:sz w:val="24"/>
          <w:szCs w:val="24"/>
        </w:rPr>
      </w:pPr>
      <w:r w:rsidRPr="00623D06">
        <w:rPr>
          <w:rFonts w:ascii="Times New Roman" w:hAnsi="Times New Roman" w:cs="Times New Roman"/>
          <w:b/>
          <w:bCs/>
          <w:sz w:val="24"/>
          <w:szCs w:val="24"/>
        </w:rPr>
        <w:t xml:space="preserve">Disfigurement </w:t>
      </w:r>
    </w:p>
    <w:p w14:paraId="50B4D972" w14:textId="77777777" w:rsidR="009A354A" w:rsidRDefault="009A354A" w:rsidP="009A354A">
      <w:pPr>
        <w:tabs>
          <w:tab w:val="left" w:pos="1690"/>
        </w:tabs>
        <w:spacing w:line="360" w:lineRule="auto"/>
        <w:jc w:val="both"/>
        <w:rPr>
          <w:rFonts w:ascii="Times New Roman" w:hAnsi="Times New Roman" w:cs="Times New Roman"/>
          <w:sz w:val="24"/>
          <w:szCs w:val="24"/>
        </w:rPr>
      </w:pPr>
      <w:r w:rsidRPr="00116C70">
        <w:rPr>
          <w:rFonts w:ascii="Times New Roman" w:hAnsi="Times New Roman" w:cs="Times New Roman"/>
          <w:sz w:val="24"/>
          <w:szCs w:val="24"/>
        </w:rPr>
        <w:t>By section 22(8) a serious and permanent disfigurement which the Board considers is capable of impairing the employee’s earning capacity entitles him to lump sum payment even if the earning before the injury is not diminished. So, disfigurement, for example scarred face, may impair earning capacity but even if actual earning before the date of the injury is not diminished, it would still be compensable. The nature of disfigurement as an injury supports this provision, as it may not necessarily result in the type of disabilities listed in the second schedule to the Act.</w:t>
      </w:r>
    </w:p>
    <w:p w14:paraId="5EC82558" w14:textId="3AB32269" w:rsidR="00713F77" w:rsidRPr="00CE4F75" w:rsidRDefault="00917B20" w:rsidP="00713F77">
      <w:pPr>
        <w:tabs>
          <w:tab w:val="left" w:pos="1690"/>
        </w:tabs>
        <w:spacing w:line="360" w:lineRule="auto"/>
        <w:jc w:val="both"/>
        <w:rPr>
          <w:rFonts w:ascii="Times New Roman" w:hAnsi="Times New Roman" w:cs="Times New Roman"/>
          <w:b/>
          <w:bCs/>
          <w:sz w:val="24"/>
          <w:szCs w:val="24"/>
        </w:rPr>
      </w:pPr>
      <w:r w:rsidRPr="00CE4F75">
        <w:rPr>
          <w:rFonts w:ascii="Times New Roman" w:hAnsi="Times New Roman" w:cs="Times New Roman"/>
          <w:b/>
          <w:bCs/>
          <w:sz w:val="24"/>
          <w:szCs w:val="24"/>
        </w:rPr>
        <w:t>SCOPE AND LIMIT OF LIABILITY FOR COMPENSATION</w:t>
      </w:r>
    </w:p>
    <w:p w14:paraId="3F4D867F" w14:textId="77777777" w:rsidR="00713F77" w:rsidRDefault="00713F77" w:rsidP="00713F77">
      <w:pPr>
        <w:tabs>
          <w:tab w:val="left" w:pos="1690"/>
        </w:tabs>
        <w:spacing w:line="360" w:lineRule="auto"/>
        <w:jc w:val="both"/>
        <w:rPr>
          <w:rFonts w:ascii="Times New Roman" w:hAnsi="Times New Roman" w:cs="Times New Roman"/>
          <w:sz w:val="24"/>
          <w:szCs w:val="24"/>
        </w:rPr>
      </w:pPr>
      <w:r w:rsidRPr="00CE4F75">
        <w:rPr>
          <w:rFonts w:ascii="Times New Roman" w:hAnsi="Times New Roman" w:cs="Times New Roman"/>
          <w:sz w:val="24"/>
          <w:szCs w:val="24"/>
        </w:rPr>
        <w:t>This covers both the compensable injuries and the scale and quantum of compensation payable for the compensable injuries. The scope and limit of liability for compensation (compensable injuries) are defined in part III of the Act, while part IV deals with scale and quantum of compensation payable in case of the injuries or liabilities.</w:t>
      </w:r>
    </w:p>
    <w:p w14:paraId="1C2D94B3" w14:textId="77777777" w:rsidR="00713F77" w:rsidRPr="005A3656" w:rsidRDefault="00713F77" w:rsidP="005A3656">
      <w:pPr>
        <w:pStyle w:val="ListParagraph"/>
        <w:numPr>
          <w:ilvl w:val="0"/>
          <w:numId w:val="12"/>
        </w:numPr>
        <w:tabs>
          <w:tab w:val="left" w:pos="1690"/>
        </w:tabs>
        <w:spacing w:line="360" w:lineRule="auto"/>
        <w:jc w:val="both"/>
        <w:rPr>
          <w:rFonts w:ascii="Times New Roman" w:hAnsi="Times New Roman" w:cs="Times New Roman"/>
          <w:sz w:val="24"/>
          <w:szCs w:val="24"/>
        </w:rPr>
      </w:pPr>
      <w:r w:rsidRPr="005A3656">
        <w:rPr>
          <w:rFonts w:ascii="Times New Roman" w:hAnsi="Times New Roman" w:cs="Times New Roman"/>
          <w:b/>
          <w:bCs/>
          <w:sz w:val="24"/>
          <w:szCs w:val="24"/>
        </w:rPr>
        <w:t>Compensable Injuries</w:t>
      </w:r>
      <w:r w:rsidRPr="005A3656">
        <w:rPr>
          <w:rFonts w:ascii="Times New Roman" w:hAnsi="Times New Roman" w:cs="Times New Roman"/>
          <w:sz w:val="24"/>
          <w:szCs w:val="24"/>
        </w:rPr>
        <w:t xml:space="preserve"> These are generally injuries or disabilities visible or latent, for which compensations are payable under the Act. These include physical injuries including fatal injuries; mental stress; hearing impairments; and occupational diseases (section 7-16 of the Act). </w:t>
      </w:r>
    </w:p>
    <w:p w14:paraId="1BAE5359" w14:textId="77777777" w:rsidR="00713F77" w:rsidRDefault="00713F77" w:rsidP="00713F77">
      <w:pPr>
        <w:tabs>
          <w:tab w:val="left" w:pos="1690"/>
        </w:tabs>
        <w:spacing w:line="360" w:lineRule="auto"/>
        <w:jc w:val="both"/>
        <w:rPr>
          <w:rFonts w:ascii="Times New Roman" w:hAnsi="Times New Roman" w:cs="Times New Roman"/>
          <w:sz w:val="24"/>
          <w:szCs w:val="24"/>
        </w:rPr>
      </w:pPr>
      <w:r w:rsidRPr="00CE4F75">
        <w:rPr>
          <w:rFonts w:ascii="Times New Roman" w:hAnsi="Times New Roman" w:cs="Times New Roman"/>
          <w:sz w:val="24"/>
          <w:szCs w:val="24"/>
        </w:rPr>
        <w:lastRenderedPageBreak/>
        <w:t xml:space="preserve">The Act no doubt has extended the scope and limit of liability for compensation beyond what was obtainable under the Workmen’s Compensation Act 2004. The scope of compensable injuries under the Workmen’s Compensation Act was primarily limited to personal injuries including fatal injuries and occupational diseases arising out of and in course of employment. Compensation for mental stress and hearing impairments are clear innovations introduced by the Act. </w:t>
      </w:r>
    </w:p>
    <w:p w14:paraId="09C03947" w14:textId="77777777" w:rsidR="00713F77" w:rsidRPr="00FD3909" w:rsidRDefault="00713F77" w:rsidP="00713F77">
      <w:pPr>
        <w:numPr>
          <w:ilvl w:val="0"/>
          <w:numId w:val="2"/>
        </w:numPr>
        <w:tabs>
          <w:tab w:val="left" w:pos="1690"/>
        </w:tabs>
        <w:spacing w:line="360" w:lineRule="auto"/>
        <w:jc w:val="both"/>
        <w:rPr>
          <w:rFonts w:ascii="Times New Roman" w:hAnsi="Times New Roman" w:cs="Times New Roman"/>
          <w:b/>
          <w:bCs/>
          <w:sz w:val="24"/>
          <w:szCs w:val="24"/>
        </w:rPr>
      </w:pPr>
      <w:r w:rsidRPr="00FD3909">
        <w:rPr>
          <w:rFonts w:ascii="Times New Roman" w:hAnsi="Times New Roman" w:cs="Times New Roman"/>
          <w:b/>
          <w:bCs/>
          <w:sz w:val="24"/>
          <w:szCs w:val="24"/>
        </w:rPr>
        <w:t xml:space="preserve">Compensation for injuries </w:t>
      </w:r>
    </w:p>
    <w:p w14:paraId="2E621842"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Section 7(1) of the Employee’s Compensation Act provides: Any employee, whether or not in a work place, who suffers any disabling injury, arising out of or in course of employment, shall be entitled to payment for compensation in accordance with part IV of this Act. </w:t>
      </w:r>
    </w:p>
    <w:p w14:paraId="0449700D"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The phrase ‘any disabling injury arising out of or in course of employment’ is the pivot around which payment of compensation for injuries revolves. Thus, for the employee to make any claim, the employee must suffer a disabling injury whether or not in a work place but must be work related. Compensation will be payable for disabling</w:t>
      </w:r>
      <w:r>
        <w:rPr>
          <w:rFonts w:ascii="Times New Roman" w:hAnsi="Times New Roman" w:cs="Times New Roman"/>
          <w:sz w:val="24"/>
          <w:szCs w:val="24"/>
        </w:rPr>
        <w:t xml:space="preserve"> </w:t>
      </w:r>
      <w:r w:rsidRPr="00FD3909">
        <w:rPr>
          <w:rFonts w:ascii="Times New Roman" w:hAnsi="Times New Roman" w:cs="Times New Roman"/>
          <w:sz w:val="24"/>
          <w:szCs w:val="24"/>
        </w:rPr>
        <w:t>injuries which incapacitate the employee from earning his normal wages. This is so, whether or not such employee suffers the injury at the place of work or outside the place of work provided it is associated with work or work related. The Phrase “arising out of or in course of employment” is a great departure from the phrase used in earlier Acts where compensable injuries revolved around injuries “arising out of and in course of employment” (See section 3(1) of the Workmen’s Compensation Act 2004).</w:t>
      </w:r>
    </w:p>
    <w:p w14:paraId="105C4E8F"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 Even though Section 7(1) of the Act did not specifically indicate that the disabling injury must be by accident, the compensation under the Act will be predicated upon the disabling injury being by accident arising out of or in course of employment. (See Section 7(2) &amp; Section 8 of the Act). This is necessary to distinguish injury from accident on the one hand and that arising from mere process of bodily degeneration which is not due to any particular known event related to the employment. This is to ensure that the scheme retains its character as one primarily concerned with traumatic injuries (</w:t>
      </w:r>
      <w:proofErr w:type="spellStart"/>
      <w:r w:rsidRPr="00FD3909">
        <w:rPr>
          <w:rFonts w:ascii="Times New Roman" w:hAnsi="Times New Roman" w:cs="Times New Roman"/>
          <w:sz w:val="24"/>
          <w:szCs w:val="24"/>
        </w:rPr>
        <w:t>Ogus</w:t>
      </w:r>
      <w:proofErr w:type="spellEnd"/>
      <w:r w:rsidRPr="00FD3909">
        <w:rPr>
          <w:rFonts w:ascii="Times New Roman" w:hAnsi="Times New Roman" w:cs="Times New Roman"/>
          <w:sz w:val="24"/>
          <w:szCs w:val="24"/>
        </w:rPr>
        <w:t xml:space="preserve">, </w:t>
      </w:r>
      <w:proofErr w:type="spellStart"/>
      <w:r w:rsidRPr="00FD3909">
        <w:rPr>
          <w:rFonts w:ascii="Times New Roman" w:hAnsi="Times New Roman" w:cs="Times New Roman"/>
          <w:sz w:val="24"/>
          <w:szCs w:val="24"/>
        </w:rPr>
        <w:t>Barendt</w:t>
      </w:r>
      <w:proofErr w:type="spellEnd"/>
      <w:r w:rsidRPr="00FD3909">
        <w:rPr>
          <w:rFonts w:ascii="Times New Roman" w:hAnsi="Times New Roman" w:cs="Times New Roman"/>
          <w:sz w:val="24"/>
          <w:szCs w:val="24"/>
        </w:rPr>
        <w:t xml:space="preserve"> &amp; </w:t>
      </w:r>
      <w:proofErr w:type="spellStart"/>
      <w:r w:rsidRPr="00FD3909">
        <w:rPr>
          <w:rFonts w:ascii="Times New Roman" w:hAnsi="Times New Roman" w:cs="Times New Roman"/>
          <w:sz w:val="24"/>
          <w:szCs w:val="24"/>
        </w:rPr>
        <w:t>Wickley</w:t>
      </w:r>
      <w:proofErr w:type="spellEnd"/>
      <w:r w:rsidRPr="00FD3909">
        <w:rPr>
          <w:rFonts w:ascii="Times New Roman" w:hAnsi="Times New Roman" w:cs="Times New Roman"/>
          <w:sz w:val="24"/>
          <w:szCs w:val="24"/>
        </w:rPr>
        <w:t xml:space="preserve"> 1995). The term accident has also been defined under the Act to mean an occurrence arising out of or in course of work which results in fatal or non-fatal occupational injury that may lead to compensation under this Act (section 73 of the Act). It must also be noted that eligibility generally is on no fault basis. It is paid regardless of whether or not the employee was negligent in causing the injury as the case may be. But this would not accommodate suicide cases at place of work (See Article 22 of ILO Rec. C121).</w:t>
      </w:r>
    </w:p>
    <w:p w14:paraId="403E8164"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lastRenderedPageBreak/>
        <w:t>Even though the Workmen’s Compensation Scheme by its character was originally and mainly concerned with traumatic work injuries, the Act has expanded the scope of the scheme beyond physical bodily injuries to clearly include some latent injuries and bodily challenges that are work related. This explains why the emphasis is now on “any disabling injuries”. Disabling injuries within this concept will no doubt cover both physical bodily injuries and other injuries to the mind provided they are work related. It is within this context that compensation and health care benefits are payable for some mental stress, occupational diseases and hearing impairment as the case may be under the Act.</w:t>
      </w:r>
    </w:p>
    <w:p w14:paraId="38F6B112" w14:textId="77777777" w:rsidR="00713F77" w:rsidRPr="00FD3909" w:rsidRDefault="00713F77" w:rsidP="00713F77">
      <w:pPr>
        <w:numPr>
          <w:ilvl w:val="0"/>
          <w:numId w:val="3"/>
        </w:numPr>
        <w:tabs>
          <w:tab w:val="left" w:pos="1690"/>
        </w:tabs>
        <w:spacing w:line="360" w:lineRule="auto"/>
        <w:jc w:val="both"/>
        <w:rPr>
          <w:rFonts w:ascii="Times New Roman" w:hAnsi="Times New Roman" w:cs="Times New Roman"/>
          <w:b/>
          <w:bCs/>
          <w:sz w:val="24"/>
          <w:szCs w:val="24"/>
        </w:rPr>
      </w:pPr>
      <w:r w:rsidRPr="00FD3909">
        <w:rPr>
          <w:rFonts w:ascii="Times New Roman" w:hAnsi="Times New Roman" w:cs="Times New Roman"/>
          <w:b/>
          <w:bCs/>
          <w:sz w:val="24"/>
          <w:szCs w:val="24"/>
        </w:rPr>
        <w:t>Compensation for Mental Stress</w:t>
      </w:r>
    </w:p>
    <w:p w14:paraId="6AF3CDE9"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 Section 8 of the Act makes compensation payable for mental stress arising from an acute reaction to a sudden and unexpected traumatic event or from mental or physical condition arising out of or in course of employment (Section 8(1) of the Act). Compensation for mental stress includes mental stress caused by change of work, the working conditions or </w:t>
      </w:r>
      <w:proofErr w:type="spellStart"/>
      <w:r w:rsidRPr="00FD3909">
        <w:rPr>
          <w:rFonts w:ascii="Times New Roman" w:hAnsi="Times New Roman" w:cs="Times New Roman"/>
          <w:sz w:val="24"/>
          <w:szCs w:val="24"/>
        </w:rPr>
        <w:t>organisation</w:t>
      </w:r>
      <w:proofErr w:type="spellEnd"/>
      <w:r w:rsidRPr="00FD3909">
        <w:rPr>
          <w:rFonts w:ascii="Times New Roman" w:hAnsi="Times New Roman" w:cs="Times New Roman"/>
          <w:sz w:val="24"/>
          <w:szCs w:val="24"/>
        </w:rPr>
        <w:t xml:space="preserve"> of work in such a way as to unfairly exceed the work ability and capacity of the employee by his employer (Section 8(2) of the Act). To avoid any disagreement that may arise in respect of any claims for mental stress arising in these circumstances, the Act empowers the Board to appoint a Medical Board of Enquiry to ascertain the mental conditions of the employee as the case may be (Section 8(3) of the Act).</w:t>
      </w:r>
    </w:p>
    <w:p w14:paraId="262F63B3"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 The inclusion of compensation for mental stress arising from change of working conditions is important in view of the fact that the employer is under a duty to take reasonable care of the employee. It also buttresses the duty of mutual respect and cooperation in employment relations. The general requirement that the conditions of work are just and humane cannot be satisfied where the psychological needs and other challenges of the employee are ignored by the employer in decision making and implementation of such decisions. Compensation for mental stress and other injuries arising from disregard of this duty by the employer becomes necessary and desirable if human dignity at work must be respected and sustained. It is also a surer way of implementing health and safety standard in employment relations as emphasized by the National Employment Policy (p45).</w:t>
      </w:r>
    </w:p>
    <w:p w14:paraId="03108DD7"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 This is a welcome development which it is hoped, will be given judicial backing through the implied duties</w:t>
      </w:r>
      <w:r>
        <w:rPr>
          <w:rFonts w:ascii="Times New Roman" w:hAnsi="Times New Roman" w:cs="Times New Roman"/>
          <w:sz w:val="24"/>
          <w:szCs w:val="24"/>
        </w:rPr>
        <w:t xml:space="preserve"> </w:t>
      </w:r>
      <w:r w:rsidRPr="00FD3909">
        <w:rPr>
          <w:rFonts w:ascii="Times New Roman" w:hAnsi="Times New Roman" w:cs="Times New Roman"/>
          <w:sz w:val="24"/>
          <w:szCs w:val="24"/>
        </w:rPr>
        <w:t xml:space="preserve">doctrine in employer/employee relations. We need not wait for actual injury to claim </w:t>
      </w:r>
      <w:r w:rsidRPr="00FD3909">
        <w:rPr>
          <w:rFonts w:ascii="Times New Roman" w:hAnsi="Times New Roman" w:cs="Times New Roman"/>
          <w:sz w:val="24"/>
          <w:szCs w:val="24"/>
        </w:rPr>
        <w:lastRenderedPageBreak/>
        <w:t xml:space="preserve">compensation. Prevention is better than cure. The duty in this regard can be enforced through pre-emptive actions and award of damages as the case may be. </w:t>
      </w:r>
    </w:p>
    <w:p w14:paraId="2D1E3358" w14:textId="77777777" w:rsidR="00713F77" w:rsidRDefault="00713F77" w:rsidP="00713F77">
      <w:pPr>
        <w:numPr>
          <w:ilvl w:val="0"/>
          <w:numId w:val="4"/>
        </w:num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b/>
          <w:bCs/>
          <w:sz w:val="24"/>
          <w:szCs w:val="24"/>
        </w:rPr>
        <w:t>Compensation for Occupational Diseases</w:t>
      </w:r>
      <w:r w:rsidRPr="00FD3909">
        <w:rPr>
          <w:rFonts w:ascii="Times New Roman" w:hAnsi="Times New Roman" w:cs="Times New Roman"/>
          <w:sz w:val="24"/>
          <w:szCs w:val="24"/>
        </w:rPr>
        <w:t xml:space="preserve"> </w:t>
      </w:r>
    </w:p>
    <w:p w14:paraId="7AA48053"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Under the Workmen’s Compensation Act 2004, because of the anticipated fear of difficulties that may arise from drawing a distinction between where contraction of a disease involves process than work accident as such, the issue of compensation for occupational diseases was left to the discretion of Minister of </w:t>
      </w:r>
      <w:proofErr w:type="spellStart"/>
      <w:r w:rsidRPr="00FD3909">
        <w:rPr>
          <w:rFonts w:ascii="Times New Roman" w:hAnsi="Times New Roman" w:cs="Times New Roman"/>
          <w:sz w:val="24"/>
          <w:szCs w:val="24"/>
        </w:rPr>
        <w:t>Labour</w:t>
      </w:r>
      <w:proofErr w:type="spellEnd"/>
      <w:r w:rsidRPr="00FD3909">
        <w:rPr>
          <w:rFonts w:ascii="Times New Roman" w:hAnsi="Times New Roman" w:cs="Times New Roman"/>
          <w:sz w:val="24"/>
          <w:szCs w:val="24"/>
        </w:rPr>
        <w:t xml:space="preserve"> upon proper medical advice (See section 32 WCA 2004). But the Employee’s Compensation Act 2010 has made claim for occupational diseases a right. </w:t>
      </w:r>
      <w:proofErr w:type="gramStart"/>
      <w:r w:rsidRPr="00FD3909">
        <w:rPr>
          <w:rFonts w:ascii="Times New Roman" w:hAnsi="Times New Roman" w:cs="Times New Roman"/>
          <w:sz w:val="24"/>
          <w:szCs w:val="24"/>
        </w:rPr>
        <w:t>Thus</w:t>
      </w:r>
      <w:proofErr w:type="gramEnd"/>
      <w:r w:rsidRPr="00FD3909">
        <w:rPr>
          <w:rFonts w:ascii="Times New Roman" w:hAnsi="Times New Roman" w:cs="Times New Roman"/>
          <w:sz w:val="24"/>
          <w:szCs w:val="24"/>
        </w:rPr>
        <w:t xml:space="preserve"> compensation will be payable to an employee where such employee due to the nature of his or her employment suffers from an occupational disease which disables him or her from earning full remuneration; or suffers from any of the occupational diseases listed in the first schedule to the Act (Section 8(d) &amp; 9(1)(a) of the Act. Compensation in this regard is no more at the discretion of the minister of </w:t>
      </w:r>
      <w:proofErr w:type="spellStart"/>
      <w:r w:rsidRPr="00FD3909">
        <w:rPr>
          <w:rFonts w:ascii="Times New Roman" w:hAnsi="Times New Roman" w:cs="Times New Roman"/>
          <w:sz w:val="24"/>
          <w:szCs w:val="24"/>
        </w:rPr>
        <w:t>labour</w:t>
      </w:r>
      <w:proofErr w:type="spellEnd"/>
      <w:r w:rsidRPr="00FD3909">
        <w:rPr>
          <w:rFonts w:ascii="Times New Roman" w:hAnsi="Times New Roman" w:cs="Times New Roman"/>
          <w:sz w:val="24"/>
          <w:szCs w:val="24"/>
        </w:rPr>
        <w:t xml:space="preserve">. </w:t>
      </w:r>
    </w:p>
    <w:p w14:paraId="13DBDA54"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Similarly, where the death of an employee is caused by any occupational disease, the </w:t>
      </w:r>
      <w:proofErr w:type="spellStart"/>
      <w:r w:rsidRPr="00FD3909">
        <w:rPr>
          <w:rFonts w:ascii="Times New Roman" w:hAnsi="Times New Roman" w:cs="Times New Roman"/>
          <w:sz w:val="24"/>
          <w:szCs w:val="24"/>
        </w:rPr>
        <w:t>dependants</w:t>
      </w:r>
      <w:proofErr w:type="spellEnd"/>
      <w:r w:rsidRPr="00FD3909">
        <w:rPr>
          <w:rFonts w:ascii="Times New Roman" w:hAnsi="Times New Roman" w:cs="Times New Roman"/>
          <w:sz w:val="24"/>
          <w:szCs w:val="24"/>
        </w:rPr>
        <w:t xml:space="preserve"> of such diseased employee shall be entitled to compensation as the case may be (Section 9(1)(b) of the Act). Furthermore, an employee who in a work place becomes disabled from any uncomplicated disease or from any diseases complicated by any other disease, condition or factor shall be entitled to compensation for total or partial disability or as may be determined by the Board (Section 9(3) of the Act). Where on the other hand, death results from these uncomplicated diseases or diseases complicated as indicated under this subsection, the </w:t>
      </w:r>
      <w:proofErr w:type="spellStart"/>
      <w:r w:rsidRPr="00FD3909">
        <w:rPr>
          <w:rFonts w:ascii="Times New Roman" w:hAnsi="Times New Roman" w:cs="Times New Roman"/>
          <w:sz w:val="24"/>
          <w:szCs w:val="24"/>
        </w:rPr>
        <w:t>dependant</w:t>
      </w:r>
      <w:proofErr w:type="spellEnd"/>
      <w:r w:rsidRPr="00FD3909">
        <w:rPr>
          <w:rFonts w:ascii="Times New Roman" w:hAnsi="Times New Roman" w:cs="Times New Roman"/>
          <w:sz w:val="24"/>
          <w:szCs w:val="24"/>
        </w:rPr>
        <w:t xml:space="preserve"> of such deceased employee shall be entitled to compensation (Section 9(4) of the Act). </w:t>
      </w:r>
    </w:p>
    <w:p w14:paraId="74538AD3" w14:textId="463A0548"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 xml:space="preserve">However, the employee or the </w:t>
      </w:r>
      <w:proofErr w:type="spellStart"/>
      <w:r w:rsidRPr="00FD3909">
        <w:rPr>
          <w:rFonts w:ascii="Times New Roman" w:hAnsi="Times New Roman" w:cs="Times New Roman"/>
          <w:sz w:val="24"/>
          <w:szCs w:val="24"/>
        </w:rPr>
        <w:t>dependants</w:t>
      </w:r>
      <w:proofErr w:type="spellEnd"/>
      <w:r w:rsidRPr="00FD3909">
        <w:rPr>
          <w:rFonts w:ascii="Times New Roman" w:hAnsi="Times New Roman" w:cs="Times New Roman"/>
          <w:sz w:val="24"/>
          <w:szCs w:val="24"/>
        </w:rPr>
        <w:t xml:space="preserve"> shall not be entitled to the compensation for the uncomplicated disease or from a disease complicated by any other cause or death, unless the employee has been in the employment in a work place associated with exposure to substances leading to that condition; and was free from the disease before being first exposed to the substance causing the disease in the work place (Section 9(4)(a) &amp; (b) of the Act). Where the employee was exposed to the substance causing the disease in more than one industry in the work place, the Board may apportion the compensation among the funds as the case may be (Section 9(5) of the Act). </w:t>
      </w:r>
    </w:p>
    <w:p w14:paraId="3AE97AB1" w14:textId="77777777" w:rsidR="005A3656" w:rsidRDefault="005A3656" w:rsidP="00713F77">
      <w:pPr>
        <w:tabs>
          <w:tab w:val="left" w:pos="1690"/>
        </w:tabs>
        <w:spacing w:line="360" w:lineRule="auto"/>
        <w:jc w:val="both"/>
        <w:rPr>
          <w:rFonts w:ascii="Times New Roman" w:hAnsi="Times New Roman" w:cs="Times New Roman"/>
          <w:sz w:val="24"/>
          <w:szCs w:val="24"/>
        </w:rPr>
      </w:pPr>
    </w:p>
    <w:p w14:paraId="4401B757" w14:textId="77777777" w:rsidR="00713F77" w:rsidRPr="00F83050" w:rsidRDefault="00713F77" w:rsidP="00713F77">
      <w:pPr>
        <w:numPr>
          <w:ilvl w:val="0"/>
          <w:numId w:val="5"/>
        </w:numPr>
        <w:tabs>
          <w:tab w:val="left" w:pos="1690"/>
        </w:tabs>
        <w:spacing w:line="360" w:lineRule="auto"/>
        <w:jc w:val="both"/>
        <w:rPr>
          <w:rFonts w:ascii="Times New Roman" w:hAnsi="Times New Roman" w:cs="Times New Roman"/>
          <w:b/>
          <w:bCs/>
          <w:sz w:val="24"/>
          <w:szCs w:val="24"/>
        </w:rPr>
      </w:pPr>
      <w:r w:rsidRPr="00F83050">
        <w:rPr>
          <w:rFonts w:ascii="Times New Roman" w:hAnsi="Times New Roman" w:cs="Times New Roman"/>
          <w:b/>
          <w:bCs/>
          <w:sz w:val="24"/>
          <w:szCs w:val="24"/>
        </w:rPr>
        <w:lastRenderedPageBreak/>
        <w:t xml:space="preserve">Compensation for Hearing Impairment </w:t>
      </w:r>
    </w:p>
    <w:p w14:paraId="10E353A8" w14:textId="77777777"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Section 10 of the Act extends payment of compensation to hearing impairments of non-traumatic origin but arising out of or in course of employment. The compensation payable covers total or partial loss of hearing as the case may be. The amount payable would however depend on the regulations to be made by the Board in consultation with the National Council for Occupational Safety and Health in respect of the ranges of hearing impairments, the percentage of disability, methods of frequencies to be used to measure hearing impairments and any other matters relating to hearing impairment (Section 10(2) of the Act &amp; item 22 Schedule 1 ILO C121, 1964). The method of calculation in this regard, it is hoped, will take into consideration health care including the cost of periodic medical checkup and replacements of hearing aids for the injured employee as the case may be.</w:t>
      </w:r>
    </w:p>
    <w:p w14:paraId="7C0D1FB5" w14:textId="77777777" w:rsidR="00713F77" w:rsidRPr="00F83050" w:rsidRDefault="00713F77" w:rsidP="00713F77">
      <w:pPr>
        <w:numPr>
          <w:ilvl w:val="0"/>
          <w:numId w:val="6"/>
        </w:numPr>
        <w:tabs>
          <w:tab w:val="left" w:pos="1690"/>
        </w:tabs>
        <w:spacing w:line="360" w:lineRule="auto"/>
        <w:jc w:val="both"/>
        <w:rPr>
          <w:rFonts w:ascii="Times New Roman" w:hAnsi="Times New Roman" w:cs="Times New Roman"/>
          <w:b/>
          <w:bCs/>
          <w:sz w:val="24"/>
          <w:szCs w:val="24"/>
        </w:rPr>
      </w:pPr>
      <w:r w:rsidRPr="00F83050">
        <w:rPr>
          <w:rFonts w:ascii="Times New Roman" w:hAnsi="Times New Roman" w:cs="Times New Roman"/>
          <w:b/>
          <w:bCs/>
          <w:sz w:val="24"/>
          <w:szCs w:val="24"/>
        </w:rPr>
        <w:t xml:space="preserve">Arising out of or in Course of Employment </w:t>
      </w:r>
    </w:p>
    <w:p w14:paraId="1E864E21" w14:textId="2B29F4B1" w:rsidR="00713F77" w:rsidRDefault="00713F77" w:rsidP="00713F77">
      <w:pPr>
        <w:tabs>
          <w:tab w:val="left" w:pos="1690"/>
        </w:tabs>
        <w:spacing w:line="360" w:lineRule="auto"/>
        <w:jc w:val="both"/>
        <w:rPr>
          <w:rFonts w:ascii="Times New Roman" w:hAnsi="Times New Roman" w:cs="Times New Roman"/>
          <w:sz w:val="24"/>
          <w:szCs w:val="24"/>
        </w:rPr>
      </w:pPr>
      <w:r w:rsidRPr="00FD3909">
        <w:rPr>
          <w:rFonts w:ascii="Times New Roman" w:hAnsi="Times New Roman" w:cs="Times New Roman"/>
          <w:sz w:val="24"/>
          <w:szCs w:val="24"/>
        </w:rPr>
        <w:t>Payment of compensation under the Act is dependent on the disabling injury “arising out of or in the course of employment” (Section 7(1) of the Act). This remains the pivot upon which compensation revolves. Ordinarily, the phrase that the injury must “arise out of employment” means that the injury must be as a direct result of work the employee was employed to do. In effect, there must be a causal link or relationship between the injury and the work. Arising out of employment in fact requires an inquiry into cause of the accident leading to the injury (</w:t>
      </w:r>
      <w:proofErr w:type="spellStart"/>
      <w:r w:rsidRPr="00FD3909">
        <w:rPr>
          <w:rFonts w:ascii="Times New Roman" w:hAnsi="Times New Roman" w:cs="Times New Roman"/>
          <w:sz w:val="24"/>
          <w:szCs w:val="24"/>
        </w:rPr>
        <w:t>Ogus</w:t>
      </w:r>
      <w:proofErr w:type="spellEnd"/>
      <w:r w:rsidRPr="00FD3909">
        <w:rPr>
          <w:rFonts w:ascii="Times New Roman" w:hAnsi="Times New Roman" w:cs="Times New Roman"/>
          <w:sz w:val="24"/>
          <w:szCs w:val="24"/>
        </w:rPr>
        <w:t xml:space="preserve"> et al</w:t>
      </w:r>
      <w:r>
        <w:rPr>
          <w:rFonts w:ascii="Times New Roman" w:hAnsi="Times New Roman" w:cs="Times New Roman"/>
          <w:sz w:val="24"/>
          <w:szCs w:val="24"/>
        </w:rPr>
        <w:t xml:space="preserve"> </w:t>
      </w:r>
      <w:r w:rsidRPr="00F83050">
        <w:rPr>
          <w:rFonts w:ascii="Times New Roman" w:hAnsi="Times New Roman" w:cs="Times New Roman"/>
          <w:sz w:val="24"/>
          <w:szCs w:val="24"/>
        </w:rPr>
        <w:t xml:space="preserve">1995, Smith &amp; Wood 1980, Rideout 1979, Adeyemi 1989 &amp; </w:t>
      </w:r>
      <w:proofErr w:type="spellStart"/>
      <w:r w:rsidRPr="00F83050">
        <w:rPr>
          <w:rFonts w:ascii="Times New Roman" w:hAnsi="Times New Roman" w:cs="Times New Roman"/>
          <w:sz w:val="24"/>
          <w:szCs w:val="24"/>
        </w:rPr>
        <w:t>Worugji</w:t>
      </w:r>
      <w:proofErr w:type="spellEnd"/>
      <w:r w:rsidRPr="00F83050">
        <w:rPr>
          <w:rFonts w:ascii="Times New Roman" w:hAnsi="Times New Roman" w:cs="Times New Roman"/>
          <w:sz w:val="24"/>
          <w:szCs w:val="24"/>
        </w:rPr>
        <w:t xml:space="preserve"> 2001). On the other hand, the phrase “in course of employment” is a matter of factual scope, the limit of work the employee is required to do and what may be incidental to the work. This, in effect, means that the limit to the course of employment is ordinarily determined by time, place and activity. Thus, whether an accident arose in course of employment is a question of facts depending on time, place and activity (job content) (Srivastava 2002&amp; </w:t>
      </w:r>
      <w:proofErr w:type="spellStart"/>
      <w:r w:rsidRPr="00F83050">
        <w:rPr>
          <w:rFonts w:ascii="Times New Roman" w:hAnsi="Times New Roman" w:cs="Times New Roman"/>
          <w:sz w:val="24"/>
          <w:szCs w:val="24"/>
        </w:rPr>
        <w:t>Worugji</w:t>
      </w:r>
      <w:proofErr w:type="spellEnd"/>
      <w:r w:rsidRPr="00F83050">
        <w:rPr>
          <w:rFonts w:ascii="Times New Roman" w:hAnsi="Times New Roman" w:cs="Times New Roman"/>
          <w:sz w:val="24"/>
          <w:szCs w:val="24"/>
        </w:rPr>
        <w:t xml:space="preserve">, 2001). This simply means that the accident resulting to the injury must occur at the time and place of the employment while the employee is doing what he or she is employed to do. This, in effect, excluded journeys to and from work and other journeys not directly related to work. </w:t>
      </w:r>
    </w:p>
    <w:p w14:paraId="74AA1BC7" w14:textId="77777777" w:rsidR="005A3656" w:rsidRDefault="005A3656" w:rsidP="00713F77">
      <w:pPr>
        <w:spacing w:line="360" w:lineRule="auto"/>
        <w:jc w:val="both"/>
        <w:rPr>
          <w:rFonts w:ascii="Times New Roman" w:hAnsi="Times New Roman" w:cs="Times New Roman"/>
          <w:b/>
          <w:bCs/>
          <w:sz w:val="24"/>
          <w:szCs w:val="24"/>
        </w:rPr>
      </w:pPr>
    </w:p>
    <w:p w14:paraId="261F5BED" w14:textId="77777777" w:rsidR="005A3656" w:rsidRDefault="005A3656" w:rsidP="00713F77">
      <w:pPr>
        <w:spacing w:line="360" w:lineRule="auto"/>
        <w:jc w:val="both"/>
        <w:rPr>
          <w:rFonts w:ascii="Times New Roman" w:hAnsi="Times New Roman" w:cs="Times New Roman"/>
          <w:b/>
          <w:bCs/>
          <w:sz w:val="24"/>
          <w:szCs w:val="24"/>
        </w:rPr>
      </w:pPr>
    </w:p>
    <w:p w14:paraId="3605D52B" w14:textId="2252B0E4" w:rsidR="00713F77" w:rsidRDefault="005A3656" w:rsidP="00713F77">
      <w:pPr>
        <w:spacing w:line="360" w:lineRule="auto"/>
        <w:jc w:val="both"/>
        <w:rPr>
          <w:rFonts w:ascii="Times New Roman" w:hAnsi="Times New Roman" w:cs="Times New Roman"/>
          <w:b/>
          <w:bCs/>
          <w:sz w:val="24"/>
          <w:szCs w:val="24"/>
        </w:rPr>
      </w:pPr>
      <w:r w:rsidRPr="00071505">
        <w:rPr>
          <w:rFonts w:ascii="Times New Roman" w:hAnsi="Times New Roman" w:cs="Times New Roman"/>
          <w:b/>
          <w:bCs/>
          <w:sz w:val="24"/>
          <w:szCs w:val="24"/>
        </w:rPr>
        <w:lastRenderedPageBreak/>
        <w:t>OBJECTIVES OF THE STUDY</w:t>
      </w:r>
    </w:p>
    <w:p w14:paraId="18CFB501" w14:textId="77777777" w:rsidR="00713F77" w:rsidRDefault="00713F77" w:rsidP="00713F77">
      <w:p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The objectives of this study are as follows:</w:t>
      </w:r>
    </w:p>
    <w:p w14:paraId="039CEB91" w14:textId="0D9114D1" w:rsidR="00713F77" w:rsidRPr="00713F77" w:rsidRDefault="00713F77" w:rsidP="00713F77">
      <w:pPr>
        <w:numPr>
          <w:ilvl w:val="0"/>
          <w:numId w:val="8"/>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Evaluate the Effectiveness of the Employee Compensation Scheme (ECS)</w:t>
      </w:r>
      <w:r>
        <w:rPr>
          <w:rFonts w:ascii="Times New Roman" w:hAnsi="Times New Roman" w:cs="Times New Roman"/>
          <w:b/>
          <w:bCs/>
          <w:sz w:val="24"/>
          <w:szCs w:val="24"/>
        </w:rPr>
        <w:t xml:space="preserve">. </w:t>
      </w:r>
      <w:r w:rsidRPr="00071505">
        <w:rPr>
          <w:rFonts w:ascii="Times New Roman" w:hAnsi="Times New Roman" w:cs="Times New Roman"/>
          <w:sz w:val="24"/>
          <w:szCs w:val="24"/>
        </w:rPr>
        <w:t>Assess the extent to which ECS addresses workplace-related disabilities and supports affected employees.</w:t>
      </w:r>
    </w:p>
    <w:p w14:paraId="64F259E1" w14:textId="77777777" w:rsidR="00713F77" w:rsidRDefault="00713F77" w:rsidP="00713F77">
      <w:pPr>
        <w:numPr>
          <w:ilvl w:val="0"/>
          <w:numId w:val="8"/>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Assess the Utilization of ECS Data for Public Health Purposes</w:t>
      </w:r>
      <w:r>
        <w:rPr>
          <w:rFonts w:ascii="Times New Roman" w:hAnsi="Times New Roman" w:cs="Times New Roman"/>
          <w:b/>
          <w:bCs/>
          <w:sz w:val="24"/>
          <w:szCs w:val="24"/>
        </w:rPr>
        <w:t xml:space="preserve"> </w:t>
      </w:r>
      <w:r w:rsidRPr="00071505">
        <w:rPr>
          <w:rFonts w:ascii="Times New Roman" w:hAnsi="Times New Roman" w:cs="Times New Roman"/>
          <w:sz w:val="24"/>
          <w:szCs w:val="24"/>
        </w:rPr>
        <w:t>Evaluate how ECS-generated data is used to inform policies, monitor occupational hazards, and improve workplace safety standards.</w:t>
      </w:r>
    </w:p>
    <w:p w14:paraId="66EB1882" w14:textId="77777777" w:rsidR="00713F77" w:rsidRDefault="00713F77" w:rsidP="00713F77">
      <w:pPr>
        <w:numPr>
          <w:ilvl w:val="0"/>
          <w:numId w:val="8"/>
        </w:numPr>
        <w:spacing w:line="360" w:lineRule="auto"/>
        <w:jc w:val="both"/>
        <w:rPr>
          <w:rFonts w:ascii="Times New Roman" w:hAnsi="Times New Roman" w:cs="Times New Roman"/>
          <w:sz w:val="24"/>
          <w:szCs w:val="24"/>
        </w:rPr>
      </w:pPr>
      <w:r w:rsidRPr="00071505">
        <w:rPr>
          <w:rFonts w:ascii="Times New Roman" w:hAnsi="Times New Roman" w:cs="Times New Roman"/>
          <w:sz w:val="24"/>
          <w:szCs w:val="24"/>
        </w:rPr>
        <w:t>To Provide Recommendations for Enhancing ECS and Public Health Linkages</w:t>
      </w:r>
      <w:r>
        <w:rPr>
          <w:rFonts w:ascii="Times New Roman" w:hAnsi="Times New Roman" w:cs="Times New Roman"/>
          <w:b/>
          <w:bCs/>
          <w:sz w:val="24"/>
          <w:szCs w:val="24"/>
        </w:rPr>
        <w:t xml:space="preserve"> </w:t>
      </w:r>
      <w:r w:rsidRPr="00071505">
        <w:rPr>
          <w:rFonts w:ascii="Times New Roman" w:hAnsi="Times New Roman" w:cs="Times New Roman"/>
          <w:sz w:val="24"/>
          <w:szCs w:val="24"/>
        </w:rPr>
        <w:t>Propose strategies to improve the ECS</w:t>
      </w:r>
      <w:r>
        <w:rPr>
          <w:rFonts w:ascii="Times New Roman" w:hAnsi="Times New Roman" w:cs="Times New Roman"/>
          <w:sz w:val="24"/>
          <w:szCs w:val="24"/>
        </w:rPr>
        <w:t xml:space="preserve"> </w:t>
      </w:r>
      <w:r w:rsidRPr="00071505">
        <w:rPr>
          <w:rFonts w:ascii="Times New Roman" w:hAnsi="Times New Roman" w:cs="Times New Roman"/>
          <w:sz w:val="24"/>
          <w:szCs w:val="24"/>
        </w:rPr>
        <w:t>framework, strengthen public health integration, and address gaps in implementation and data utilization.</w:t>
      </w:r>
      <w:r>
        <w:rPr>
          <w:rFonts w:ascii="Times New Roman" w:hAnsi="Times New Roman" w:cs="Times New Roman"/>
          <w:b/>
          <w:bCs/>
          <w:sz w:val="24"/>
          <w:szCs w:val="24"/>
        </w:rPr>
        <w:t xml:space="preserve"> </w:t>
      </w:r>
      <w:r w:rsidRPr="00071505">
        <w:rPr>
          <w:rFonts w:ascii="Times New Roman" w:hAnsi="Times New Roman" w:cs="Times New Roman"/>
          <w:sz w:val="24"/>
          <w:szCs w:val="24"/>
        </w:rPr>
        <w:t>By achieving these objectives, the study aims to contribute to the development of mo</w:t>
      </w:r>
      <w:r w:rsidRPr="00696BFC">
        <w:rPr>
          <w:rFonts w:ascii="Times New Roman" w:hAnsi="Times New Roman" w:cs="Times New Roman"/>
          <w:sz w:val="24"/>
          <w:szCs w:val="24"/>
        </w:rPr>
        <w:t>re effective compensation systems and robust public health surveillance infrastructures.</w:t>
      </w:r>
    </w:p>
    <w:p w14:paraId="06B44BE3" w14:textId="66F10E09" w:rsidR="00713F77" w:rsidRPr="00713F77" w:rsidRDefault="00917B20" w:rsidP="00713F77">
      <w:pPr>
        <w:spacing w:line="360" w:lineRule="auto"/>
        <w:jc w:val="both"/>
        <w:rPr>
          <w:rFonts w:ascii="Times New Roman" w:hAnsi="Times New Roman" w:cs="Times New Roman"/>
          <w:sz w:val="24"/>
          <w:szCs w:val="24"/>
        </w:rPr>
      </w:pPr>
      <w:r w:rsidRPr="00713F77">
        <w:rPr>
          <w:rFonts w:ascii="Times New Roman" w:hAnsi="Times New Roman" w:cs="Times New Roman"/>
          <w:b/>
          <w:bCs/>
          <w:sz w:val="24"/>
          <w:szCs w:val="24"/>
        </w:rPr>
        <w:t>METHODOLOGY</w:t>
      </w:r>
    </w:p>
    <w:p w14:paraId="0C907A77" w14:textId="400547AF" w:rsidR="00713F77" w:rsidRDefault="00713F77" w:rsidP="00DE46FA">
      <w:pPr>
        <w:spacing w:line="360" w:lineRule="auto"/>
        <w:rPr>
          <w:rFonts w:ascii="Times New Roman" w:hAnsi="Times New Roman" w:cs="Times New Roman"/>
          <w:sz w:val="24"/>
          <w:szCs w:val="24"/>
        </w:rPr>
      </w:pPr>
      <w:r w:rsidRPr="007C3DB9">
        <w:rPr>
          <w:rFonts w:ascii="Times New Roman" w:hAnsi="Times New Roman" w:cs="Times New Roman"/>
          <w:sz w:val="24"/>
          <w:szCs w:val="24"/>
        </w:rPr>
        <w:t xml:space="preserve">This study relied on the survey method. It is a systematic method of research that can provide a lot of information on population distribution, </w:t>
      </w:r>
      <w:proofErr w:type="spellStart"/>
      <w:r w:rsidRPr="007C3DB9">
        <w:rPr>
          <w:rFonts w:ascii="Times New Roman" w:hAnsi="Times New Roman" w:cs="Times New Roman"/>
          <w:sz w:val="24"/>
          <w:szCs w:val="24"/>
        </w:rPr>
        <w:t>behaviour</w:t>
      </w:r>
      <w:proofErr w:type="spellEnd"/>
      <w:r w:rsidRPr="007C3DB9">
        <w:rPr>
          <w:rFonts w:ascii="Times New Roman" w:hAnsi="Times New Roman" w:cs="Times New Roman"/>
          <w:sz w:val="24"/>
          <w:szCs w:val="24"/>
        </w:rPr>
        <w:t xml:space="preserve"> and attitude by selecting and studying samples chosen from the population to discover the relative incidence and relations of sociological and psychological variables (</w:t>
      </w:r>
      <w:proofErr w:type="spellStart"/>
      <w:r w:rsidRPr="007C3DB9">
        <w:rPr>
          <w:rFonts w:ascii="Times New Roman" w:hAnsi="Times New Roman" w:cs="Times New Roman"/>
          <w:sz w:val="24"/>
          <w:szCs w:val="24"/>
        </w:rPr>
        <w:t>Wimmer</w:t>
      </w:r>
      <w:proofErr w:type="spellEnd"/>
      <w:r w:rsidRPr="007C3DB9">
        <w:rPr>
          <w:rFonts w:ascii="Times New Roman" w:hAnsi="Times New Roman" w:cs="Times New Roman"/>
          <w:sz w:val="24"/>
          <w:szCs w:val="24"/>
        </w:rPr>
        <w:t xml:space="preserve"> &amp; Dominick, 1987). Answers can be provided for questions about things that cannot be easily observed. The method makes it possible to get fairly broad and reasonably accurate views of the respondents on certain issues (</w:t>
      </w:r>
      <w:proofErr w:type="spellStart"/>
      <w:r w:rsidRPr="007C3DB9">
        <w:rPr>
          <w:rFonts w:ascii="Times New Roman" w:hAnsi="Times New Roman" w:cs="Times New Roman"/>
          <w:sz w:val="24"/>
          <w:szCs w:val="24"/>
        </w:rPr>
        <w:t>Wimmer</w:t>
      </w:r>
      <w:proofErr w:type="spellEnd"/>
      <w:r w:rsidRPr="007C3DB9">
        <w:rPr>
          <w:rFonts w:ascii="Times New Roman" w:hAnsi="Times New Roman" w:cs="Times New Roman"/>
          <w:sz w:val="24"/>
          <w:szCs w:val="24"/>
        </w:rPr>
        <w:t xml:space="preserve"> and Dominick, 1987). stratified random sampling would be employed to draw out samples from the population to ensure accurate representation. Questionnaires will be administered using a non-probability sampling method. Every sector out of the </w:t>
      </w:r>
      <w:r>
        <w:rPr>
          <w:rFonts w:ascii="Times New Roman" w:hAnsi="Times New Roman" w:cs="Times New Roman"/>
          <w:sz w:val="24"/>
          <w:szCs w:val="24"/>
        </w:rPr>
        <w:t>twenty-six</w:t>
      </w:r>
      <w:r w:rsidRPr="007C3DB9">
        <w:rPr>
          <w:rFonts w:ascii="Times New Roman" w:hAnsi="Times New Roman" w:cs="Times New Roman"/>
          <w:sz w:val="24"/>
          <w:szCs w:val="24"/>
        </w:rPr>
        <w:t xml:space="preserve"> (</w:t>
      </w:r>
      <w:r>
        <w:rPr>
          <w:rFonts w:ascii="Times New Roman" w:hAnsi="Times New Roman" w:cs="Times New Roman"/>
          <w:sz w:val="24"/>
          <w:szCs w:val="24"/>
        </w:rPr>
        <w:t>26</w:t>
      </w:r>
      <w:r w:rsidRPr="007C3DB9">
        <w:rPr>
          <w:rFonts w:ascii="Times New Roman" w:hAnsi="Times New Roman" w:cs="Times New Roman"/>
          <w:sz w:val="24"/>
          <w:szCs w:val="24"/>
        </w:rPr>
        <w:t xml:space="preserve">) sectors </w:t>
      </w:r>
      <w:r>
        <w:rPr>
          <w:rFonts w:ascii="Times New Roman" w:hAnsi="Times New Roman" w:cs="Times New Roman"/>
          <w:sz w:val="24"/>
          <w:szCs w:val="24"/>
        </w:rPr>
        <w:t>selected under</w:t>
      </w:r>
      <w:r w:rsidRPr="007C3DB9">
        <w:rPr>
          <w:rFonts w:ascii="Times New Roman" w:hAnsi="Times New Roman" w:cs="Times New Roman"/>
          <w:sz w:val="24"/>
          <w:szCs w:val="24"/>
        </w:rPr>
        <w:t xml:space="preserve"> employee compensation scheme will be represented in the research study. Thus, only one department or unit will represent each sector to ensure fairness in choosing the representatives.</w:t>
      </w:r>
    </w:p>
    <w:p w14:paraId="65E74EBE" w14:textId="77777777" w:rsidR="00713F77" w:rsidRPr="00E91742" w:rsidRDefault="00713F77" w:rsidP="00713F77">
      <w:pPr>
        <w:spacing w:line="360" w:lineRule="auto"/>
        <w:jc w:val="both"/>
        <w:rPr>
          <w:rFonts w:ascii="Times New Roman" w:hAnsi="Times New Roman" w:cs="Times New Roman"/>
          <w:b/>
          <w:bCs/>
          <w:sz w:val="24"/>
          <w:szCs w:val="24"/>
        </w:rPr>
      </w:pPr>
      <w:r w:rsidRPr="00E91742">
        <w:rPr>
          <w:rFonts w:ascii="Times New Roman" w:hAnsi="Times New Roman" w:cs="Times New Roman"/>
          <w:b/>
          <w:bCs/>
          <w:sz w:val="24"/>
          <w:szCs w:val="24"/>
        </w:rPr>
        <w:t xml:space="preserve">Population and Sample of the Study </w:t>
      </w:r>
    </w:p>
    <w:p w14:paraId="75C4AB7B" w14:textId="0896EA24" w:rsidR="00713F77" w:rsidRDefault="00713F77" w:rsidP="00DE46FA">
      <w:pPr>
        <w:spacing w:line="360" w:lineRule="auto"/>
      </w:pPr>
      <w:r w:rsidRPr="00E91742">
        <w:rPr>
          <w:rFonts w:ascii="Times New Roman" w:hAnsi="Times New Roman" w:cs="Times New Roman"/>
          <w:sz w:val="24"/>
          <w:szCs w:val="24"/>
        </w:rPr>
        <w:t xml:space="preserve">Therefore, the population of this study would be registered employees under Employees’ Compensation Scheme (ECS). Accordingly, the research adopted a method of selecting a sample </w:t>
      </w:r>
      <w:r w:rsidRPr="00E91742">
        <w:rPr>
          <w:rFonts w:ascii="Times New Roman" w:hAnsi="Times New Roman" w:cs="Times New Roman"/>
          <w:sz w:val="24"/>
          <w:szCs w:val="24"/>
        </w:rPr>
        <w:lastRenderedPageBreak/>
        <w:t xml:space="preserve">that would represent the entire population of registered employees under Employees’ Compensation Scheme. The sample drawn from the total population is </w:t>
      </w:r>
      <w:r>
        <w:rPr>
          <w:rFonts w:ascii="Times New Roman" w:hAnsi="Times New Roman" w:cs="Times New Roman"/>
          <w:sz w:val="24"/>
          <w:szCs w:val="24"/>
        </w:rPr>
        <w:t>650</w:t>
      </w:r>
      <w:r w:rsidRPr="00E91742">
        <w:rPr>
          <w:rFonts w:ascii="Times New Roman" w:hAnsi="Times New Roman" w:cs="Times New Roman"/>
          <w:sz w:val="24"/>
          <w:szCs w:val="24"/>
        </w:rPr>
        <w:t xml:space="preserve">. That is, </w:t>
      </w:r>
      <w:r>
        <w:rPr>
          <w:rFonts w:ascii="Times New Roman" w:hAnsi="Times New Roman" w:cs="Times New Roman"/>
          <w:sz w:val="24"/>
          <w:szCs w:val="24"/>
        </w:rPr>
        <w:t>650</w:t>
      </w:r>
      <w:r w:rsidRPr="00E91742">
        <w:rPr>
          <w:rFonts w:ascii="Times New Roman" w:hAnsi="Times New Roman" w:cs="Times New Roman"/>
          <w:sz w:val="24"/>
          <w:szCs w:val="24"/>
        </w:rPr>
        <w:t xml:space="preserve"> printed questionnaires will be administered with stratified random sampling. This method is advantageous in the event that an undue proportion of one type of sector may appear in the sample.</w:t>
      </w:r>
      <w:r w:rsidRPr="00E91742">
        <w:t xml:space="preserve"> </w:t>
      </w:r>
    </w:p>
    <w:p w14:paraId="448A06E2" w14:textId="77777777" w:rsidR="00713F77" w:rsidRPr="00E91742" w:rsidRDefault="00713F77" w:rsidP="00DE46FA">
      <w:pPr>
        <w:spacing w:line="360" w:lineRule="auto"/>
        <w:jc w:val="both"/>
        <w:rPr>
          <w:rFonts w:ascii="Times New Roman" w:hAnsi="Times New Roman" w:cs="Times New Roman"/>
          <w:b/>
          <w:sz w:val="24"/>
          <w:szCs w:val="24"/>
        </w:rPr>
      </w:pPr>
      <w:r w:rsidRPr="00E91742">
        <w:rPr>
          <w:rFonts w:ascii="Times New Roman" w:hAnsi="Times New Roman" w:cs="Times New Roman"/>
          <w:b/>
          <w:sz w:val="24"/>
          <w:szCs w:val="24"/>
        </w:rPr>
        <w:t>Ethical Consideration</w:t>
      </w:r>
    </w:p>
    <w:p w14:paraId="7E36F1ED" w14:textId="547FD835" w:rsidR="00713F77" w:rsidRDefault="00713F77" w:rsidP="00713F77">
      <w:pPr>
        <w:spacing w:line="360" w:lineRule="auto"/>
        <w:jc w:val="both"/>
        <w:rPr>
          <w:rFonts w:ascii="Times New Roman" w:hAnsi="Times New Roman" w:cs="Times New Roman"/>
          <w:sz w:val="24"/>
          <w:szCs w:val="24"/>
        </w:rPr>
      </w:pPr>
      <w:r w:rsidRPr="00E91742">
        <w:rPr>
          <w:rFonts w:ascii="Times New Roman" w:hAnsi="Times New Roman" w:cs="Times New Roman"/>
          <w:sz w:val="24"/>
          <w:szCs w:val="24"/>
        </w:rPr>
        <w:t xml:space="preserve">The study was carried out having in mind the following considerations. The researchers exhibited high level of respect for the research subject while carrying out the study the respondents were allowed to participate willingly and their consents were obtained prior to the administration of the questionnaire confidentiality of the information obtained from the respondents were maintained and all through by not allowing respondents not to indicate names on the questionnaires are not allowing non-members of the researcher team handle the research material. Avoidance of plagiarism was ensured that all authors, ideas, words, concepts, module, works consulted were acknowledged and referenced accordingly, thus avoiding plagiarism. </w:t>
      </w:r>
    </w:p>
    <w:p w14:paraId="70278619" w14:textId="3E2BA158" w:rsidR="00713F77" w:rsidRDefault="00DE46FA" w:rsidP="00713F77">
      <w:pPr>
        <w:spacing w:line="360" w:lineRule="auto"/>
        <w:ind w:right="580"/>
        <w:jc w:val="both"/>
        <w:rPr>
          <w:rFonts w:ascii="Times New Roman" w:eastAsia="Calibri" w:hAnsi="Times New Roman" w:cs="Times New Roman"/>
          <w:b/>
          <w:bCs/>
          <w:color w:val="000000"/>
          <w:sz w:val="24"/>
          <w:szCs w:val="24"/>
        </w:rPr>
      </w:pPr>
      <w:r w:rsidRPr="001677CE">
        <w:rPr>
          <w:rFonts w:ascii="Times New Roman" w:eastAsia="Calibri" w:hAnsi="Times New Roman" w:cs="Times New Roman"/>
          <w:b/>
          <w:bCs/>
          <w:color w:val="000000"/>
          <w:sz w:val="24"/>
          <w:szCs w:val="24"/>
        </w:rPr>
        <w:t xml:space="preserve">RESULT </w:t>
      </w:r>
    </w:p>
    <w:p w14:paraId="259BD280" w14:textId="68D65F60" w:rsidR="00713F77" w:rsidRPr="00713F77" w:rsidRDefault="00713F77" w:rsidP="00713F77">
      <w:pPr>
        <w:spacing w:line="360" w:lineRule="auto"/>
        <w:ind w:right="580"/>
        <w:jc w:val="both"/>
        <w:rPr>
          <w:rFonts w:ascii="Times New Roman" w:eastAsia="Calibri" w:hAnsi="Times New Roman" w:cs="Times New Roman"/>
          <w:b/>
          <w:bCs/>
          <w:color w:val="000000"/>
          <w:sz w:val="24"/>
          <w:szCs w:val="24"/>
        </w:rPr>
      </w:pPr>
      <w:r w:rsidRPr="004E43B2">
        <w:rPr>
          <w:rFonts w:ascii="Times New Roman" w:hAnsi="Times New Roman" w:cs="Times New Roman"/>
          <w:sz w:val="24"/>
          <w:szCs w:val="24"/>
        </w:rPr>
        <w:t xml:space="preserve"> The demographic predictors used in this study. Data analysis was done using descriptive statistics. Comparisons of responses and </w:t>
      </w:r>
      <w:r>
        <w:rPr>
          <w:rFonts w:ascii="Times New Roman" w:hAnsi="Times New Roman" w:cs="Times New Roman"/>
          <w:sz w:val="24"/>
          <w:szCs w:val="24"/>
        </w:rPr>
        <w:t>histogram</w:t>
      </w:r>
      <w:r w:rsidRPr="004E43B2">
        <w:rPr>
          <w:rFonts w:ascii="Times New Roman" w:hAnsi="Times New Roman" w:cs="Times New Roman"/>
          <w:sz w:val="24"/>
          <w:szCs w:val="24"/>
        </w:rPr>
        <w:t xml:space="preserve"> analysis to establish whether there was any relationship between independent variables</w:t>
      </w:r>
      <w:r>
        <w:rPr>
          <w:rFonts w:ascii="Times New Roman" w:hAnsi="Times New Roman" w:cs="Times New Roman"/>
          <w:sz w:val="24"/>
          <w:szCs w:val="24"/>
        </w:rPr>
        <w:t xml:space="preserve"> in respect to </w:t>
      </w:r>
      <w:r w:rsidRPr="004E43B2">
        <w:rPr>
          <w:rFonts w:ascii="Times New Roman" w:hAnsi="Times New Roman" w:cs="Times New Roman"/>
          <w:sz w:val="24"/>
          <w:szCs w:val="24"/>
        </w:rPr>
        <w:t>compensation</w:t>
      </w:r>
      <w:r w:rsidRPr="00681088">
        <w:rPr>
          <w:rFonts w:ascii="Times New Roman" w:hAnsi="Times New Roman" w:cs="Times New Roman"/>
          <w:sz w:val="24"/>
          <w:szCs w:val="24"/>
        </w:rPr>
        <w:t xml:space="preserve"> for workplace related disabilities</w:t>
      </w:r>
      <w:r>
        <w:rPr>
          <w:rFonts w:ascii="Times New Roman" w:hAnsi="Times New Roman" w:cs="Times New Roman"/>
          <w:sz w:val="24"/>
          <w:szCs w:val="24"/>
        </w:rPr>
        <w:t xml:space="preserve">; a </w:t>
      </w:r>
      <w:r w:rsidRPr="00681088">
        <w:rPr>
          <w:rFonts w:ascii="Times New Roman" w:hAnsi="Times New Roman" w:cs="Times New Roman"/>
          <w:sz w:val="24"/>
          <w:szCs w:val="24"/>
        </w:rPr>
        <w:t>case study of the employee compensation scheme</w:t>
      </w:r>
      <w:r>
        <w:rPr>
          <w:rFonts w:ascii="Times New Roman" w:hAnsi="Times New Roman" w:cs="Times New Roman"/>
          <w:sz w:val="24"/>
          <w:szCs w:val="24"/>
        </w:rPr>
        <w:t>,</w:t>
      </w:r>
      <w:r w:rsidRPr="004E43B2">
        <w:rPr>
          <w:rFonts w:ascii="Times New Roman" w:hAnsi="Times New Roman" w:cs="Times New Roman"/>
          <w:sz w:val="24"/>
          <w:szCs w:val="24"/>
        </w:rPr>
        <w:t xml:space="preserve"> using the statistical package for social sciences (SPSS) version 17 of analysis. The findings were presented in narrative, tables, charts and graphs as per the specific objectives. </w:t>
      </w:r>
    </w:p>
    <w:p w14:paraId="7A0D3C7C" w14:textId="74619788" w:rsidR="00713F77" w:rsidRDefault="00713F77" w:rsidP="00713F77">
      <w:pPr>
        <w:tabs>
          <w:tab w:val="left" w:pos="2680"/>
        </w:tabs>
        <w:jc w:val="both"/>
        <w:rPr>
          <w:rFonts w:ascii="Times New Roman" w:hAnsi="Times New Roman" w:cs="Times New Roman"/>
          <w:b/>
          <w:bCs/>
          <w:sz w:val="24"/>
          <w:szCs w:val="24"/>
        </w:rPr>
      </w:pPr>
      <w:r>
        <w:rPr>
          <w:rFonts w:ascii="Times New Roman" w:hAnsi="Times New Roman" w:cs="Times New Roman"/>
          <w:b/>
          <w:bCs/>
          <w:sz w:val="24"/>
          <w:szCs w:val="24"/>
        </w:rPr>
        <w:t xml:space="preserve">Table </w:t>
      </w:r>
      <w:r w:rsidR="0076683C">
        <w:rPr>
          <w:rFonts w:ascii="Times New Roman" w:hAnsi="Times New Roman" w:cs="Times New Roman"/>
          <w:b/>
          <w:bCs/>
          <w:sz w:val="24"/>
          <w:szCs w:val="24"/>
        </w:rPr>
        <w:t>1</w:t>
      </w:r>
      <w:r w:rsidR="005A3656">
        <w:rPr>
          <w:rFonts w:ascii="Times New Roman" w:hAnsi="Times New Roman" w:cs="Times New Roman"/>
          <w:b/>
          <w:bCs/>
          <w:sz w:val="24"/>
          <w:szCs w:val="24"/>
        </w:rPr>
        <w:t>:</w:t>
      </w:r>
      <w:r>
        <w:rPr>
          <w:rFonts w:ascii="Times New Roman" w:hAnsi="Times New Roman" w:cs="Times New Roman"/>
          <w:b/>
          <w:bCs/>
          <w:sz w:val="24"/>
          <w:szCs w:val="24"/>
        </w:rPr>
        <w:t xml:space="preserve"> </w:t>
      </w:r>
      <w:r w:rsidRPr="000F7977">
        <w:rPr>
          <w:rFonts w:ascii="Times New Roman" w:hAnsi="Times New Roman" w:cs="Times New Roman"/>
          <w:b/>
          <w:bCs/>
          <w:sz w:val="24"/>
          <w:szCs w:val="24"/>
        </w:rPr>
        <w:t>Year Accident</w:t>
      </w:r>
      <w:r>
        <w:rPr>
          <w:rFonts w:ascii="Times New Roman" w:hAnsi="Times New Roman" w:cs="Times New Roman"/>
          <w:b/>
          <w:bCs/>
          <w:sz w:val="24"/>
          <w:szCs w:val="24"/>
        </w:rPr>
        <w:t xml:space="preserve"> occurred </w:t>
      </w:r>
    </w:p>
    <w:tbl>
      <w:tblPr>
        <w:tblW w:w="8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46"/>
        <w:gridCol w:w="847"/>
        <w:gridCol w:w="1384"/>
        <w:gridCol w:w="1019"/>
        <w:gridCol w:w="1487"/>
        <w:gridCol w:w="2492"/>
      </w:tblGrid>
      <w:tr w:rsidR="0076683C" w:rsidRPr="000F7977" w14:paraId="26FC0892" w14:textId="77777777" w:rsidTr="00890F6F">
        <w:trPr>
          <w:cantSplit/>
          <w:trHeight w:val="630"/>
        </w:trPr>
        <w:tc>
          <w:tcPr>
            <w:tcW w:w="1693" w:type="dxa"/>
            <w:gridSpan w:val="2"/>
            <w:shd w:val="clear" w:color="auto" w:fill="FFFFFF"/>
            <w:vAlign w:val="bottom"/>
          </w:tcPr>
          <w:p w14:paraId="2723AF37" w14:textId="77777777" w:rsidR="0076683C" w:rsidRPr="000F7977" w:rsidRDefault="0076683C" w:rsidP="00890F6F">
            <w:pPr>
              <w:tabs>
                <w:tab w:val="left" w:pos="2680"/>
              </w:tabs>
              <w:rPr>
                <w:rFonts w:ascii="Times New Roman" w:hAnsi="Times New Roman" w:cs="Times New Roman"/>
                <w:sz w:val="24"/>
                <w:szCs w:val="24"/>
              </w:rPr>
            </w:pPr>
            <w:r w:rsidRPr="000F7977">
              <w:rPr>
                <w:rFonts w:ascii="Times New Roman" w:hAnsi="Times New Roman" w:cs="Times New Roman"/>
                <w:b/>
                <w:bCs/>
                <w:sz w:val="24"/>
                <w:szCs w:val="24"/>
              </w:rPr>
              <w:t>Year Of</w:t>
            </w:r>
            <w:r>
              <w:rPr>
                <w:rFonts w:ascii="Times New Roman" w:hAnsi="Times New Roman" w:cs="Times New Roman"/>
                <w:b/>
                <w:bCs/>
                <w:sz w:val="24"/>
                <w:szCs w:val="24"/>
              </w:rPr>
              <w:t xml:space="preserve"> </w:t>
            </w:r>
            <w:r w:rsidRPr="000F7977">
              <w:rPr>
                <w:rFonts w:ascii="Times New Roman" w:hAnsi="Times New Roman" w:cs="Times New Roman"/>
                <w:b/>
                <w:bCs/>
                <w:sz w:val="24"/>
                <w:szCs w:val="24"/>
              </w:rPr>
              <w:t>Accident</w:t>
            </w:r>
          </w:p>
        </w:tc>
        <w:tc>
          <w:tcPr>
            <w:tcW w:w="1384" w:type="dxa"/>
            <w:shd w:val="clear" w:color="auto" w:fill="FFFFFF"/>
            <w:vAlign w:val="bottom"/>
          </w:tcPr>
          <w:p w14:paraId="1F059DB6" w14:textId="77777777" w:rsidR="0076683C" w:rsidRPr="000F7977" w:rsidRDefault="0076683C" w:rsidP="00890F6F">
            <w:pPr>
              <w:tabs>
                <w:tab w:val="left" w:pos="2680"/>
              </w:tabs>
              <w:jc w:val="center"/>
              <w:rPr>
                <w:rFonts w:ascii="Times New Roman" w:hAnsi="Times New Roman" w:cs="Times New Roman"/>
                <w:b/>
                <w:bCs/>
                <w:sz w:val="24"/>
                <w:szCs w:val="24"/>
              </w:rPr>
            </w:pPr>
            <w:r w:rsidRPr="000F7977">
              <w:rPr>
                <w:rFonts w:ascii="Times New Roman" w:hAnsi="Times New Roman" w:cs="Times New Roman"/>
                <w:b/>
                <w:bCs/>
                <w:sz w:val="24"/>
                <w:szCs w:val="24"/>
              </w:rPr>
              <w:t>Frequency</w:t>
            </w:r>
          </w:p>
        </w:tc>
        <w:tc>
          <w:tcPr>
            <w:tcW w:w="1019" w:type="dxa"/>
            <w:shd w:val="clear" w:color="auto" w:fill="FFFFFF"/>
            <w:vAlign w:val="bottom"/>
          </w:tcPr>
          <w:p w14:paraId="35800298"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Percent</w:t>
            </w:r>
          </w:p>
        </w:tc>
        <w:tc>
          <w:tcPr>
            <w:tcW w:w="1487" w:type="dxa"/>
            <w:shd w:val="clear" w:color="auto" w:fill="FFFFFF"/>
            <w:vAlign w:val="bottom"/>
          </w:tcPr>
          <w:p w14:paraId="0AF052E5"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Valid Percent</w:t>
            </w:r>
          </w:p>
        </w:tc>
        <w:tc>
          <w:tcPr>
            <w:tcW w:w="2492" w:type="dxa"/>
            <w:shd w:val="clear" w:color="auto" w:fill="FFFFFF"/>
            <w:vAlign w:val="bottom"/>
          </w:tcPr>
          <w:p w14:paraId="40A8CE38"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Cumulative Percent</w:t>
            </w:r>
          </w:p>
        </w:tc>
      </w:tr>
      <w:tr w:rsidR="0076683C" w:rsidRPr="000F7977" w14:paraId="02DAA32F" w14:textId="77777777" w:rsidTr="00890F6F">
        <w:trPr>
          <w:cantSplit/>
          <w:trHeight w:val="385"/>
        </w:trPr>
        <w:tc>
          <w:tcPr>
            <w:tcW w:w="846" w:type="dxa"/>
            <w:vMerge w:val="restart"/>
            <w:shd w:val="clear" w:color="auto" w:fill="E0E0E0"/>
          </w:tcPr>
          <w:p w14:paraId="2DE194C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Valid</w:t>
            </w:r>
          </w:p>
        </w:tc>
        <w:tc>
          <w:tcPr>
            <w:tcW w:w="846" w:type="dxa"/>
            <w:shd w:val="clear" w:color="auto" w:fill="E0E0E0"/>
          </w:tcPr>
          <w:p w14:paraId="4215FBB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2012</w:t>
            </w:r>
          </w:p>
        </w:tc>
        <w:tc>
          <w:tcPr>
            <w:tcW w:w="1384" w:type="dxa"/>
            <w:shd w:val="clear" w:color="auto" w:fill="F9F9FB"/>
          </w:tcPr>
          <w:p w14:paraId="6066C916"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3</w:t>
            </w:r>
          </w:p>
        </w:tc>
        <w:tc>
          <w:tcPr>
            <w:tcW w:w="1019" w:type="dxa"/>
            <w:shd w:val="clear" w:color="auto" w:fill="F9F9FB"/>
          </w:tcPr>
          <w:p w14:paraId="623D4BDF"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.5</w:t>
            </w:r>
          </w:p>
        </w:tc>
        <w:tc>
          <w:tcPr>
            <w:tcW w:w="1487" w:type="dxa"/>
            <w:shd w:val="clear" w:color="auto" w:fill="F9F9FB"/>
          </w:tcPr>
          <w:p w14:paraId="6494A604"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.5</w:t>
            </w:r>
          </w:p>
        </w:tc>
        <w:tc>
          <w:tcPr>
            <w:tcW w:w="2492" w:type="dxa"/>
            <w:shd w:val="clear" w:color="auto" w:fill="F9F9FB"/>
          </w:tcPr>
          <w:p w14:paraId="35B1D8E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.5</w:t>
            </w:r>
          </w:p>
        </w:tc>
      </w:tr>
      <w:tr w:rsidR="0076683C" w:rsidRPr="000F7977" w14:paraId="6330A530" w14:textId="77777777" w:rsidTr="00890F6F">
        <w:trPr>
          <w:cantSplit/>
          <w:trHeight w:val="392"/>
        </w:trPr>
        <w:tc>
          <w:tcPr>
            <w:tcW w:w="846" w:type="dxa"/>
            <w:vMerge/>
            <w:shd w:val="clear" w:color="auto" w:fill="E0E0E0"/>
          </w:tcPr>
          <w:p w14:paraId="18B2FB52"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256049F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2013</w:t>
            </w:r>
          </w:p>
        </w:tc>
        <w:tc>
          <w:tcPr>
            <w:tcW w:w="1384" w:type="dxa"/>
            <w:shd w:val="clear" w:color="auto" w:fill="F9F9FB"/>
          </w:tcPr>
          <w:p w14:paraId="7A01622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9</w:t>
            </w:r>
          </w:p>
        </w:tc>
        <w:tc>
          <w:tcPr>
            <w:tcW w:w="1019" w:type="dxa"/>
            <w:shd w:val="clear" w:color="auto" w:fill="F9F9FB"/>
          </w:tcPr>
          <w:p w14:paraId="221FC744"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1.4</w:t>
            </w:r>
          </w:p>
        </w:tc>
        <w:tc>
          <w:tcPr>
            <w:tcW w:w="1487" w:type="dxa"/>
            <w:shd w:val="clear" w:color="auto" w:fill="F9F9FB"/>
          </w:tcPr>
          <w:p w14:paraId="382C45A8"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1.4</w:t>
            </w:r>
          </w:p>
        </w:tc>
        <w:tc>
          <w:tcPr>
            <w:tcW w:w="2492" w:type="dxa"/>
            <w:shd w:val="clear" w:color="auto" w:fill="F9F9FB"/>
          </w:tcPr>
          <w:p w14:paraId="15792297"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1.8</w:t>
            </w:r>
          </w:p>
        </w:tc>
      </w:tr>
      <w:tr w:rsidR="0076683C" w:rsidRPr="000F7977" w14:paraId="04C24CC4" w14:textId="77777777" w:rsidTr="00890F6F">
        <w:trPr>
          <w:cantSplit/>
          <w:trHeight w:val="392"/>
        </w:trPr>
        <w:tc>
          <w:tcPr>
            <w:tcW w:w="846" w:type="dxa"/>
            <w:vMerge/>
            <w:shd w:val="clear" w:color="auto" w:fill="E0E0E0"/>
          </w:tcPr>
          <w:p w14:paraId="5C3E1454"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549EB7F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2014</w:t>
            </w:r>
          </w:p>
        </w:tc>
        <w:tc>
          <w:tcPr>
            <w:tcW w:w="1384" w:type="dxa"/>
            <w:shd w:val="clear" w:color="auto" w:fill="F9F9FB"/>
          </w:tcPr>
          <w:p w14:paraId="6803D28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27</w:t>
            </w:r>
          </w:p>
        </w:tc>
        <w:tc>
          <w:tcPr>
            <w:tcW w:w="1019" w:type="dxa"/>
            <w:shd w:val="clear" w:color="auto" w:fill="F9F9FB"/>
          </w:tcPr>
          <w:p w14:paraId="75B03212"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4.2</w:t>
            </w:r>
          </w:p>
        </w:tc>
        <w:tc>
          <w:tcPr>
            <w:tcW w:w="1487" w:type="dxa"/>
            <w:shd w:val="clear" w:color="auto" w:fill="F9F9FB"/>
          </w:tcPr>
          <w:p w14:paraId="037DE31D"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4.2</w:t>
            </w:r>
          </w:p>
        </w:tc>
        <w:tc>
          <w:tcPr>
            <w:tcW w:w="2492" w:type="dxa"/>
            <w:shd w:val="clear" w:color="auto" w:fill="F9F9FB"/>
          </w:tcPr>
          <w:p w14:paraId="0F7E8BB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6.0</w:t>
            </w:r>
          </w:p>
        </w:tc>
      </w:tr>
      <w:tr w:rsidR="0076683C" w:rsidRPr="000F7977" w14:paraId="5E48D1DC" w14:textId="77777777" w:rsidTr="00890F6F">
        <w:trPr>
          <w:cantSplit/>
          <w:trHeight w:val="385"/>
        </w:trPr>
        <w:tc>
          <w:tcPr>
            <w:tcW w:w="846" w:type="dxa"/>
            <w:vMerge/>
            <w:shd w:val="clear" w:color="auto" w:fill="E0E0E0"/>
          </w:tcPr>
          <w:p w14:paraId="2D079C8C"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180D7A2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2015</w:t>
            </w:r>
          </w:p>
        </w:tc>
        <w:tc>
          <w:tcPr>
            <w:tcW w:w="1384" w:type="dxa"/>
            <w:shd w:val="clear" w:color="auto" w:fill="F9F9FB"/>
          </w:tcPr>
          <w:p w14:paraId="58150FF3"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47</w:t>
            </w:r>
          </w:p>
        </w:tc>
        <w:tc>
          <w:tcPr>
            <w:tcW w:w="1019" w:type="dxa"/>
            <w:shd w:val="clear" w:color="auto" w:fill="F9F9FB"/>
          </w:tcPr>
          <w:p w14:paraId="3B11C3E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7.2</w:t>
            </w:r>
          </w:p>
        </w:tc>
        <w:tc>
          <w:tcPr>
            <w:tcW w:w="1487" w:type="dxa"/>
            <w:shd w:val="clear" w:color="auto" w:fill="F9F9FB"/>
          </w:tcPr>
          <w:p w14:paraId="3396557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7.2</w:t>
            </w:r>
          </w:p>
        </w:tc>
        <w:tc>
          <w:tcPr>
            <w:tcW w:w="2492" w:type="dxa"/>
            <w:shd w:val="clear" w:color="auto" w:fill="F9F9FB"/>
          </w:tcPr>
          <w:p w14:paraId="295934BC"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13.2</w:t>
            </w:r>
          </w:p>
        </w:tc>
      </w:tr>
      <w:tr w:rsidR="0076683C" w:rsidRPr="000F7977" w14:paraId="42D55431" w14:textId="77777777" w:rsidTr="00890F6F">
        <w:trPr>
          <w:cantSplit/>
          <w:trHeight w:val="392"/>
        </w:trPr>
        <w:tc>
          <w:tcPr>
            <w:tcW w:w="846" w:type="dxa"/>
            <w:vMerge/>
            <w:shd w:val="clear" w:color="auto" w:fill="E0E0E0"/>
          </w:tcPr>
          <w:p w14:paraId="2AA7BC4A"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7FEF34C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2016</w:t>
            </w:r>
          </w:p>
        </w:tc>
        <w:tc>
          <w:tcPr>
            <w:tcW w:w="1384" w:type="dxa"/>
            <w:shd w:val="clear" w:color="auto" w:fill="F9F9FB"/>
          </w:tcPr>
          <w:p w14:paraId="16C8A497"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63</w:t>
            </w:r>
          </w:p>
        </w:tc>
        <w:tc>
          <w:tcPr>
            <w:tcW w:w="1019" w:type="dxa"/>
            <w:shd w:val="clear" w:color="auto" w:fill="F9F9FB"/>
          </w:tcPr>
          <w:p w14:paraId="2A5EF6B8"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9.7</w:t>
            </w:r>
          </w:p>
        </w:tc>
        <w:tc>
          <w:tcPr>
            <w:tcW w:w="1487" w:type="dxa"/>
            <w:shd w:val="clear" w:color="auto" w:fill="F9F9FB"/>
          </w:tcPr>
          <w:p w14:paraId="182BBDB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9.7</w:t>
            </w:r>
          </w:p>
        </w:tc>
        <w:tc>
          <w:tcPr>
            <w:tcW w:w="2492" w:type="dxa"/>
            <w:shd w:val="clear" w:color="auto" w:fill="F9F9FB"/>
          </w:tcPr>
          <w:p w14:paraId="611A239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22.9</w:t>
            </w:r>
          </w:p>
        </w:tc>
      </w:tr>
      <w:tr w:rsidR="0076683C" w:rsidRPr="000F7977" w14:paraId="70140607" w14:textId="77777777" w:rsidTr="00890F6F">
        <w:trPr>
          <w:cantSplit/>
          <w:trHeight w:val="392"/>
        </w:trPr>
        <w:tc>
          <w:tcPr>
            <w:tcW w:w="846" w:type="dxa"/>
            <w:vMerge/>
            <w:shd w:val="clear" w:color="auto" w:fill="E0E0E0"/>
          </w:tcPr>
          <w:p w14:paraId="0D0BB5F1"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154FA5B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2017</w:t>
            </w:r>
          </w:p>
        </w:tc>
        <w:tc>
          <w:tcPr>
            <w:tcW w:w="1384" w:type="dxa"/>
            <w:shd w:val="clear" w:color="auto" w:fill="F9F9FB"/>
          </w:tcPr>
          <w:p w14:paraId="2B95E634"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76</w:t>
            </w:r>
          </w:p>
        </w:tc>
        <w:tc>
          <w:tcPr>
            <w:tcW w:w="1019" w:type="dxa"/>
            <w:shd w:val="clear" w:color="auto" w:fill="F9F9FB"/>
          </w:tcPr>
          <w:p w14:paraId="30AD289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11.7</w:t>
            </w:r>
          </w:p>
        </w:tc>
        <w:tc>
          <w:tcPr>
            <w:tcW w:w="1487" w:type="dxa"/>
            <w:shd w:val="clear" w:color="auto" w:fill="F9F9FB"/>
          </w:tcPr>
          <w:p w14:paraId="7DFBF310"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11.7</w:t>
            </w:r>
          </w:p>
        </w:tc>
        <w:tc>
          <w:tcPr>
            <w:tcW w:w="2492" w:type="dxa"/>
            <w:shd w:val="clear" w:color="auto" w:fill="F9F9FB"/>
          </w:tcPr>
          <w:p w14:paraId="45A8997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34.6</w:t>
            </w:r>
          </w:p>
        </w:tc>
      </w:tr>
      <w:tr w:rsidR="0076683C" w:rsidRPr="000F7977" w14:paraId="01B48A5F" w14:textId="77777777" w:rsidTr="00890F6F">
        <w:trPr>
          <w:cantSplit/>
          <w:trHeight w:val="392"/>
        </w:trPr>
        <w:tc>
          <w:tcPr>
            <w:tcW w:w="846" w:type="dxa"/>
            <w:vMerge/>
            <w:shd w:val="clear" w:color="auto" w:fill="E0E0E0"/>
          </w:tcPr>
          <w:p w14:paraId="4B38234B"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43AECBB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2018</w:t>
            </w:r>
          </w:p>
        </w:tc>
        <w:tc>
          <w:tcPr>
            <w:tcW w:w="1384" w:type="dxa"/>
            <w:shd w:val="clear" w:color="auto" w:fill="F9F9FB"/>
          </w:tcPr>
          <w:p w14:paraId="23C8F7C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66</w:t>
            </w:r>
          </w:p>
        </w:tc>
        <w:tc>
          <w:tcPr>
            <w:tcW w:w="1019" w:type="dxa"/>
            <w:shd w:val="clear" w:color="auto" w:fill="F9F9FB"/>
          </w:tcPr>
          <w:p w14:paraId="6FD75DA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10.2</w:t>
            </w:r>
          </w:p>
        </w:tc>
        <w:tc>
          <w:tcPr>
            <w:tcW w:w="1487" w:type="dxa"/>
            <w:shd w:val="clear" w:color="auto" w:fill="F9F9FB"/>
          </w:tcPr>
          <w:p w14:paraId="34306B8B"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10.2</w:t>
            </w:r>
          </w:p>
        </w:tc>
        <w:tc>
          <w:tcPr>
            <w:tcW w:w="2492" w:type="dxa"/>
            <w:shd w:val="clear" w:color="auto" w:fill="F9F9FB"/>
          </w:tcPr>
          <w:p w14:paraId="409A7CDA"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44.8</w:t>
            </w:r>
          </w:p>
        </w:tc>
      </w:tr>
      <w:tr w:rsidR="0076683C" w:rsidRPr="000F7977" w14:paraId="3365B4BC" w14:textId="77777777" w:rsidTr="00890F6F">
        <w:trPr>
          <w:cantSplit/>
          <w:trHeight w:val="385"/>
        </w:trPr>
        <w:tc>
          <w:tcPr>
            <w:tcW w:w="846" w:type="dxa"/>
            <w:vMerge/>
            <w:shd w:val="clear" w:color="auto" w:fill="E0E0E0"/>
          </w:tcPr>
          <w:p w14:paraId="062D0375"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07EA41A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2019</w:t>
            </w:r>
          </w:p>
        </w:tc>
        <w:tc>
          <w:tcPr>
            <w:tcW w:w="1384" w:type="dxa"/>
            <w:shd w:val="clear" w:color="auto" w:fill="F9F9FB"/>
          </w:tcPr>
          <w:p w14:paraId="40E64DB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83</w:t>
            </w:r>
          </w:p>
        </w:tc>
        <w:tc>
          <w:tcPr>
            <w:tcW w:w="1019" w:type="dxa"/>
            <w:shd w:val="clear" w:color="auto" w:fill="F9F9FB"/>
          </w:tcPr>
          <w:p w14:paraId="5E409284"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12.8</w:t>
            </w:r>
          </w:p>
        </w:tc>
        <w:tc>
          <w:tcPr>
            <w:tcW w:w="1487" w:type="dxa"/>
            <w:shd w:val="clear" w:color="auto" w:fill="F9F9FB"/>
          </w:tcPr>
          <w:p w14:paraId="6E41C2D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12.8</w:t>
            </w:r>
          </w:p>
        </w:tc>
        <w:tc>
          <w:tcPr>
            <w:tcW w:w="2492" w:type="dxa"/>
            <w:shd w:val="clear" w:color="auto" w:fill="F9F9FB"/>
          </w:tcPr>
          <w:p w14:paraId="6BDDB49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57.5</w:t>
            </w:r>
          </w:p>
        </w:tc>
      </w:tr>
      <w:tr w:rsidR="0076683C" w:rsidRPr="000F7977" w14:paraId="24D1BB2C" w14:textId="77777777" w:rsidTr="00890F6F">
        <w:trPr>
          <w:cantSplit/>
          <w:trHeight w:val="392"/>
        </w:trPr>
        <w:tc>
          <w:tcPr>
            <w:tcW w:w="846" w:type="dxa"/>
            <w:vMerge/>
            <w:shd w:val="clear" w:color="auto" w:fill="E0E0E0"/>
          </w:tcPr>
          <w:p w14:paraId="5FD36CD5"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4D030DB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2020</w:t>
            </w:r>
          </w:p>
        </w:tc>
        <w:tc>
          <w:tcPr>
            <w:tcW w:w="1384" w:type="dxa"/>
            <w:shd w:val="clear" w:color="auto" w:fill="F9F9FB"/>
          </w:tcPr>
          <w:p w14:paraId="09329D6C"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78</w:t>
            </w:r>
          </w:p>
        </w:tc>
        <w:tc>
          <w:tcPr>
            <w:tcW w:w="1019" w:type="dxa"/>
            <w:shd w:val="clear" w:color="auto" w:fill="F9F9FB"/>
          </w:tcPr>
          <w:p w14:paraId="75CDED9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12.0</w:t>
            </w:r>
          </w:p>
        </w:tc>
        <w:tc>
          <w:tcPr>
            <w:tcW w:w="1487" w:type="dxa"/>
            <w:shd w:val="clear" w:color="auto" w:fill="F9F9FB"/>
          </w:tcPr>
          <w:p w14:paraId="7820538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12.0</w:t>
            </w:r>
          </w:p>
        </w:tc>
        <w:tc>
          <w:tcPr>
            <w:tcW w:w="2492" w:type="dxa"/>
            <w:shd w:val="clear" w:color="auto" w:fill="F9F9FB"/>
          </w:tcPr>
          <w:p w14:paraId="0B32541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69.5</w:t>
            </w:r>
          </w:p>
        </w:tc>
      </w:tr>
      <w:tr w:rsidR="0076683C" w:rsidRPr="000F7977" w14:paraId="6A56FE5B" w14:textId="77777777" w:rsidTr="00890F6F">
        <w:trPr>
          <w:cantSplit/>
          <w:trHeight w:val="392"/>
        </w:trPr>
        <w:tc>
          <w:tcPr>
            <w:tcW w:w="846" w:type="dxa"/>
            <w:vMerge/>
            <w:shd w:val="clear" w:color="auto" w:fill="E0E0E0"/>
          </w:tcPr>
          <w:p w14:paraId="1D064A46"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155C174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2021</w:t>
            </w:r>
          </w:p>
        </w:tc>
        <w:tc>
          <w:tcPr>
            <w:tcW w:w="1384" w:type="dxa"/>
            <w:shd w:val="clear" w:color="auto" w:fill="F9F9FB"/>
          </w:tcPr>
          <w:p w14:paraId="08F4D875"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86</w:t>
            </w:r>
          </w:p>
        </w:tc>
        <w:tc>
          <w:tcPr>
            <w:tcW w:w="1019" w:type="dxa"/>
            <w:shd w:val="clear" w:color="auto" w:fill="F9F9FB"/>
          </w:tcPr>
          <w:p w14:paraId="3420AAB1"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13.2</w:t>
            </w:r>
          </w:p>
        </w:tc>
        <w:tc>
          <w:tcPr>
            <w:tcW w:w="1487" w:type="dxa"/>
            <w:shd w:val="clear" w:color="auto" w:fill="F9F9FB"/>
          </w:tcPr>
          <w:p w14:paraId="644105E4"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13.2</w:t>
            </w:r>
          </w:p>
        </w:tc>
        <w:tc>
          <w:tcPr>
            <w:tcW w:w="2492" w:type="dxa"/>
            <w:shd w:val="clear" w:color="auto" w:fill="F9F9FB"/>
          </w:tcPr>
          <w:p w14:paraId="2D8BE182"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82.8</w:t>
            </w:r>
          </w:p>
        </w:tc>
      </w:tr>
      <w:tr w:rsidR="0076683C" w:rsidRPr="000F7977" w14:paraId="160D412D" w14:textId="77777777" w:rsidTr="00890F6F">
        <w:trPr>
          <w:cantSplit/>
          <w:trHeight w:val="392"/>
        </w:trPr>
        <w:tc>
          <w:tcPr>
            <w:tcW w:w="846" w:type="dxa"/>
            <w:vMerge/>
            <w:shd w:val="clear" w:color="auto" w:fill="E0E0E0"/>
          </w:tcPr>
          <w:p w14:paraId="2668E9DD"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21E07FF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2022</w:t>
            </w:r>
          </w:p>
        </w:tc>
        <w:tc>
          <w:tcPr>
            <w:tcW w:w="1384" w:type="dxa"/>
            <w:shd w:val="clear" w:color="auto" w:fill="F9F9FB"/>
          </w:tcPr>
          <w:p w14:paraId="3C9A789B"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86</w:t>
            </w:r>
          </w:p>
        </w:tc>
        <w:tc>
          <w:tcPr>
            <w:tcW w:w="1019" w:type="dxa"/>
            <w:shd w:val="clear" w:color="auto" w:fill="F9F9FB"/>
          </w:tcPr>
          <w:p w14:paraId="0D11A38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13.2</w:t>
            </w:r>
          </w:p>
        </w:tc>
        <w:tc>
          <w:tcPr>
            <w:tcW w:w="1487" w:type="dxa"/>
            <w:shd w:val="clear" w:color="auto" w:fill="F9F9FB"/>
          </w:tcPr>
          <w:p w14:paraId="78BB6E5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13.2</w:t>
            </w:r>
          </w:p>
        </w:tc>
        <w:tc>
          <w:tcPr>
            <w:tcW w:w="2492" w:type="dxa"/>
            <w:shd w:val="clear" w:color="auto" w:fill="F9F9FB"/>
          </w:tcPr>
          <w:p w14:paraId="49853349"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96.0</w:t>
            </w:r>
          </w:p>
        </w:tc>
      </w:tr>
      <w:tr w:rsidR="0076683C" w:rsidRPr="000F7977" w14:paraId="59E95690" w14:textId="77777777" w:rsidTr="00890F6F">
        <w:trPr>
          <w:cantSplit/>
          <w:trHeight w:val="385"/>
        </w:trPr>
        <w:tc>
          <w:tcPr>
            <w:tcW w:w="846" w:type="dxa"/>
            <w:vMerge/>
            <w:shd w:val="clear" w:color="auto" w:fill="E0E0E0"/>
          </w:tcPr>
          <w:p w14:paraId="158A2408"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6F9501B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2023</w:t>
            </w:r>
          </w:p>
        </w:tc>
        <w:tc>
          <w:tcPr>
            <w:tcW w:w="1384" w:type="dxa"/>
            <w:shd w:val="clear" w:color="auto" w:fill="F9F9FB"/>
          </w:tcPr>
          <w:p w14:paraId="4270069A"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25</w:t>
            </w:r>
          </w:p>
        </w:tc>
        <w:tc>
          <w:tcPr>
            <w:tcW w:w="1019" w:type="dxa"/>
            <w:shd w:val="clear" w:color="auto" w:fill="F9F9FB"/>
          </w:tcPr>
          <w:p w14:paraId="5EBA071A"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3.8</w:t>
            </w:r>
          </w:p>
        </w:tc>
        <w:tc>
          <w:tcPr>
            <w:tcW w:w="1487" w:type="dxa"/>
            <w:shd w:val="clear" w:color="auto" w:fill="F9F9FB"/>
          </w:tcPr>
          <w:p w14:paraId="21AF6363"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3.8</w:t>
            </w:r>
          </w:p>
        </w:tc>
        <w:tc>
          <w:tcPr>
            <w:tcW w:w="2492" w:type="dxa"/>
            <w:shd w:val="clear" w:color="auto" w:fill="F9F9FB"/>
          </w:tcPr>
          <w:p w14:paraId="608498D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99.8</w:t>
            </w:r>
          </w:p>
        </w:tc>
      </w:tr>
      <w:tr w:rsidR="0076683C" w:rsidRPr="000F7977" w14:paraId="4A548595" w14:textId="77777777" w:rsidTr="00890F6F">
        <w:trPr>
          <w:cantSplit/>
          <w:trHeight w:val="392"/>
        </w:trPr>
        <w:tc>
          <w:tcPr>
            <w:tcW w:w="846" w:type="dxa"/>
            <w:vMerge/>
            <w:shd w:val="clear" w:color="auto" w:fill="E0E0E0"/>
          </w:tcPr>
          <w:p w14:paraId="67AAAAF3"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196D27E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2024</w:t>
            </w:r>
          </w:p>
        </w:tc>
        <w:tc>
          <w:tcPr>
            <w:tcW w:w="1384" w:type="dxa"/>
            <w:shd w:val="clear" w:color="auto" w:fill="F9F9FB"/>
          </w:tcPr>
          <w:p w14:paraId="0BA0E43F"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w:t>
            </w:r>
          </w:p>
        </w:tc>
        <w:tc>
          <w:tcPr>
            <w:tcW w:w="1019" w:type="dxa"/>
            <w:shd w:val="clear" w:color="auto" w:fill="F9F9FB"/>
          </w:tcPr>
          <w:p w14:paraId="36610D1E"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.2</w:t>
            </w:r>
          </w:p>
        </w:tc>
        <w:tc>
          <w:tcPr>
            <w:tcW w:w="1487" w:type="dxa"/>
            <w:shd w:val="clear" w:color="auto" w:fill="F9F9FB"/>
          </w:tcPr>
          <w:p w14:paraId="444115A2"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.2</w:t>
            </w:r>
          </w:p>
        </w:tc>
        <w:tc>
          <w:tcPr>
            <w:tcW w:w="2492" w:type="dxa"/>
            <w:shd w:val="clear" w:color="auto" w:fill="F9F9FB"/>
          </w:tcPr>
          <w:p w14:paraId="0FE7CA9C" w14:textId="77777777" w:rsidR="0076683C" w:rsidRPr="000F7977" w:rsidRDefault="0076683C" w:rsidP="00890F6F">
            <w:pPr>
              <w:tabs>
                <w:tab w:val="left" w:pos="2680"/>
              </w:tabs>
              <w:jc w:val="center"/>
              <w:rPr>
                <w:rFonts w:ascii="Times New Roman" w:hAnsi="Times New Roman" w:cs="Times New Roman"/>
                <w:sz w:val="24"/>
                <w:szCs w:val="24"/>
              </w:rPr>
            </w:pPr>
            <w:r w:rsidRPr="000F7977">
              <w:rPr>
                <w:rFonts w:ascii="Times New Roman" w:hAnsi="Times New Roman" w:cs="Times New Roman"/>
                <w:sz w:val="24"/>
                <w:szCs w:val="24"/>
              </w:rPr>
              <w:t>100.0</w:t>
            </w:r>
          </w:p>
        </w:tc>
      </w:tr>
      <w:tr w:rsidR="0076683C" w:rsidRPr="000F7977" w14:paraId="12F0BEAF" w14:textId="77777777" w:rsidTr="00890F6F">
        <w:trPr>
          <w:cantSplit/>
          <w:trHeight w:val="392"/>
        </w:trPr>
        <w:tc>
          <w:tcPr>
            <w:tcW w:w="846" w:type="dxa"/>
            <w:vMerge/>
            <w:shd w:val="clear" w:color="auto" w:fill="E0E0E0"/>
          </w:tcPr>
          <w:p w14:paraId="279586D6" w14:textId="77777777" w:rsidR="0076683C" w:rsidRPr="000F7977" w:rsidRDefault="0076683C" w:rsidP="00890F6F">
            <w:pPr>
              <w:tabs>
                <w:tab w:val="left" w:pos="2680"/>
              </w:tabs>
              <w:jc w:val="both"/>
              <w:rPr>
                <w:rFonts w:ascii="Times New Roman" w:hAnsi="Times New Roman" w:cs="Times New Roman"/>
                <w:sz w:val="24"/>
                <w:szCs w:val="24"/>
              </w:rPr>
            </w:pPr>
          </w:p>
        </w:tc>
        <w:tc>
          <w:tcPr>
            <w:tcW w:w="846" w:type="dxa"/>
            <w:shd w:val="clear" w:color="auto" w:fill="E0E0E0"/>
          </w:tcPr>
          <w:p w14:paraId="2E629430"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Total</w:t>
            </w:r>
          </w:p>
        </w:tc>
        <w:tc>
          <w:tcPr>
            <w:tcW w:w="1384" w:type="dxa"/>
            <w:shd w:val="clear" w:color="auto" w:fill="F9F9FB"/>
          </w:tcPr>
          <w:p w14:paraId="16DBC41D" w14:textId="77777777" w:rsidR="0076683C" w:rsidRPr="000F7977" w:rsidRDefault="0076683C" w:rsidP="00890F6F">
            <w:pPr>
              <w:tabs>
                <w:tab w:val="left" w:pos="2680"/>
              </w:tabs>
              <w:jc w:val="center"/>
              <w:rPr>
                <w:rFonts w:ascii="Times New Roman" w:hAnsi="Times New Roman" w:cs="Times New Roman"/>
                <w:b/>
                <w:bCs/>
                <w:sz w:val="24"/>
                <w:szCs w:val="24"/>
              </w:rPr>
            </w:pPr>
            <w:r w:rsidRPr="000F7977">
              <w:rPr>
                <w:rFonts w:ascii="Times New Roman" w:hAnsi="Times New Roman" w:cs="Times New Roman"/>
                <w:b/>
                <w:bCs/>
                <w:sz w:val="24"/>
                <w:szCs w:val="24"/>
              </w:rPr>
              <w:t>650</w:t>
            </w:r>
          </w:p>
        </w:tc>
        <w:tc>
          <w:tcPr>
            <w:tcW w:w="1019" w:type="dxa"/>
            <w:shd w:val="clear" w:color="auto" w:fill="F9F9FB"/>
          </w:tcPr>
          <w:p w14:paraId="07FF5BBD" w14:textId="77777777" w:rsidR="0076683C" w:rsidRPr="000F7977" w:rsidRDefault="0076683C" w:rsidP="00890F6F">
            <w:pPr>
              <w:tabs>
                <w:tab w:val="left" w:pos="2680"/>
              </w:tabs>
              <w:jc w:val="center"/>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487" w:type="dxa"/>
            <w:shd w:val="clear" w:color="auto" w:fill="F9F9FB"/>
          </w:tcPr>
          <w:p w14:paraId="6A6F14E9" w14:textId="77777777" w:rsidR="0076683C" w:rsidRPr="000F7977" w:rsidRDefault="0076683C" w:rsidP="00890F6F">
            <w:pPr>
              <w:tabs>
                <w:tab w:val="left" w:pos="2680"/>
              </w:tabs>
              <w:jc w:val="center"/>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2492" w:type="dxa"/>
            <w:shd w:val="clear" w:color="auto" w:fill="F9F9FB"/>
            <w:vAlign w:val="center"/>
          </w:tcPr>
          <w:p w14:paraId="428211C6" w14:textId="77777777" w:rsidR="0076683C" w:rsidRPr="000F7977" w:rsidRDefault="0076683C" w:rsidP="00890F6F">
            <w:pPr>
              <w:tabs>
                <w:tab w:val="left" w:pos="2680"/>
              </w:tabs>
              <w:jc w:val="center"/>
              <w:rPr>
                <w:rFonts w:ascii="Times New Roman" w:hAnsi="Times New Roman" w:cs="Times New Roman"/>
                <w:sz w:val="24"/>
                <w:szCs w:val="24"/>
              </w:rPr>
            </w:pPr>
          </w:p>
        </w:tc>
      </w:tr>
    </w:tbl>
    <w:p w14:paraId="609DF743" w14:textId="3FC94833" w:rsidR="0076683C" w:rsidRDefault="0076683C" w:rsidP="00713F77">
      <w:pPr>
        <w:tabs>
          <w:tab w:val="left" w:pos="2680"/>
        </w:tabs>
        <w:jc w:val="both"/>
        <w:rPr>
          <w:rFonts w:ascii="Times New Roman" w:hAnsi="Times New Roman" w:cs="Times New Roman"/>
          <w:b/>
          <w:bCs/>
          <w:sz w:val="24"/>
          <w:szCs w:val="24"/>
        </w:rPr>
      </w:pPr>
    </w:p>
    <w:p w14:paraId="3D160957" w14:textId="1171242D" w:rsidR="0076683C" w:rsidRDefault="0076683C" w:rsidP="00713F77">
      <w:pPr>
        <w:tabs>
          <w:tab w:val="left" w:pos="2680"/>
        </w:tabs>
        <w:jc w:val="both"/>
        <w:rPr>
          <w:rFonts w:ascii="Times New Roman" w:hAnsi="Times New Roman" w:cs="Times New Roman"/>
          <w:b/>
          <w:bCs/>
          <w:sz w:val="24"/>
          <w:szCs w:val="24"/>
        </w:rPr>
      </w:pPr>
    </w:p>
    <w:p w14:paraId="6D8C18BF" w14:textId="329E3C77" w:rsidR="0076683C" w:rsidRDefault="0076683C" w:rsidP="00713F77">
      <w:pPr>
        <w:tabs>
          <w:tab w:val="left" w:pos="2680"/>
        </w:tabs>
        <w:jc w:val="both"/>
        <w:rPr>
          <w:rFonts w:ascii="Times New Roman" w:hAnsi="Times New Roman" w:cs="Times New Roman"/>
          <w:b/>
          <w:bCs/>
          <w:sz w:val="24"/>
          <w:szCs w:val="24"/>
        </w:rPr>
      </w:pPr>
    </w:p>
    <w:p w14:paraId="5030C548" w14:textId="71B8FC7F" w:rsidR="00713F77" w:rsidRPr="0076683C" w:rsidRDefault="0076683C" w:rsidP="0076683C">
      <w:pPr>
        <w:tabs>
          <w:tab w:val="left" w:pos="2680"/>
        </w:tabs>
        <w:jc w:val="both"/>
        <w:rPr>
          <w:rFonts w:ascii="Times New Roman" w:hAnsi="Times New Roman" w:cs="Times New Roman"/>
          <w:b/>
          <w:bCs/>
          <w:sz w:val="24"/>
          <w:szCs w:val="24"/>
        </w:rPr>
      </w:pPr>
      <w:r w:rsidRPr="000F7977">
        <w:rPr>
          <w:rFonts w:ascii="Times New Roman" w:hAnsi="Times New Roman" w:cs="Times New Roman"/>
          <w:noProof/>
          <w:sz w:val="24"/>
          <w:szCs w:val="24"/>
        </w:rPr>
        <w:drawing>
          <wp:inline distT="0" distB="0" distL="0" distR="0" wp14:anchorId="1184EA0B" wp14:editId="3313569A">
            <wp:extent cx="5158781" cy="2689225"/>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83138" cy="2701922"/>
                    </a:xfrm>
                    <a:prstGeom prst="rect">
                      <a:avLst/>
                    </a:prstGeom>
                    <a:noFill/>
                    <a:ln>
                      <a:noFill/>
                    </a:ln>
                  </pic:spPr>
                </pic:pic>
              </a:graphicData>
            </a:graphic>
          </wp:inline>
        </w:drawing>
      </w:r>
    </w:p>
    <w:p w14:paraId="7BA88F5A" w14:textId="757D2BB9" w:rsidR="00713F77" w:rsidRDefault="0076683C" w:rsidP="0076683C">
      <w:pPr>
        <w:tabs>
          <w:tab w:val="left" w:pos="2680"/>
        </w:tabs>
        <w:jc w:val="both"/>
        <w:rPr>
          <w:rFonts w:ascii="Times New Roman" w:hAnsi="Times New Roman" w:cs="Times New Roman"/>
          <w:sz w:val="24"/>
          <w:szCs w:val="24"/>
        </w:rPr>
      </w:pPr>
      <w:r>
        <w:rPr>
          <w:rFonts w:ascii="Times New Roman" w:hAnsi="Times New Roman" w:cs="Times New Roman"/>
          <w:sz w:val="24"/>
          <w:szCs w:val="24"/>
        </w:rPr>
        <w:t>From the table 1 above shows that accidents occurred with a high percentage in 2021 and 2022 by 13.2% and with the lowest in 2024 with .2%</w:t>
      </w:r>
    </w:p>
    <w:p w14:paraId="3ECFB96E" w14:textId="77777777" w:rsidR="005A3656" w:rsidRDefault="005A3656" w:rsidP="0076683C">
      <w:pPr>
        <w:tabs>
          <w:tab w:val="left" w:pos="2680"/>
        </w:tabs>
        <w:jc w:val="both"/>
        <w:rPr>
          <w:rFonts w:ascii="Times New Roman" w:hAnsi="Times New Roman" w:cs="Times New Roman"/>
          <w:b/>
          <w:bCs/>
          <w:sz w:val="24"/>
          <w:szCs w:val="24"/>
        </w:rPr>
      </w:pPr>
    </w:p>
    <w:p w14:paraId="0418C0E6" w14:textId="77777777" w:rsidR="005A3656" w:rsidRDefault="005A3656" w:rsidP="0076683C">
      <w:pPr>
        <w:tabs>
          <w:tab w:val="left" w:pos="2680"/>
        </w:tabs>
        <w:jc w:val="both"/>
        <w:rPr>
          <w:rFonts w:ascii="Times New Roman" w:hAnsi="Times New Roman" w:cs="Times New Roman"/>
          <w:b/>
          <w:bCs/>
          <w:sz w:val="24"/>
          <w:szCs w:val="24"/>
        </w:rPr>
      </w:pPr>
    </w:p>
    <w:p w14:paraId="36B35B3F" w14:textId="77777777" w:rsidR="005A3656" w:rsidRDefault="005A3656" w:rsidP="0076683C">
      <w:pPr>
        <w:tabs>
          <w:tab w:val="left" w:pos="2680"/>
        </w:tabs>
        <w:jc w:val="both"/>
        <w:rPr>
          <w:rFonts w:ascii="Times New Roman" w:hAnsi="Times New Roman" w:cs="Times New Roman"/>
          <w:b/>
          <w:bCs/>
          <w:sz w:val="24"/>
          <w:szCs w:val="24"/>
        </w:rPr>
      </w:pPr>
    </w:p>
    <w:p w14:paraId="0136BDA7" w14:textId="77777777" w:rsidR="005A3656" w:rsidRDefault="005A3656" w:rsidP="0076683C">
      <w:pPr>
        <w:tabs>
          <w:tab w:val="left" w:pos="2680"/>
        </w:tabs>
        <w:jc w:val="both"/>
        <w:rPr>
          <w:rFonts w:ascii="Times New Roman" w:hAnsi="Times New Roman" w:cs="Times New Roman"/>
          <w:b/>
          <w:bCs/>
          <w:sz w:val="24"/>
          <w:szCs w:val="24"/>
        </w:rPr>
      </w:pPr>
    </w:p>
    <w:p w14:paraId="14A17D1A" w14:textId="2C1673B4" w:rsidR="0076683C" w:rsidRPr="000F7977" w:rsidRDefault="0076683C" w:rsidP="0076683C">
      <w:pPr>
        <w:tabs>
          <w:tab w:val="left" w:pos="2680"/>
        </w:tabs>
        <w:jc w:val="both"/>
        <w:rPr>
          <w:rFonts w:ascii="Times New Roman" w:hAnsi="Times New Roman" w:cs="Times New Roman"/>
          <w:b/>
          <w:bCs/>
          <w:sz w:val="24"/>
          <w:szCs w:val="24"/>
        </w:rPr>
      </w:pPr>
      <w:r>
        <w:rPr>
          <w:rFonts w:ascii="Times New Roman" w:hAnsi="Times New Roman" w:cs="Times New Roman"/>
          <w:b/>
          <w:bCs/>
          <w:sz w:val="24"/>
          <w:szCs w:val="24"/>
        </w:rPr>
        <w:lastRenderedPageBreak/>
        <w:t>Table 2</w:t>
      </w:r>
      <w:r w:rsidR="005A3656">
        <w:rPr>
          <w:rFonts w:ascii="Times New Roman" w:hAnsi="Times New Roman" w:cs="Times New Roman"/>
          <w:b/>
          <w:bCs/>
          <w:sz w:val="24"/>
          <w:szCs w:val="24"/>
        </w:rPr>
        <w:t>:</w:t>
      </w:r>
      <w:r>
        <w:rPr>
          <w:rFonts w:ascii="Times New Roman" w:hAnsi="Times New Roman" w:cs="Times New Roman"/>
          <w:b/>
          <w:bCs/>
          <w:sz w:val="24"/>
          <w:szCs w:val="24"/>
        </w:rPr>
        <w:t xml:space="preserve"> </w:t>
      </w:r>
      <w:r w:rsidRPr="000F7977">
        <w:rPr>
          <w:rFonts w:ascii="Times New Roman" w:hAnsi="Times New Roman" w:cs="Times New Roman"/>
          <w:b/>
          <w:bCs/>
          <w:sz w:val="24"/>
          <w:szCs w:val="24"/>
        </w:rPr>
        <w:t xml:space="preserve">Type </w:t>
      </w:r>
      <w:r>
        <w:rPr>
          <w:rFonts w:ascii="Times New Roman" w:hAnsi="Times New Roman" w:cs="Times New Roman"/>
          <w:b/>
          <w:bCs/>
          <w:sz w:val="24"/>
          <w:szCs w:val="24"/>
        </w:rPr>
        <w:t>o</w:t>
      </w:r>
      <w:r w:rsidRPr="000F7977">
        <w:rPr>
          <w:rFonts w:ascii="Times New Roman" w:hAnsi="Times New Roman" w:cs="Times New Roman"/>
          <w:b/>
          <w:bCs/>
          <w:sz w:val="24"/>
          <w:szCs w:val="24"/>
        </w:rPr>
        <w:t>f Accident</w:t>
      </w:r>
      <w:r>
        <w:rPr>
          <w:rFonts w:ascii="Times New Roman" w:hAnsi="Times New Roman" w:cs="Times New Roman"/>
          <w:b/>
          <w:bCs/>
          <w:sz w:val="24"/>
          <w:szCs w:val="24"/>
        </w:rPr>
        <w:t xml:space="preserve"> occurred to the employees</w:t>
      </w:r>
    </w:p>
    <w:tbl>
      <w:tblPr>
        <w:tblW w:w="8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0"/>
        <w:gridCol w:w="2136"/>
        <w:gridCol w:w="1205"/>
        <w:gridCol w:w="1094"/>
        <w:gridCol w:w="1423"/>
        <w:gridCol w:w="1622"/>
      </w:tblGrid>
      <w:tr w:rsidR="0076683C" w:rsidRPr="000F7977" w14:paraId="27544FE1" w14:textId="77777777" w:rsidTr="00890F6F">
        <w:trPr>
          <w:cantSplit/>
          <w:trHeight w:val="752"/>
        </w:trPr>
        <w:tc>
          <w:tcPr>
            <w:tcW w:w="2946" w:type="dxa"/>
            <w:gridSpan w:val="2"/>
            <w:shd w:val="clear" w:color="auto" w:fill="FFFFFF"/>
            <w:vAlign w:val="bottom"/>
          </w:tcPr>
          <w:p w14:paraId="514E27D6" w14:textId="77777777" w:rsidR="0076683C" w:rsidRPr="000F7977" w:rsidRDefault="0076683C"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Type Of Accident</w:t>
            </w:r>
          </w:p>
        </w:tc>
        <w:tc>
          <w:tcPr>
            <w:tcW w:w="1205" w:type="dxa"/>
            <w:shd w:val="clear" w:color="auto" w:fill="FFFFFF"/>
            <w:vAlign w:val="bottom"/>
          </w:tcPr>
          <w:p w14:paraId="3E5B17B5" w14:textId="77777777" w:rsidR="0076683C" w:rsidRPr="000F7977" w:rsidRDefault="0076683C"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Frequency</w:t>
            </w:r>
          </w:p>
        </w:tc>
        <w:tc>
          <w:tcPr>
            <w:tcW w:w="1094" w:type="dxa"/>
            <w:shd w:val="clear" w:color="auto" w:fill="FFFFFF"/>
            <w:vAlign w:val="bottom"/>
          </w:tcPr>
          <w:p w14:paraId="47A941DC" w14:textId="77777777" w:rsidR="0076683C" w:rsidRPr="000F7977" w:rsidRDefault="0076683C"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Percent</w:t>
            </w:r>
          </w:p>
        </w:tc>
        <w:tc>
          <w:tcPr>
            <w:tcW w:w="1423" w:type="dxa"/>
            <w:shd w:val="clear" w:color="auto" w:fill="FFFFFF"/>
            <w:vAlign w:val="bottom"/>
          </w:tcPr>
          <w:p w14:paraId="43507D39" w14:textId="77777777" w:rsidR="0076683C" w:rsidRPr="000F7977" w:rsidRDefault="0076683C"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Valid Percent</w:t>
            </w:r>
          </w:p>
        </w:tc>
        <w:tc>
          <w:tcPr>
            <w:tcW w:w="1622" w:type="dxa"/>
            <w:shd w:val="clear" w:color="auto" w:fill="FFFFFF"/>
            <w:vAlign w:val="bottom"/>
          </w:tcPr>
          <w:p w14:paraId="01E0C78E" w14:textId="77777777" w:rsidR="0076683C" w:rsidRPr="000F7977" w:rsidRDefault="0076683C" w:rsidP="00890F6F">
            <w:pPr>
              <w:tabs>
                <w:tab w:val="left" w:pos="2680"/>
              </w:tabs>
              <w:jc w:val="both"/>
              <w:rPr>
                <w:rFonts w:ascii="Times New Roman" w:hAnsi="Times New Roman" w:cs="Times New Roman"/>
                <w:b/>
                <w:bCs/>
                <w:sz w:val="24"/>
                <w:szCs w:val="24"/>
              </w:rPr>
            </w:pPr>
            <w:r w:rsidRPr="0028027B">
              <w:rPr>
                <w:rFonts w:ascii="Times New Roman" w:hAnsi="Times New Roman" w:cs="Times New Roman"/>
                <w:b/>
                <w:bCs/>
                <w:sz w:val="24"/>
                <w:szCs w:val="24"/>
              </w:rPr>
              <w:t>Cumulative Percent</w:t>
            </w:r>
          </w:p>
        </w:tc>
      </w:tr>
      <w:tr w:rsidR="0076683C" w:rsidRPr="000F7977" w14:paraId="6FB93653" w14:textId="77777777" w:rsidTr="00890F6F">
        <w:trPr>
          <w:cantSplit/>
          <w:trHeight w:val="460"/>
        </w:trPr>
        <w:tc>
          <w:tcPr>
            <w:tcW w:w="810" w:type="dxa"/>
            <w:vMerge w:val="restart"/>
            <w:shd w:val="clear" w:color="auto" w:fill="E0E0E0"/>
          </w:tcPr>
          <w:p w14:paraId="6889348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Valid</w:t>
            </w:r>
          </w:p>
        </w:tc>
        <w:tc>
          <w:tcPr>
            <w:tcW w:w="2135" w:type="dxa"/>
            <w:shd w:val="clear" w:color="auto" w:fill="E0E0E0"/>
          </w:tcPr>
          <w:p w14:paraId="72B1A61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Assault</w:t>
            </w:r>
          </w:p>
        </w:tc>
        <w:tc>
          <w:tcPr>
            <w:tcW w:w="1205" w:type="dxa"/>
            <w:shd w:val="clear" w:color="auto" w:fill="F9F9FB"/>
          </w:tcPr>
          <w:p w14:paraId="243E9CC6"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094" w:type="dxa"/>
            <w:shd w:val="clear" w:color="auto" w:fill="F9F9FB"/>
          </w:tcPr>
          <w:p w14:paraId="111123A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423" w:type="dxa"/>
            <w:shd w:val="clear" w:color="auto" w:fill="F9F9FB"/>
          </w:tcPr>
          <w:p w14:paraId="5992BC8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622" w:type="dxa"/>
            <w:shd w:val="clear" w:color="auto" w:fill="F9F9FB"/>
          </w:tcPr>
          <w:p w14:paraId="6D584E1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r>
      <w:tr w:rsidR="0076683C" w:rsidRPr="000F7977" w14:paraId="143039DF" w14:textId="77777777" w:rsidTr="00890F6F">
        <w:trPr>
          <w:cantSplit/>
          <w:trHeight w:val="468"/>
        </w:trPr>
        <w:tc>
          <w:tcPr>
            <w:tcW w:w="810" w:type="dxa"/>
            <w:vMerge/>
            <w:shd w:val="clear" w:color="auto" w:fill="E0E0E0"/>
          </w:tcPr>
          <w:p w14:paraId="2F660A29"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78A0920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Burns</w:t>
            </w:r>
          </w:p>
        </w:tc>
        <w:tc>
          <w:tcPr>
            <w:tcW w:w="1205" w:type="dxa"/>
            <w:shd w:val="clear" w:color="auto" w:fill="F9F9FB"/>
          </w:tcPr>
          <w:p w14:paraId="430FB75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094" w:type="dxa"/>
            <w:shd w:val="clear" w:color="auto" w:fill="F9F9FB"/>
          </w:tcPr>
          <w:p w14:paraId="4CF87A1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423" w:type="dxa"/>
            <w:shd w:val="clear" w:color="auto" w:fill="F9F9FB"/>
          </w:tcPr>
          <w:p w14:paraId="736F974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622" w:type="dxa"/>
            <w:shd w:val="clear" w:color="auto" w:fill="F9F9FB"/>
          </w:tcPr>
          <w:p w14:paraId="1B0B1BA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r>
      <w:tr w:rsidR="0076683C" w:rsidRPr="000F7977" w14:paraId="44F52FCC" w14:textId="77777777" w:rsidTr="00890F6F">
        <w:trPr>
          <w:cantSplit/>
          <w:trHeight w:val="468"/>
        </w:trPr>
        <w:tc>
          <w:tcPr>
            <w:tcW w:w="810" w:type="dxa"/>
            <w:vMerge/>
            <w:shd w:val="clear" w:color="auto" w:fill="E0E0E0"/>
          </w:tcPr>
          <w:p w14:paraId="1928EAF1"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51C9EB9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Electrical Burns</w:t>
            </w:r>
          </w:p>
        </w:tc>
        <w:tc>
          <w:tcPr>
            <w:tcW w:w="1205" w:type="dxa"/>
            <w:shd w:val="clear" w:color="auto" w:fill="F9F9FB"/>
          </w:tcPr>
          <w:p w14:paraId="4A605AC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094" w:type="dxa"/>
            <w:shd w:val="clear" w:color="auto" w:fill="F9F9FB"/>
          </w:tcPr>
          <w:p w14:paraId="6D88148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423" w:type="dxa"/>
            <w:shd w:val="clear" w:color="auto" w:fill="F9F9FB"/>
          </w:tcPr>
          <w:p w14:paraId="1887953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622" w:type="dxa"/>
            <w:shd w:val="clear" w:color="auto" w:fill="F9F9FB"/>
          </w:tcPr>
          <w:p w14:paraId="2475597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w:t>
            </w:r>
          </w:p>
        </w:tc>
      </w:tr>
      <w:tr w:rsidR="0076683C" w:rsidRPr="000F7977" w14:paraId="2FE76DBC" w14:textId="77777777" w:rsidTr="00890F6F">
        <w:trPr>
          <w:cantSplit/>
          <w:trHeight w:val="460"/>
        </w:trPr>
        <w:tc>
          <w:tcPr>
            <w:tcW w:w="810" w:type="dxa"/>
            <w:vMerge/>
            <w:shd w:val="clear" w:color="auto" w:fill="E0E0E0"/>
          </w:tcPr>
          <w:p w14:paraId="0D378698"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263334C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Electrocution</w:t>
            </w:r>
          </w:p>
        </w:tc>
        <w:tc>
          <w:tcPr>
            <w:tcW w:w="1205" w:type="dxa"/>
            <w:shd w:val="clear" w:color="auto" w:fill="F9F9FB"/>
          </w:tcPr>
          <w:p w14:paraId="157BD18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w:t>
            </w:r>
          </w:p>
        </w:tc>
        <w:tc>
          <w:tcPr>
            <w:tcW w:w="1094" w:type="dxa"/>
            <w:shd w:val="clear" w:color="auto" w:fill="F9F9FB"/>
          </w:tcPr>
          <w:p w14:paraId="4A21830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c>
          <w:tcPr>
            <w:tcW w:w="1423" w:type="dxa"/>
            <w:shd w:val="clear" w:color="auto" w:fill="F9F9FB"/>
          </w:tcPr>
          <w:p w14:paraId="02AC87B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w:t>
            </w:r>
          </w:p>
        </w:tc>
        <w:tc>
          <w:tcPr>
            <w:tcW w:w="1622" w:type="dxa"/>
            <w:shd w:val="clear" w:color="auto" w:fill="F9F9FB"/>
          </w:tcPr>
          <w:p w14:paraId="2FDF986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2.0</w:t>
            </w:r>
          </w:p>
        </w:tc>
      </w:tr>
      <w:tr w:rsidR="0076683C" w:rsidRPr="000F7977" w14:paraId="13DE668E" w14:textId="77777777" w:rsidTr="00890F6F">
        <w:trPr>
          <w:cantSplit/>
          <w:trHeight w:val="468"/>
        </w:trPr>
        <w:tc>
          <w:tcPr>
            <w:tcW w:w="810" w:type="dxa"/>
            <w:vMerge/>
            <w:shd w:val="clear" w:color="auto" w:fill="E0E0E0"/>
          </w:tcPr>
          <w:p w14:paraId="5C69917F"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58FFAAE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Fire Accident</w:t>
            </w:r>
          </w:p>
        </w:tc>
        <w:tc>
          <w:tcPr>
            <w:tcW w:w="1205" w:type="dxa"/>
            <w:shd w:val="clear" w:color="auto" w:fill="F9F9FB"/>
          </w:tcPr>
          <w:p w14:paraId="634D0E4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094" w:type="dxa"/>
            <w:shd w:val="clear" w:color="auto" w:fill="F9F9FB"/>
          </w:tcPr>
          <w:p w14:paraId="1E28AA6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423" w:type="dxa"/>
            <w:shd w:val="clear" w:color="auto" w:fill="F9F9FB"/>
          </w:tcPr>
          <w:p w14:paraId="191D321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622" w:type="dxa"/>
            <w:shd w:val="clear" w:color="auto" w:fill="F9F9FB"/>
          </w:tcPr>
          <w:p w14:paraId="10186B7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2.3</w:t>
            </w:r>
          </w:p>
        </w:tc>
      </w:tr>
      <w:tr w:rsidR="0076683C" w:rsidRPr="000F7977" w14:paraId="7D10C275" w14:textId="77777777" w:rsidTr="00890F6F">
        <w:trPr>
          <w:cantSplit/>
          <w:trHeight w:val="468"/>
        </w:trPr>
        <w:tc>
          <w:tcPr>
            <w:tcW w:w="810" w:type="dxa"/>
            <w:vMerge/>
            <w:shd w:val="clear" w:color="auto" w:fill="E0E0E0"/>
          </w:tcPr>
          <w:p w14:paraId="56111845"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68DD023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Gunshot Injury</w:t>
            </w:r>
          </w:p>
        </w:tc>
        <w:tc>
          <w:tcPr>
            <w:tcW w:w="1205" w:type="dxa"/>
            <w:shd w:val="clear" w:color="auto" w:fill="F9F9FB"/>
          </w:tcPr>
          <w:p w14:paraId="01AB723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094" w:type="dxa"/>
            <w:shd w:val="clear" w:color="auto" w:fill="F9F9FB"/>
          </w:tcPr>
          <w:p w14:paraId="294A821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423" w:type="dxa"/>
            <w:shd w:val="clear" w:color="auto" w:fill="F9F9FB"/>
          </w:tcPr>
          <w:p w14:paraId="2A6CECA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w:t>
            </w:r>
          </w:p>
        </w:tc>
        <w:tc>
          <w:tcPr>
            <w:tcW w:w="1622" w:type="dxa"/>
            <w:shd w:val="clear" w:color="auto" w:fill="F9F9FB"/>
          </w:tcPr>
          <w:p w14:paraId="2FC03DD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2.6</w:t>
            </w:r>
          </w:p>
        </w:tc>
      </w:tr>
      <w:tr w:rsidR="0076683C" w:rsidRPr="000F7977" w14:paraId="2D2A547C" w14:textId="77777777" w:rsidTr="00890F6F">
        <w:trPr>
          <w:cantSplit/>
          <w:trHeight w:val="468"/>
        </w:trPr>
        <w:tc>
          <w:tcPr>
            <w:tcW w:w="810" w:type="dxa"/>
            <w:vMerge/>
            <w:shd w:val="clear" w:color="auto" w:fill="E0E0E0"/>
          </w:tcPr>
          <w:p w14:paraId="0700F78C"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4B255ED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Helicopter Accident</w:t>
            </w:r>
          </w:p>
        </w:tc>
        <w:tc>
          <w:tcPr>
            <w:tcW w:w="1205" w:type="dxa"/>
            <w:shd w:val="clear" w:color="auto" w:fill="F9F9FB"/>
          </w:tcPr>
          <w:p w14:paraId="73B46C0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1094" w:type="dxa"/>
            <w:shd w:val="clear" w:color="auto" w:fill="F9F9FB"/>
          </w:tcPr>
          <w:p w14:paraId="6BA0D6B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3" w:type="dxa"/>
            <w:shd w:val="clear" w:color="auto" w:fill="F9F9FB"/>
          </w:tcPr>
          <w:p w14:paraId="14599DF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622" w:type="dxa"/>
            <w:shd w:val="clear" w:color="auto" w:fill="F9F9FB"/>
          </w:tcPr>
          <w:p w14:paraId="4D0E003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w:t>
            </w:r>
          </w:p>
        </w:tc>
      </w:tr>
      <w:tr w:rsidR="0076683C" w:rsidRPr="000F7977" w14:paraId="047D454F" w14:textId="77777777" w:rsidTr="00890F6F">
        <w:trPr>
          <w:cantSplit/>
          <w:trHeight w:val="460"/>
        </w:trPr>
        <w:tc>
          <w:tcPr>
            <w:tcW w:w="810" w:type="dxa"/>
            <w:vMerge/>
            <w:shd w:val="clear" w:color="auto" w:fill="E0E0E0"/>
          </w:tcPr>
          <w:p w14:paraId="4BF7D61D"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7DDDF1C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Industrial Accident</w:t>
            </w:r>
          </w:p>
        </w:tc>
        <w:tc>
          <w:tcPr>
            <w:tcW w:w="1205" w:type="dxa"/>
            <w:shd w:val="clear" w:color="auto" w:fill="F9F9FB"/>
          </w:tcPr>
          <w:p w14:paraId="4692021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486</w:t>
            </w:r>
          </w:p>
        </w:tc>
        <w:tc>
          <w:tcPr>
            <w:tcW w:w="1094" w:type="dxa"/>
            <w:shd w:val="clear" w:color="auto" w:fill="F9F9FB"/>
          </w:tcPr>
          <w:p w14:paraId="6A67043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74.8</w:t>
            </w:r>
          </w:p>
        </w:tc>
        <w:tc>
          <w:tcPr>
            <w:tcW w:w="1423" w:type="dxa"/>
            <w:shd w:val="clear" w:color="auto" w:fill="F9F9FB"/>
          </w:tcPr>
          <w:p w14:paraId="0D1AC13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74.8</w:t>
            </w:r>
          </w:p>
        </w:tc>
        <w:tc>
          <w:tcPr>
            <w:tcW w:w="1622" w:type="dxa"/>
            <w:shd w:val="clear" w:color="auto" w:fill="F9F9FB"/>
          </w:tcPr>
          <w:p w14:paraId="567292F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77.5</w:t>
            </w:r>
          </w:p>
        </w:tc>
      </w:tr>
      <w:tr w:rsidR="0076683C" w:rsidRPr="000F7977" w14:paraId="3C3F4130" w14:textId="77777777" w:rsidTr="00890F6F">
        <w:trPr>
          <w:cantSplit/>
          <w:trHeight w:val="468"/>
        </w:trPr>
        <w:tc>
          <w:tcPr>
            <w:tcW w:w="810" w:type="dxa"/>
            <w:vMerge/>
            <w:shd w:val="clear" w:color="auto" w:fill="E0E0E0"/>
          </w:tcPr>
          <w:p w14:paraId="54D89BEC"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14E29DB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Rail Accident</w:t>
            </w:r>
          </w:p>
        </w:tc>
        <w:tc>
          <w:tcPr>
            <w:tcW w:w="1205" w:type="dxa"/>
            <w:shd w:val="clear" w:color="auto" w:fill="F9F9FB"/>
          </w:tcPr>
          <w:p w14:paraId="54C9BF1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1094" w:type="dxa"/>
            <w:shd w:val="clear" w:color="auto" w:fill="F9F9FB"/>
          </w:tcPr>
          <w:p w14:paraId="5AB58D8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3" w:type="dxa"/>
            <w:shd w:val="clear" w:color="auto" w:fill="F9F9FB"/>
          </w:tcPr>
          <w:p w14:paraId="0202832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622" w:type="dxa"/>
            <w:shd w:val="clear" w:color="auto" w:fill="F9F9FB"/>
          </w:tcPr>
          <w:p w14:paraId="356D46B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77.7</w:t>
            </w:r>
          </w:p>
        </w:tc>
      </w:tr>
      <w:tr w:rsidR="0076683C" w:rsidRPr="000F7977" w14:paraId="214770C5" w14:textId="77777777" w:rsidTr="00890F6F">
        <w:trPr>
          <w:cantSplit/>
          <w:trHeight w:val="468"/>
        </w:trPr>
        <w:tc>
          <w:tcPr>
            <w:tcW w:w="810" w:type="dxa"/>
            <w:vMerge/>
            <w:shd w:val="clear" w:color="auto" w:fill="E0E0E0"/>
          </w:tcPr>
          <w:p w14:paraId="61B4A354"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69EAC60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Road Traffic Accident</w:t>
            </w:r>
          </w:p>
        </w:tc>
        <w:tc>
          <w:tcPr>
            <w:tcW w:w="1205" w:type="dxa"/>
            <w:shd w:val="clear" w:color="auto" w:fill="F9F9FB"/>
          </w:tcPr>
          <w:p w14:paraId="6EBACAD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82</w:t>
            </w:r>
          </w:p>
        </w:tc>
        <w:tc>
          <w:tcPr>
            <w:tcW w:w="1094" w:type="dxa"/>
            <w:shd w:val="clear" w:color="auto" w:fill="F9F9FB"/>
          </w:tcPr>
          <w:p w14:paraId="0F044F9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12.6</w:t>
            </w:r>
          </w:p>
        </w:tc>
        <w:tc>
          <w:tcPr>
            <w:tcW w:w="1423" w:type="dxa"/>
            <w:shd w:val="clear" w:color="auto" w:fill="F9F9FB"/>
          </w:tcPr>
          <w:p w14:paraId="336EBB76"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12.6</w:t>
            </w:r>
          </w:p>
        </w:tc>
        <w:tc>
          <w:tcPr>
            <w:tcW w:w="1622" w:type="dxa"/>
            <w:shd w:val="clear" w:color="auto" w:fill="F9F9FB"/>
          </w:tcPr>
          <w:p w14:paraId="3A1A62A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90.3</w:t>
            </w:r>
          </w:p>
        </w:tc>
      </w:tr>
      <w:tr w:rsidR="0076683C" w:rsidRPr="000F7977" w14:paraId="18A58812" w14:textId="77777777" w:rsidTr="00890F6F">
        <w:trPr>
          <w:cantSplit/>
          <w:trHeight w:val="468"/>
        </w:trPr>
        <w:tc>
          <w:tcPr>
            <w:tcW w:w="810" w:type="dxa"/>
            <w:vMerge/>
            <w:shd w:val="clear" w:color="auto" w:fill="E0E0E0"/>
          </w:tcPr>
          <w:p w14:paraId="4CBDEFB6"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2DA1F12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Robbery Attack</w:t>
            </w:r>
          </w:p>
        </w:tc>
        <w:tc>
          <w:tcPr>
            <w:tcW w:w="1205" w:type="dxa"/>
            <w:shd w:val="clear" w:color="auto" w:fill="F9F9FB"/>
          </w:tcPr>
          <w:p w14:paraId="38AD75C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1094" w:type="dxa"/>
            <w:shd w:val="clear" w:color="auto" w:fill="F9F9FB"/>
          </w:tcPr>
          <w:p w14:paraId="718C42D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23" w:type="dxa"/>
            <w:shd w:val="clear" w:color="auto" w:fill="F9F9FB"/>
          </w:tcPr>
          <w:p w14:paraId="2CEDDD8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622" w:type="dxa"/>
            <w:shd w:val="clear" w:color="auto" w:fill="F9F9FB"/>
          </w:tcPr>
          <w:p w14:paraId="3C580AD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90.5</w:t>
            </w:r>
          </w:p>
        </w:tc>
      </w:tr>
      <w:tr w:rsidR="0076683C" w:rsidRPr="000F7977" w14:paraId="0056C770" w14:textId="77777777" w:rsidTr="00890F6F">
        <w:trPr>
          <w:cantSplit/>
          <w:trHeight w:val="460"/>
        </w:trPr>
        <w:tc>
          <w:tcPr>
            <w:tcW w:w="810" w:type="dxa"/>
            <w:vMerge/>
            <w:shd w:val="clear" w:color="auto" w:fill="E0E0E0"/>
          </w:tcPr>
          <w:p w14:paraId="2161CE77" w14:textId="77777777" w:rsidR="0076683C" w:rsidRPr="000F7977" w:rsidRDefault="0076683C" w:rsidP="00890F6F">
            <w:pPr>
              <w:tabs>
                <w:tab w:val="left" w:pos="2680"/>
              </w:tabs>
              <w:jc w:val="both"/>
              <w:rPr>
                <w:rFonts w:ascii="Times New Roman" w:hAnsi="Times New Roman" w:cs="Times New Roman"/>
                <w:sz w:val="24"/>
                <w:szCs w:val="24"/>
              </w:rPr>
            </w:pPr>
          </w:p>
        </w:tc>
        <w:tc>
          <w:tcPr>
            <w:tcW w:w="2135" w:type="dxa"/>
            <w:shd w:val="clear" w:color="auto" w:fill="E0E0E0"/>
          </w:tcPr>
          <w:p w14:paraId="403A805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Workplace Accident</w:t>
            </w:r>
          </w:p>
        </w:tc>
        <w:tc>
          <w:tcPr>
            <w:tcW w:w="1205" w:type="dxa"/>
            <w:shd w:val="clear" w:color="auto" w:fill="F9F9FB"/>
          </w:tcPr>
          <w:p w14:paraId="1F5ABD5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62</w:t>
            </w:r>
          </w:p>
        </w:tc>
        <w:tc>
          <w:tcPr>
            <w:tcW w:w="1094" w:type="dxa"/>
            <w:shd w:val="clear" w:color="auto" w:fill="F9F9FB"/>
          </w:tcPr>
          <w:p w14:paraId="771F42E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9.5</w:t>
            </w:r>
          </w:p>
        </w:tc>
        <w:tc>
          <w:tcPr>
            <w:tcW w:w="1423" w:type="dxa"/>
            <w:shd w:val="clear" w:color="auto" w:fill="F9F9FB"/>
          </w:tcPr>
          <w:p w14:paraId="0556282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9.5</w:t>
            </w:r>
          </w:p>
        </w:tc>
        <w:tc>
          <w:tcPr>
            <w:tcW w:w="1622" w:type="dxa"/>
            <w:shd w:val="clear" w:color="auto" w:fill="F9F9FB"/>
          </w:tcPr>
          <w:p w14:paraId="5550303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100.0</w:t>
            </w:r>
          </w:p>
        </w:tc>
      </w:tr>
      <w:tr w:rsidR="0076683C" w:rsidRPr="000F7977" w14:paraId="07912233" w14:textId="77777777" w:rsidTr="00890F6F">
        <w:trPr>
          <w:cantSplit/>
          <w:trHeight w:val="475"/>
        </w:trPr>
        <w:tc>
          <w:tcPr>
            <w:tcW w:w="810" w:type="dxa"/>
            <w:vMerge/>
            <w:shd w:val="clear" w:color="auto" w:fill="E0E0E0"/>
          </w:tcPr>
          <w:p w14:paraId="1C2DC72A" w14:textId="77777777" w:rsidR="0076683C" w:rsidRPr="000F7977" w:rsidRDefault="0076683C" w:rsidP="00890F6F">
            <w:pPr>
              <w:tabs>
                <w:tab w:val="left" w:pos="2680"/>
              </w:tabs>
              <w:jc w:val="both"/>
              <w:rPr>
                <w:rFonts w:ascii="Times New Roman" w:hAnsi="Times New Roman" w:cs="Times New Roman"/>
                <w:b/>
                <w:bCs/>
                <w:sz w:val="24"/>
                <w:szCs w:val="24"/>
              </w:rPr>
            </w:pPr>
          </w:p>
        </w:tc>
        <w:tc>
          <w:tcPr>
            <w:tcW w:w="2135" w:type="dxa"/>
            <w:shd w:val="clear" w:color="auto" w:fill="E0E0E0"/>
          </w:tcPr>
          <w:p w14:paraId="233E67EF"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Total</w:t>
            </w:r>
          </w:p>
        </w:tc>
        <w:tc>
          <w:tcPr>
            <w:tcW w:w="1205" w:type="dxa"/>
            <w:shd w:val="clear" w:color="auto" w:fill="F9F9FB"/>
          </w:tcPr>
          <w:p w14:paraId="2C25FD3D"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650</w:t>
            </w:r>
          </w:p>
        </w:tc>
        <w:tc>
          <w:tcPr>
            <w:tcW w:w="1094" w:type="dxa"/>
            <w:shd w:val="clear" w:color="auto" w:fill="F9F9FB"/>
          </w:tcPr>
          <w:p w14:paraId="4870D697"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423" w:type="dxa"/>
            <w:shd w:val="clear" w:color="auto" w:fill="F9F9FB"/>
          </w:tcPr>
          <w:p w14:paraId="2BE538FF"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622" w:type="dxa"/>
            <w:shd w:val="clear" w:color="auto" w:fill="F9F9FB"/>
            <w:vAlign w:val="center"/>
          </w:tcPr>
          <w:p w14:paraId="13C855D2" w14:textId="77777777" w:rsidR="0076683C" w:rsidRPr="000F7977" w:rsidRDefault="0076683C" w:rsidP="00890F6F">
            <w:pPr>
              <w:tabs>
                <w:tab w:val="left" w:pos="2680"/>
              </w:tabs>
              <w:jc w:val="both"/>
              <w:rPr>
                <w:rFonts w:ascii="Times New Roman" w:hAnsi="Times New Roman" w:cs="Times New Roman"/>
                <w:b/>
                <w:bCs/>
                <w:sz w:val="24"/>
                <w:szCs w:val="24"/>
              </w:rPr>
            </w:pPr>
          </w:p>
        </w:tc>
      </w:tr>
    </w:tbl>
    <w:p w14:paraId="5A5B45B0" w14:textId="6C13323E" w:rsidR="00506E94" w:rsidRDefault="00506E94" w:rsidP="00506E94">
      <w:pPr>
        <w:rPr>
          <w:rFonts w:ascii="Times New Roman" w:hAnsi="Times New Roman" w:cs="Times New Roman"/>
          <w:sz w:val="24"/>
          <w:szCs w:val="24"/>
        </w:rPr>
      </w:pPr>
    </w:p>
    <w:p w14:paraId="377B75B3" w14:textId="0268506C" w:rsidR="0076683C" w:rsidRDefault="0076683C" w:rsidP="00506E94">
      <w:pPr>
        <w:rPr>
          <w:rFonts w:ascii="Times New Roman" w:hAnsi="Times New Roman" w:cs="Times New Roman"/>
          <w:noProof/>
          <w:sz w:val="24"/>
          <w:szCs w:val="24"/>
        </w:rPr>
      </w:pPr>
      <w:r w:rsidRPr="000F7977">
        <w:rPr>
          <w:rFonts w:ascii="Times New Roman" w:hAnsi="Times New Roman" w:cs="Times New Roman"/>
          <w:noProof/>
          <w:sz w:val="24"/>
          <w:szCs w:val="24"/>
        </w:rPr>
        <w:drawing>
          <wp:inline distT="0" distB="0" distL="0" distR="0" wp14:anchorId="5D49E57D" wp14:editId="76F5E5DE">
            <wp:extent cx="5278120" cy="3016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28878" cy="3045256"/>
                    </a:xfrm>
                    <a:prstGeom prst="rect">
                      <a:avLst/>
                    </a:prstGeom>
                    <a:noFill/>
                    <a:ln>
                      <a:noFill/>
                    </a:ln>
                  </pic:spPr>
                </pic:pic>
              </a:graphicData>
            </a:graphic>
          </wp:inline>
        </w:drawing>
      </w:r>
    </w:p>
    <w:p w14:paraId="1D5EDDB1" w14:textId="54C2326F" w:rsidR="0076683C" w:rsidRDefault="00DE46FA" w:rsidP="00DE46FA">
      <w:pPr>
        <w:tabs>
          <w:tab w:val="left" w:pos="2680"/>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From </w:t>
      </w:r>
      <w:r w:rsidR="0076683C" w:rsidRPr="008277B4">
        <w:rPr>
          <w:rFonts w:ascii="Times New Roman" w:hAnsi="Times New Roman" w:cs="Times New Roman"/>
          <w:sz w:val="24"/>
          <w:szCs w:val="24"/>
        </w:rPr>
        <w:t xml:space="preserve">the table </w:t>
      </w:r>
      <w:r>
        <w:rPr>
          <w:rFonts w:ascii="Times New Roman" w:hAnsi="Times New Roman" w:cs="Times New Roman"/>
          <w:sz w:val="24"/>
          <w:szCs w:val="24"/>
        </w:rPr>
        <w:t>above</w:t>
      </w:r>
      <w:r w:rsidR="0076683C" w:rsidRPr="008277B4">
        <w:rPr>
          <w:rFonts w:ascii="Times New Roman" w:hAnsi="Times New Roman" w:cs="Times New Roman"/>
          <w:sz w:val="24"/>
          <w:szCs w:val="24"/>
        </w:rPr>
        <w:t>, the majority of accidents involving employees are classified as industrial accidents, accounting for 74.8%, making it the most prevalent type. This is followed by road traffic accidents, which represent 12.6%. The least common occurrences are rail accidents and robbery attacks, each at 0.2%.</w:t>
      </w:r>
    </w:p>
    <w:p w14:paraId="6107165B" w14:textId="5EFF2B43" w:rsidR="0076683C" w:rsidRDefault="0076683C" w:rsidP="0076683C">
      <w:pPr>
        <w:tabs>
          <w:tab w:val="left" w:pos="2680"/>
        </w:tabs>
        <w:jc w:val="both"/>
        <w:rPr>
          <w:rFonts w:ascii="Times New Roman" w:hAnsi="Times New Roman" w:cs="Times New Roman"/>
          <w:b/>
          <w:bCs/>
          <w:sz w:val="24"/>
          <w:szCs w:val="24"/>
        </w:rPr>
      </w:pPr>
      <w:r>
        <w:rPr>
          <w:rFonts w:ascii="Times New Roman" w:hAnsi="Times New Roman" w:cs="Times New Roman"/>
          <w:b/>
          <w:bCs/>
          <w:sz w:val="24"/>
          <w:szCs w:val="24"/>
        </w:rPr>
        <w:t>Table 3</w:t>
      </w:r>
      <w:r w:rsidR="005A3656">
        <w:rPr>
          <w:rFonts w:ascii="Times New Roman" w:hAnsi="Times New Roman" w:cs="Times New Roman"/>
          <w:b/>
          <w:bCs/>
          <w:sz w:val="24"/>
          <w:szCs w:val="24"/>
        </w:rPr>
        <w:t>:</w:t>
      </w:r>
      <w:r>
        <w:rPr>
          <w:rFonts w:ascii="Times New Roman" w:hAnsi="Times New Roman" w:cs="Times New Roman"/>
          <w:b/>
          <w:bCs/>
          <w:sz w:val="24"/>
          <w:szCs w:val="24"/>
        </w:rPr>
        <w:t xml:space="preserve"> </w:t>
      </w:r>
      <w:r w:rsidRPr="00105C06">
        <w:rPr>
          <w:rFonts w:ascii="Times New Roman" w:hAnsi="Times New Roman" w:cs="Times New Roman"/>
          <w:b/>
          <w:bCs/>
          <w:sz w:val="24"/>
          <w:szCs w:val="24"/>
        </w:rPr>
        <w:t>The Rate of Disability Awarded</w:t>
      </w:r>
    </w:p>
    <w:tbl>
      <w:tblPr>
        <w:tblW w:w="8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21"/>
        <w:gridCol w:w="1073"/>
        <w:gridCol w:w="1225"/>
        <w:gridCol w:w="1104"/>
        <w:gridCol w:w="1441"/>
        <w:gridCol w:w="2509"/>
      </w:tblGrid>
      <w:tr w:rsidR="0076683C" w:rsidRPr="000F7977" w14:paraId="6C25B934" w14:textId="77777777" w:rsidTr="00890F6F">
        <w:trPr>
          <w:cantSplit/>
          <w:trHeight w:val="690"/>
        </w:trPr>
        <w:tc>
          <w:tcPr>
            <w:tcW w:w="1894" w:type="dxa"/>
            <w:gridSpan w:val="2"/>
            <w:shd w:val="clear" w:color="auto" w:fill="FFFFFF"/>
            <w:vAlign w:val="bottom"/>
          </w:tcPr>
          <w:p w14:paraId="312C3087" w14:textId="77777777" w:rsidR="0076683C" w:rsidRPr="000F7977" w:rsidRDefault="0076683C" w:rsidP="00890F6F">
            <w:pPr>
              <w:tabs>
                <w:tab w:val="left" w:pos="2680"/>
              </w:tabs>
              <w:rPr>
                <w:rFonts w:ascii="Times New Roman" w:hAnsi="Times New Roman" w:cs="Times New Roman"/>
                <w:b/>
                <w:bCs/>
                <w:sz w:val="24"/>
                <w:szCs w:val="24"/>
              </w:rPr>
            </w:pPr>
            <w:r w:rsidRPr="00850657">
              <w:rPr>
                <w:rFonts w:ascii="Times New Roman" w:hAnsi="Times New Roman" w:cs="Times New Roman"/>
                <w:b/>
                <w:bCs/>
                <w:sz w:val="24"/>
                <w:szCs w:val="24"/>
              </w:rPr>
              <w:t>The Rate of Disability Awarded</w:t>
            </w:r>
          </w:p>
        </w:tc>
        <w:tc>
          <w:tcPr>
            <w:tcW w:w="1225" w:type="dxa"/>
            <w:shd w:val="clear" w:color="auto" w:fill="FFFFFF"/>
            <w:vAlign w:val="bottom"/>
          </w:tcPr>
          <w:p w14:paraId="074E84E3"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Frequency</w:t>
            </w:r>
          </w:p>
        </w:tc>
        <w:tc>
          <w:tcPr>
            <w:tcW w:w="1104" w:type="dxa"/>
            <w:shd w:val="clear" w:color="auto" w:fill="FFFFFF"/>
            <w:vAlign w:val="bottom"/>
          </w:tcPr>
          <w:p w14:paraId="6A4CA3C5"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Percent</w:t>
            </w:r>
          </w:p>
        </w:tc>
        <w:tc>
          <w:tcPr>
            <w:tcW w:w="1441" w:type="dxa"/>
            <w:shd w:val="clear" w:color="auto" w:fill="FFFFFF"/>
            <w:vAlign w:val="bottom"/>
          </w:tcPr>
          <w:p w14:paraId="1933BC52"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Valid Percent</w:t>
            </w:r>
          </w:p>
        </w:tc>
        <w:tc>
          <w:tcPr>
            <w:tcW w:w="2509" w:type="dxa"/>
            <w:shd w:val="clear" w:color="auto" w:fill="FFFFFF"/>
            <w:vAlign w:val="bottom"/>
          </w:tcPr>
          <w:p w14:paraId="70CC6403"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Cumulative Percent</w:t>
            </w:r>
          </w:p>
        </w:tc>
      </w:tr>
      <w:tr w:rsidR="0076683C" w:rsidRPr="000F7977" w14:paraId="34A28872" w14:textId="77777777" w:rsidTr="00890F6F">
        <w:trPr>
          <w:cantSplit/>
          <w:trHeight w:val="422"/>
        </w:trPr>
        <w:tc>
          <w:tcPr>
            <w:tcW w:w="821" w:type="dxa"/>
            <w:vMerge w:val="restart"/>
            <w:shd w:val="clear" w:color="auto" w:fill="E0E0E0"/>
          </w:tcPr>
          <w:p w14:paraId="7E3EF24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Valid</w:t>
            </w:r>
          </w:p>
        </w:tc>
        <w:tc>
          <w:tcPr>
            <w:tcW w:w="1072" w:type="dxa"/>
            <w:shd w:val="clear" w:color="auto" w:fill="E0E0E0"/>
          </w:tcPr>
          <w:p w14:paraId="4FE2824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1-10%</w:t>
            </w:r>
          </w:p>
        </w:tc>
        <w:tc>
          <w:tcPr>
            <w:tcW w:w="1225" w:type="dxa"/>
            <w:shd w:val="clear" w:color="auto" w:fill="F9F9FB"/>
          </w:tcPr>
          <w:p w14:paraId="3FAC1BC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314</w:t>
            </w:r>
          </w:p>
        </w:tc>
        <w:tc>
          <w:tcPr>
            <w:tcW w:w="1104" w:type="dxa"/>
            <w:shd w:val="clear" w:color="auto" w:fill="F9F9FB"/>
          </w:tcPr>
          <w:p w14:paraId="48B2A08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48.3</w:t>
            </w:r>
          </w:p>
        </w:tc>
        <w:tc>
          <w:tcPr>
            <w:tcW w:w="1441" w:type="dxa"/>
            <w:shd w:val="clear" w:color="auto" w:fill="F9F9FB"/>
          </w:tcPr>
          <w:p w14:paraId="07C4F87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48.3</w:t>
            </w:r>
          </w:p>
        </w:tc>
        <w:tc>
          <w:tcPr>
            <w:tcW w:w="2509" w:type="dxa"/>
            <w:shd w:val="clear" w:color="auto" w:fill="F9F9FB"/>
          </w:tcPr>
          <w:p w14:paraId="2A7DBC0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48.3</w:t>
            </w:r>
          </w:p>
        </w:tc>
      </w:tr>
      <w:tr w:rsidR="0076683C" w:rsidRPr="000F7977" w14:paraId="6BFF8FD8" w14:textId="77777777" w:rsidTr="00890F6F">
        <w:trPr>
          <w:cantSplit/>
          <w:trHeight w:val="429"/>
        </w:trPr>
        <w:tc>
          <w:tcPr>
            <w:tcW w:w="821" w:type="dxa"/>
            <w:vMerge/>
            <w:shd w:val="clear" w:color="auto" w:fill="E0E0E0"/>
          </w:tcPr>
          <w:p w14:paraId="5A595095"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2F7555CC"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11-20%</w:t>
            </w:r>
          </w:p>
        </w:tc>
        <w:tc>
          <w:tcPr>
            <w:tcW w:w="1225" w:type="dxa"/>
            <w:shd w:val="clear" w:color="auto" w:fill="F9F9FB"/>
          </w:tcPr>
          <w:p w14:paraId="43693BA4"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69</w:t>
            </w:r>
          </w:p>
        </w:tc>
        <w:tc>
          <w:tcPr>
            <w:tcW w:w="1104" w:type="dxa"/>
            <w:shd w:val="clear" w:color="auto" w:fill="F9F9FB"/>
          </w:tcPr>
          <w:p w14:paraId="3721D5D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10.6</w:t>
            </w:r>
          </w:p>
        </w:tc>
        <w:tc>
          <w:tcPr>
            <w:tcW w:w="1441" w:type="dxa"/>
            <w:shd w:val="clear" w:color="auto" w:fill="F9F9FB"/>
          </w:tcPr>
          <w:p w14:paraId="2814D1E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10.6</w:t>
            </w:r>
          </w:p>
        </w:tc>
        <w:tc>
          <w:tcPr>
            <w:tcW w:w="2509" w:type="dxa"/>
            <w:shd w:val="clear" w:color="auto" w:fill="F9F9FB"/>
          </w:tcPr>
          <w:p w14:paraId="41C6358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58.9</w:t>
            </w:r>
          </w:p>
        </w:tc>
      </w:tr>
      <w:tr w:rsidR="0076683C" w:rsidRPr="000F7977" w14:paraId="4907EE17" w14:textId="77777777" w:rsidTr="00890F6F">
        <w:trPr>
          <w:cantSplit/>
          <w:trHeight w:val="429"/>
        </w:trPr>
        <w:tc>
          <w:tcPr>
            <w:tcW w:w="821" w:type="dxa"/>
            <w:vMerge/>
            <w:shd w:val="clear" w:color="auto" w:fill="E0E0E0"/>
          </w:tcPr>
          <w:p w14:paraId="463E4695"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5E26985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21-30%</w:t>
            </w:r>
          </w:p>
        </w:tc>
        <w:tc>
          <w:tcPr>
            <w:tcW w:w="1225" w:type="dxa"/>
            <w:shd w:val="clear" w:color="auto" w:fill="F9F9FB"/>
          </w:tcPr>
          <w:p w14:paraId="09B050F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63</w:t>
            </w:r>
          </w:p>
        </w:tc>
        <w:tc>
          <w:tcPr>
            <w:tcW w:w="1104" w:type="dxa"/>
            <w:shd w:val="clear" w:color="auto" w:fill="F9F9FB"/>
          </w:tcPr>
          <w:p w14:paraId="4C1F3FD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9.7</w:t>
            </w:r>
          </w:p>
        </w:tc>
        <w:tc>
          <w:tcPr>
            <w:tcW w:w="1441" w:type="dxa"/>
            <w:shd w:val="clear" w:color="auto" w:fill="F9F9FB"/>
          </w:tcPr>
          <w:p w14:paraId="65E0FDB6"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9.7</w:t>
            </w:r>
          </w:p>
        </w:tc>
        <w:tc>
          <w:tcPr>
            <w:tcW w:w="2509" w:type="dxa"/>
            <w:shd w:val="clear" w:color="auto" w:fill="F9F9FB"/>
          </w:tcPr>
          <w:p w14:paraId="03720A7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68.6</w:t>
            </w:r>
          </w:p>
        </w:tc>
      </w:tr>
      <w:tr w:rsidR="0076683C" w:rsidRPr="000F7977" w14:paraId="7FC01276" w14:textId="77777777" w:rsidTr="00890F6F">
        <w:trPr>
          <w:cantSplit/>
          <w:trHeight w:val="422"/>
        </w:trPr>
        <w:tc>
          <w:tcPr>
            <w:tcW w:w="821" w:type="dxa"/>
            <w:vMerge/>
            <w:shd w:val="clear" w:color="auto" w:fill="E0E0E0"/>
          </w:tcPr>
          <w:p w14:paraId="5045BC0D"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1E4C147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31-40%</w:t>
            </w:r>
          </w:p>
        </w:tc>
        <w:tc>
          <w:tcPr>
            <w:tcW w:w="1225" w:type="dxa"/>
            <w:shd w:val="clear" w:color="auto" w:fill="F9F9FB"/>
          </w:tcPr>
          <w:p w14:paraId="67B9051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38</w:t>
            </w:r>
          </w:p>
        </w:tc>
        <w:tc>
          <w:tcPr>
            <w:tcW w:w="1104" w:type="dxa"/>
            <w:shd w:val="clear" w:color="auto" w:fill="F9F9FB"/>
          </w:tcPr>
          <w:p w14:paraId="400565F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5.8</w:t>
            </w:r>
          </w:p>
        </w:tc>
        <w:tc>
          <w:tcPr>
            <w:tcW w:w="1441" w:type="dxa"/>
            <w:shd w:val="clear" w:color="auto" w:fill="F9F9FB"/>
          </w:tcPr>
          <w:p w14:paraId="2A24FB4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5.8</w:t>
            </w:r>
          </w:p>
        </w:tc>
        <w:tc>
          <w:tcPr>
            <w:tcW w:w="2509" w:type="dxa"/>
            <w:shd w:val="clear" w:color="auto" w:fill="F9F9FB"/>
          </w:tcPr>
          <w:p w14:paraId="67C806F7"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74.5</w:t>
            </w:r>
          </w:p>
        </w:tc>
      </w:tr>
      <w:tr w:rsidR="0076683C" w:rsidRPr="000F7977" w14:paraId="3BF84303" w14:textId="77777777" w:rsidTr="00890F6F">
        <w:trPr>
          <w:cantSplit/>
          <w:trHeight w:val="429"/>
        </w:trPr>
        <w:tc>
          <w:tcPr>
            <w:tcW w:w="821" w:type="dxa"/>
            <w:vMerge/>
            <w:shd w:val="clear" w:color="auto" w:fill="E0E0E0"/>
          </w:tcPr>
          <w:p w14:paraId="069125D1"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09647A9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41-50%</w:t>
            </w:r>
          </w:p>
        </w:tc>
        <w:tc>
          <w:tcPr>
            <w:tcW w:w="1225" w:type="dxa"/>
            <w:shd w:val="clear" w:color="auto" w:fill="F9F9FB"/>
          </w:tcPr>
          <w:p w14:paraId="6EC017D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30</w:t>
            </w:r>
          </w:p>
        </w:tc>
        <w:tc>
          <w:tcPr>
            <w:tcW w:w="1104" w:type="dxa"/>
            <w:shd w:val="clear" w:color="auto" w:fill="F9F9FB"/>
          </w:tcPr>
          <w:p w14:paraId="5A5FB89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4.6</w:t>
            </w:r>
          </w:p>
        </w:tc>
        <w:tc>
          <w:tcPr>
            <w:tcW w:w="1441" w:type="dxa"/>
            <w:shd w:val="clear" w:color="auto" w:fill="F9F9FB"/>
          </w:tcPr>
          <w:p w14:paraId="253A8F0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4.6</w:t>
            </w:r>
          </w:p>
        </w:tc>
        <w:tc>
          <w:tcPr>
            <w:tcW w:w="2509" w:type="dxa"/>
            <w:shd w:val="clear" w:color="auto" w:fill="F9F9FB"/>
          </w:tcPr>
          <w:p w14:paraId="528E665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79.1</w:t>
            </w:r>
          </w:p>
        </w:tc>
      </w:tr>
      <w:tr w:rsidR="0076683C" w:rsidRPr="000F7977" w14:paraId="7C51A4C5" w14:textId="77777777" w:rsidTr="00890F6F">
        <w:trPr>
          <w:cantSplit/>
          <w:trHeight w:val="429"/>
        </w:trPr>
        <w:tc>
          <w:tcPr>
            <w:tcW w:w="821" w:type="dxa"/>
            <w:vMerge/>
            <w:shd w:val="clear" w:color="auto" w:fill="E0E0E0"/>
          </w:tcPr>
          <w:p w14:paraId="3E2FA128"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444657E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51-60%</w:t>
            </w:r>
          </w:p>
        </w:tc>
        <w:tc>
          <w:tcPr>
            <w:tcW w:w="1225" w:type="dxa"/>
            <w:shd w:val="clear" w:color="auto" w:fill="F9F9FB"/>
          </w:tcPr>
          <w:p w14:paraId="59A7AAC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24</w:t>
            </w:r>
          </w:p>
        </w:tc>
        <w:tc>
          <w:tcPr>
            <w:tcW w:w="1104" w:type="dxa"/>
            <w:shd w:val="clear" w:color="auto" w:fill="F9F9FB"/>
          </w:tcPr>
          <w:p w14:paraId="104FC7C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3.7</w:t>
            </w:r>
          </w:p>
        </w:tc>
        <w:tc>
          <w:tcPr>
            <w:tcW w:w="1441" w:type="dxa"/>
            <w:shd w:val="clear" w:color="auto" w:fill="F9F9FB"/>
          </w:tcPr>
          <w:p w14:paraId="5FAEC55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3.7</w:t>
            </w:r>
          </w:p>
        </w:tc>
        <w:tc>
          <w:tcPr>
            <w:tcW w:w="2509" w:type="dxa"/>
            <w:shd w:val="clear" w:color="auto" w:fill="F9F9FB"/>
          </w:tcPr>
          <w:p w14:paraId="4ED5D4C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82.8</w:t>
            </w:r>
          </w:p>
        </w:tc>
      </w:tr>
      <w:tr w:rsidR="0076683C" w:rsidRPr="000F7977" w14:paraId="113BD31D" w14:textId="77777777" w:rsidTr="00890F6F">
        <w:trPr>
          <w:cantSplit/>
          <w:trHeight w:val="429"/>
        </w:trPr>
        <w:tc>
          <w:tcPr>
            <w:tcW w:w="821" w:type="dxa"/>
            <w:vMerge/>
            <w:shd w:val="clear" w:color="auto" w:fill="E0E0E0"/>
          </w:tcPr>
          <w:p w14:paraId="632B13C6"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06A276AA"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61-70%</w:t>
            </w:r>
          </w:p>
        </w:tc>
        <w:tc>
          <w:tcPr>
            <w:tcW w:w="1225" w:type="dxa"/>
            <w:shd w:val="clear" w:color="auto" w:fill="F9F9FB"/>
          </w:tcPr>
          <w:p w14:paraId="21AF022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70</w:t>
            </w:r>
          </w:p>
        </w:tc>
        <w:tc>
          <w:tcPr>
            <w:tcW w:w="1104" w:type="dxa"/>
            <w:shd w:val="clear" w:color="auto" w:fill="F9F9FB"/>
          </w:tcPr>
          <w:p w14:paraId="51F2FE1E"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10.8</w:t>
            </w:r>
          </w:p>
        </w:tc>
        <w:tc>
          <w:tcPr>
            <w:tcW w:w="1441" w:type="dxa"/>
            <w:shd w:val="clear" w:color="auto" w:fill="F9F9FB"/>
          </w:tcPr>
          <w:p w14:paraId="720B9E36"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10.8</w:t>
            </w:r>
          </w:p>
        </w:tc>
        <w:tc>
          <w:tcPr>
            <w:tcW w:w="2509" w:type="dxa"/>
            <w:shd w:val="clear" w:color="auto" w:fill="F9F9FB"/>
          </w:tcPr>
          <w:p w14:paraId="42C16B3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93.5</w:t>
            </w:r>
          </w:p>
        </w:tc>
      </w:tr>
      <w:tr w:rsidR="0076683C" w:rsidRPr="000F7977" w14:paraId="08FCE44D" w14:textId="77777777" w:rsidTr="00890F6F">
        <w:trPr>
          <w:cantSplit/>
          <w:trHeight w:val="422"/>
        </w:trPr>
        <w:tc>
          <w:tcPr>
            <w:tcW w:w="821" w:type="dxa"/>
            <w:vMerge/>
            <w:shd w:val="clear" w:color="auto" w:fill="E0E0E0"/>
          </w:tcPr>
          <w:p w14:paraId="3F1EABBE"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16AF784F"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71-80%</w:t>
            </w:r>
          </w:p>
        </w:tc>
        <w:tc>
          <w:tcPr>
            <w:tcW w:w="1225" w:type="dxa"/>
            <w:shd w:val="clear" w:color="auto" w:fill="F9F9FB"/>
          </w:tcPr>
          <w:p w14:paraId="64A731D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18</w:t>
            </w:r>
          </w:p>
        </w:tc>
        <w:tc>
          <w:tcPr>
            <w:tcW w:w="1104" w:type="dxa"/>
            <w:shd w:val="clear" w:color="auto" w:fill="F9F9FB"/>
          </w:tcPr>
          <w:p w14:paraId="7D2FAEF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w:t>
            </w:r>
          </w:p>
        </w:tc>
        <w:tc>
          <w:tcPr>
            <w:tcW w:w="1441" w:type="dxa"/>
            <w:shd w:val="clear" w:color="auto" w:fill="F9F9FB"/>
          </w:tcPr>
          <w:p w14:paraId="29590E5B"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2.8</w:t>
            </w:r>
          </w:p>
        </w:tc>
        <w:tc>
          <w:tcPr>
            <w:tcW w:w="2509" w:type="dxa"/>
            <w:shd w:val="clear" w:color="auto" w:fill="F9F9FB"/>
          </w:tcPr>
          <w:p w14:paraId="5888890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96.3</w:t>
            </w:r>
          </w:p>
        </w:tc>
      </w:tr>
      <w:tr w:rsidR="0076683C" w:rsidRPr="000F7977" w14:paraId="373D0A0A" w14:textId="77777777" w:rsidTr="00890F6F">
        <w:trPr>
          <w:cantSplit/>
          <w:trHeight w:val="429"/>
        </w:trPr>
        <w:tc>
          <w:tcPr>
            <w:tcW w:w="821" w:type="dxa"/>
            <w:vMerge/>
            <w:shd w:val="clear" w:color="auto" w:fill="E0E0E0"/>
          </w:tcPr>
          <w:p w14:paraId="68CF17E4"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6BD46F5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81-90%</w:t>
            </w:r>
          </w:p>
        </w:tc>
        <w:tc>
          <w:tcPr>
            <w:tcW w:w="1225" w:type="dxa"/>
            <w:shd w:val="clear" w:color="auto" w:fill="F9F9FB"/>
          </w:tcPr>
          <w:p w14:paraId="4FBFB9C3"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w:t>
            </w:r>
          </w:p>
        </w:tc>
        <w:tc>
          <w:tcPr>
            <w:tcW w:w="1104" w:type="dxa"/>
            <w:shd w:val="clear" w:color="auto" w:fill="F9F9FB"/>
          </w:tcPr>
          <w:p w14:paraId="09465C5D"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1441" w:type="dxa"/>
            <w:shd w:val="clear" w:color="auto" w:fill="F9F9FB"/>
          </w:tcPr>
          <w:p w14:paraId="6B520C3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w:t>
            </w:r>
          </w:p>
        </w:tc>
        <w:tc>
          <w:tcPr>
            <w:tcW w:w="2509" w:type="dxa"/>
            <w:shd w:val="clear" w:color="auto" w:fill="F9F9FB"/>
          </w:tcPr>
          <w:p w14:paraId="45AA7450"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96.5</w:t>
            </w:r>
          </w:p>
        </w:tc>
      </w:tr>
      <w:tr w:rsidR="0076683C" w:rsidRPr="000F7977" w14:paraId="66DADDF7" w14:textId="77777777" w:rsidTr="00890F6F">
        <w:trPr>
          <w:cantSplit/>
          <w:trHeight w:val="429"/>
        </w:trPr>
        <w:tc>
          <w:tcPr>
            <w:tcW w:w="821" w:type="dxa"/>
            <w:vMerge/>
            <w:shd w:val="clear" w:color="auto" w:fill="E0E0E0"/>
          </w:tcPr>
          <w:p w14:paraId="3BB6E777" w14:textId="77777777" w:rsidR="0076683C" w:rsidRPr="000F7977" w:rsidRDefault="0076683C" w:rsidP="00890F6F">
            <w:pPr>
              <w:tabs>
                <w:tab w:val="left" w:pos="2680"/>
              </w:tabs>
              <w:jc w:val="both"/>
              <w:rPr>
                <w:rFonts w:ascii="Times New Roman" w:hAnsi="Times New Roman" w:cs="Times New Roman"/>
                <w:sz w:val="24"/>
                <w:szCs w:val="24"/>
              </w:rPr>
            </w:pPr>
          </w:p>
        </w:tc>
        <w:tc>
          <w:tcPr>
            <w:tcW w:w="1072" w:type="dxa"/>
            <w:shd w:val="clear" w:color="auto" w:fill="E0E0E0"/>
          </w:tcPr>
          <w:p w14:paraId="72DAA528"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90-100%</w:t>
            </w:r>
          </w:p>
        </w:tc>
        <w:tc>
          <w:tcPr>
            <w:tcW w:w="1225" w:type="dxa"/>
            <w:shd w:val="clear" w:color="auto" w:fill="F9F9FB"/>
          </w:tcPr>
          <w:p w14:paraId="48FEE312"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23</w:t>
            </w:r>
          </w:p>
        </w:tc>
        <w:tc>
          <w:tcPr>
            <w:tcW w:w="1104" w:type="dxa"/>
            <w:shd w:val="clear" w:color="auto" w:fill="F9F9FB"/>
          </w:tcPr>
          <w:p w14:paraId="755A06F9"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3.5</w:t>
            </w:r>
          </w:p>
        </w:tc>
        <w:tc>
          <w:tcPr>
            <w:tcW w:w="1441" w:type="dxa"/>
            <w:shd w:val="clear" w:color="auto" w:fill="F9F9FB"/>
          </w:tcPr>
          <w:p w14:paraId="19CA6BB5"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3.5</w:t>
            </w:r>
          </w:p>
        </w:tc>
        <w:tc>
          <w:tcPr>
            <w:tcW w:w="2509" w:type="dxa"/>
            <w:shd w:val="clear" w:color="auto" w:fill="F9F9FB"/>
          </w:tcPr>
          <w:p w14:paraId="0592ABF1" w14:textId="77777777" w:rsidR="0076683C" w:rsidRPr="000F7977" w:rsidRDefault="0076683C" w:rsidP="00890F6F">
            <w:pPr>
              <w:tabs>
                <w:tab w:val="left" w:pos="2680"/>
              </w:tabs>
              <w:jc w:val="both"/>
              <w:rPr>
                <w:rFonts w:ascii="Times New Roman" w:hAnsi="Times New Roman" w:cs="Times New Roman"/>
                <w:sz w:val="24"/>
                <w:szCs w:val="24"/>
              </w:rPr>
            </w:pPr>
            <w:r w:rsidRPr="000F7977">
              <w:rPr>
                <w:rFonts w:ascii="Times New Roman" w:hAnsi="Times New Roman" w:cs="Times New Roman"/>
                <w:sz w:val="24"/>
                <w:szCs w:val="24"/>
              </w:rPr>
              <w:t>100.0</w:t>
            </w:r>
          </w:p>
        </w:tc>
      </w:tr>
      <w:tr w:rsidR="0076683C" w:rsidRPr="000F7977" w14:paraId="2F43104B" w14:textId="77777777" w:rsidTr="00890F6F">
        <w:trPr>
          <w:cantSplit/>
          <w:trHeight w:val="429"/>
        </w:trPr>
        <w:tc>
          <w:tcPr>
            <w:tcW w:w="821" w:type="dxa"/>
            <w:vMerge/>
            <w:shd w:val="clear" w:color="auto" w:fill="E0E0E0"/>
          </w:tcPr>
          <w:p w14:paraId="75824D61" w14:textId="77777777" w:rsidR="0076683C" w:rsidRPr="000F7977" w:rsidRDefault="0076683C" w:rsidP="00890F6F">
            <w:pPr>
              <w:tabs>
                <w:tab w:val="left" w:pos="2680"/>
              </w:tabs>
              <w:jc w:val="both"/>
              <w:rPr>
                <w:rFonts w:ascii="Times New Roman" w:hAnsi="Times New Roman" w:cs="Times New Roman"/>
                <w:b/>
                <w:bCs/>
                <w:sz w:val="24"/>
                <w:szCs w:val="24"/>
              </w:rPr>
            </w:pPr>
          </w:p>
        </w:tc>
        <w:tc>
          <w:tcPr>
            <w:tcW w:w="1072" w:type="dxa"/>
            <w:shd w:val="clear" w:color="auto" w:fill="E0E0E0"/>
          </w:tcPr>
          <w:p w14:paraId="22DF7DB9"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Total</w:t>
            </w:r>
          </w:p>
        </w:tc>
        <w:tc>
          <w:tcPr>
            <w:tcW w:w="1225" w:type="dxa"/>
            <w:shd w:val="clear" w:color="auto" w:fill="F9F9FB"/>
          </w:tcPr>
          <w:p w14:paraId="72E6E2DE"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650</w:t>
            </w:r>
          </w:p>
        </w:tc>
        <w:tc>
          <w:tcPr>
            <w:tcW w:w="1104" w:type="dxa"/>
            <w:shd w:val="clear" w:color="auto" w:fill="F9F9FB"/>
          </w:tcPr>
          <w:p w14:paraId="1E9A557D"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1441" w:type="dxa"/>
            <w:shd w:val="clear" w:color="auto" w:fill="F9F9FB"/>
          </w:tcPr>
          <w:p w14:paraId="21CE532F" w14:textId="77777777" w:rsidR="0076683C" w:rsidRPr="000F7977" w:rsidRDefault="0076683C" w:rsidP="00890F6F">
            <w:pPr>
              <w:tabs>
                <w:tab w:val="left" w:pos="2680"/>
              </w:tabs>
              <w:jc w:val="both"/>
              <w:rPr>
                <w:rFonts w:ascii="Times New Roman" w:hAnsi="Times New Roman" w:cs="Times New Roman"/>
                <w:b/>
                <w:bCs/>
                <w:sz w:val="24"/>
                <w:szCs w:val="24"/>
              </w:rPr>
            </w:pPr>
            <w:r w:rsidRPr="000F7977">
              <w:rPr>
                <w:rFonts w:ascii="Times New Roman" w:hAnsi="Times New Roman" w:cs="Times New Roman"/>
                <w:b/>
                <w:bCs/>
                <w:sz w:val="24"/>
                <w:szCs w:val="24"/>
              </w:rPr>
              <w:t>100.0</w:t>
            </w:r>
          </w:p>
        </w:tc>
        <w:tc>
          <w:tcPr>
            <w:tcW w:w="2509" w:type="dxa"/>
            <w:shd w:val="clear" w:color="auto" w:fill="F9F9FB"/>
            <w:vAlign w:val="center"/>
          </w:tcPr>
          <w:p w14:paraId="035A0373" w14:textId="77777777" w:rsidR="0076683C" w:rsidRPr="000F7977" w:rsidRDefault="0076683C" w:rsidP="00890F6F">
            <w:pPr>
              <w:tabs>
                <w:tab w:val="left" w:pos="2680"/>
              </w:tabs>
              <w:jc w:val="both"/>
              <w:rPr>
                <w:rFonts w:ascii="Times New Roman" w:hAnsi="Times New Roman" w:cs="Times New Roman"/>
                <w:b/>
                <w:bCs/>
                <w:sz w:val="24"/>
                <w:szCs w:val="24"/>
              </w:rPr>
            </w:pPr>
          </w:p>
        </w:tc>
      </w:tr>
    </w:tbl>
    <w:p w14:paraId="735F7C30" w14:textId="26614C36" w:rsidR="0076683C" w:rsidRDefault="0076683C" w:rsidP="0076683C">
      <w:pPr>
        <w:tabs>
          <w:tab w:val="left" w:pos="2680"/>
        </w:tabs>
        <w:jc w:val="both"/>
        <w:rPr>
          <w:rFonts w:ascii="Times New Roman" w:hAnsi="Times New Roman" w:cs="Times New Roman"/>
          <w:b/>
          <w:bCs/>
          <w:sz w:val="24"/>
          <w:szCs w:val="24"/>
        </w:rPr>
      </w:pPr>
    </w:p>
    <w:p w14:paraId="7DB580A4" w14:textId="3715094B" w:rsidR="0076683C" w:rsidRPr="000F7977" w:rsidRDefault="0076683C" w:rsidP="0076683C">
      <w:pPr>
        <w:tabs>
          <w:tab w:val="left" w:pos="2680"/>
        </w:tabs>
        <w:jc w:val="both"/>
        <w:rPr>
          <w:rFonts w:ascii="Times New Roman" w:hAnsi="Times New Roman" w:cs="Times New Roman"/>
          <w:b/>
          <w:bCs/>
          <w:sz w:val="24"/>
          <w:szCs w:val="24"/>
        </w:rPr>
      </w:pPr>
      <w:r w:rsidRPr="000F7977">
        <w:rPr>
          <w:rFonts w:ascii="Times New Roman" w:hAnsi="Times New Roman" w:cs="Times New Roman"/>
          <w:noProof/>
          <w:sz w:val="24"/>
          <w:szCs w:val="24"/>
        </w:rPr>
        <w:drawing>
          <wp:inline distT="0" distB="0" distL="0" distR="0" wp14:anchorId="3D124382" wp14:editId="00B4B416">
            <wp:extent cx="5187591" cy="2235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99514" cy="2240337"/>
                    </a:xfrm>
                    <a:prstGeom prst="rect">
                      <a:avLst/>
                    </a:prstGeom>
                    <a:noFill/>
                    <a:ln>
                      <a:noFill/>
                    </a:ln>
                  </pic:spPr>
                </pic:pic>
              </a:graphicData>
            </a:graphic>
          </wp:inline>
        </w:drawing>
      </w:r>
    </w:p>
    <w:p w14:paraId="67B2FD9A" w14:textId="77777777" w:rsidR="005A3656" w:rsidRDefault="005A3656" w:rsidP="007C0B8D">
      <w:pPr>
        <w:spacing w:line="360" w:lineRule="auto"/>
        <w:jc w:val="both"/>
        <w:rPr>
          <w:rFonts w:ascii="Times New Roman" w:eastAsia="SimSun" w:hAnsi="Times New Roman" w:cs="Times New Roman"/>
          <w:b/>
          <w:bCs/>
          <w:color w:val="000000"/>
          <w:sz w:val="24"/>
          <w:szCs w:val="24"/>
        </w:rPr>
      </w:pPr>
    </w:p>
    <w:p w14:paraId="22001A2D" w14:textId="7E2B8C51" w:rsidR="007C0B8D" w:rsidRDefault="00DE46FA" w:rsidP="007C0B8D">
      <w:pPr>
        <w:spacing w:line="360" w:lineRule="auto"/>
        <w:jc w:val="both"/>
        <w:rPr>
          <w:rFonts w:ascii="Times New Roman" w:eastAsia="SimSun" w:hAnsi="Times New Roman" w:cs="Times New Roman"/>
          <w:b/>
          <w:bCs/>
          <w:color w:val="000000"/>
          <w:sz w:val="24"/>
          <w:szCs w:val="24"/>
        </w:rPr>
      </w:pPr>
      <w:r w:rsidRPr="001677CE">
        <w:rPr>
          <w:rFonts w:ascii="Times New Roman" w:eastAsia="SimSun" w:hAnsi="Times New Roman" w:cs="Times New Roman"/>
          <w:b/>
          <w:bCs/>
          <w:color w:val="000000"/>
          <w:sz w:val="24"/>
          <w:szCs w:val="24"/>
        </w:rPr>
        <w:lastRenderedPageBreak/>
        <w:t>DISCUSSION</w:t>
      </w:r>
    </w:p>
    <w:p w14:paraId="6BC78CF4" w14:textId="4255B5ED" w:rsidR="007C0B8D" w:rsidRDefault="007C0B8D" w:rsidP="007C0B8D">
      <w:pPr>
        <w:spacing w:line="360" w:lineRule="auto"/>
        <w:jc w:val="both"/>
        <w:rPr>
          <w:rFonts w:ascii="Times New Roman" w:eastAsia="SimSun" w:hAnsi="Times New Roman" w:cs="Times New Roman"/>
          <w:b/>
          <w:bCs/>
          <w:color w:val="000000"/>
          <w:sz w:val="24"/>
          <w:szCs w:val="24"/>
        </w:rPr>
      </w:pPr>
      <w:r w:rsidRPr="007C0B8D">
        <w:rPr>
          <w:rFonts w:ascii="Times New Roman" w:hAnsi="Times New Roman" w:cs="Times New Roman"/>
          <w:sz w:val="24"/>
          <w:szCs w:val="24"/>
        </w:rPr>
        <w:t>Table 1 provides critical insights into the types and frequency of workplace-related accidents over a defined period. The data indicate that industrial accidents are the most common, comprising 74.8% of all reported incidents. This points to significant safety challenges in industrial and operational environments. Road traffic accidents follow at 12.6%, reflecting hazards related to employee transportation or job-related travel. Rail accidents and robbery attacks are comparatively rare, each accounting for only 0.2% of incidents.</w:t>
      </w:r>
      <w:r>
        <w:rPr>
          <w:rFonts w:ascii="Times New Roman" w:eastAsia="SimSun" w:hAnsi="Times New Roman" w:cs="Times New Roman"/>
          <w:b/>
          <w:bCs/>
          <w:color w:val="000000"/>
          <w:sz w:val="24"/>
          <w:szCs w:val="24"/>
        </w:rPr>
        <w:t xml:space="preserve"> </w:t>
      </w:r>
    </w:p>
    <w:p w14:paraId="6C195A72" w14:textId="77777777" w:rsidR="007C0B8D" w:rsidRDefault="007C0B8D" w:rsidP="00DE46FA">
      <w:pPr>
        <w:spacing w:line="360" w:lineRule="auto"/>
        <w:rPr>
          <w:rFonts w:ascii="Times New Roman" w:eastAsia="SimSun" w:hAnsi="Times New Roman" w:cs="Times New Roman"/>
          <w:b/>
          <w:bCs/>
          <w:color w:val="000000"/>
          <w:sz w:val="24"/>
          <w:szCs w:val="24"/>
        </w:rPr>
      </w:pPr>
      <w:r w:rsidRPr="007C0B8D">
        <w:rPr>
          <w:rFonts w:ascii="Times New Roman" w:hAnsi="Times New Roman" w:cs="Times New Roman"/>
          <w:sz w:val="24"/>
          <w:szCs w:val="24"/>
        </w:rPr>
        <w:t>In terms of distribution over time, the years 2021 and 2022 recorded the highest percentage of accidents, both at 13.2%, signaling a peak in work-related hazards during this period. Conversely, 2024 recorded the lowest percentage, at 0.2%, which may reflect improved safety interventions, reporting mechanisms, or operational changes during that year.</w:t>
      </w:r>
    </w:p>
    <w:p w14:paraId="79DF895B" w14:textId="19088C46" w:rsidR="007C0B8D" w:rsidRDefault="007C0B8D" w:rsidP="00DE46FA">
      <w:pPr>
        <w:spacing w:line="360" w:lineRule="auto"/>
        <w:rPr>
          <w:rFonts w:ascii="Times New Roman" w:hAnsi="Times New Roman" w:cs="Times New Roman"/>
          <w:sz w:val="24"/>
          <w:szCs w:val="24"/>
        </w:rPr>
      </w:pPr>
      <w:r w:rsidRPr="007C0B8D">
        <w:rPr>
          <w:rFonts w:ascii="Times New Roman" w:hAnsi="Times New Roman" w:cs="Times New Roman"/>
          <w:sz w:val="24"/>
          <w:szCs w:val="24"/>
        </w:rPr>
        <w:t>The prevalence of these accidents, particularly industrial incidents, correlates strongly with the occurrence of workplace-related disabilities, which can have profound effects on employees</w:t>
      </w:r>
      <w:r w:rsidR="005A3656">
        <w:rPr>
          <w:rFonts w:ascii="Times New Roman" w:hAnsi="Times New Roman" w:cs="Times New Roman"/>
          <w:sz w:val="24"/>
          <w:szCs w:val="24"/>
        </w:rPr>
        <w:t>’</w:t>
      </w:r>
      <w:r w:rsidRPr="007C0B8D">
        <w:rPr>
          <w:rFonts w:ascii="Times New Roman" w:hAnsi="Times New Roman" w:cs="Times New Roman"/>
          <w:sz w:val="24"/>
          <w:szCs w:val="24"/>
        </w:rPr>
        <w:t xml:space="preserve"> physical and mental health, productivity, and quality of life. Prolonged recovery periods, permanent impairments, and emotional distress are common consequences that may further burden the healthcare system and employers through absenteeism and compensation claims.</w:t>
      </w:r>
    </w:p>
    <w:p w14:paraId="257938F7" w14:textId="074CD4A3" w:rsidR="007C0B8D" w:rsidRDefault="007C0B8D" w:rsidP="007C0B8D">
      <w:pPr>
        <w:spacing w:line="360" w:lineRule="auto"/>
        <w:jc w:val="both"/>
        <w:rPr>
          <w:rFonts w:ascii="Times New Roman" w:eastAsia="SimSun" w:hAnsi="Times New Roman" w:cs="Times New Roman"/>
          <w:color w:val="000000"/>
          <w:sz w:val="24"/>
          <w:szCs w:val="24"/>
        </w:rPr>
      </w:pPr>
      <w:r w:rsidRPr="007C0B8D">
        <w:rPr>
          <w:rFonts w:ascii="Times New Roman" w:eastAsia="SimSun" w:hAnsi="Times New Roman" w:cs="Times New Roman"/>
          <w:color w:val="000000"/>
          <w:sz w:val="24"/>
          <w:szCs w:val="24"/>
        </w:rPr>
        <w:t>These findings underscore the need for proactive occupational health strategies, including rigorous enforcement of safety protocols, continuous employee training, regular risk assessments, and robust support systems for affected employees. Investing in such measures not only protects the workforce but also enhances overall organizational efficiency and morale.</w:t>
      </w:r>
    </w:p>
    <w:p w14:paraId="1CFD8C29" w14:textId="0E88855E" w:rsidR="007C0B8D" w:rsidRPr="00B66D53" w:rsidRDefault="00DE46FA" w:rsidP="007C0B8D">
      <w:pPr>
        <w:tabs>
          <w:tab w:val="left" w:pos="2680"/>
        </w:tabs>
        <w:spacing w:line="360" w:lineRule="auto"/>
        <w:jc w:val="both"/>
        <w:rPr>
          <w:rFonts w:ascii="Times New Roman" w:hAnsi="Times New Roman" w:cs="Times New Roman"/>
          <w:b/>
          <w:bCs/>
          <w:sz w:val="24"/>
          <w:szCs w:val="24"/>
        </w:rPr>
      </w:pPr>
      <w:r w:rsidRPr="00B66D53">
        <w:rPr>
          <w:rFonts w:ascii="Times New Roman" w:hAnsi="Times New Roman" w:cs="Times New Roman"/>
          <w:b/>
          <w:bCs/>
          <w:sz w:val="24"/>
          <w:szCs w:val="24"/>
        </w:rPr>
        <w:t>CONCLUSION</w:t>
      </w:r>
    </w:p>
    <w:p w14:paraId="451033DA" w14:textId="77777777" w:rsidR="007C0B8D" w:rsidRDefault="007C0B8D" w:rsidP="007C0B8D">
      <w:pPr>
        <w:tabs>
          <w:tab w:val="left" w:pos="2680"/>
        </w:tabs>
        <w:spacing w:line="360" w:lineRule="auto"/>
        <w:jc w:val="both"/>
        <w:rPr>
          <w:rFonts w:ascii="Times New Roman" w:hAnsi="Times New Roman" w:cs="Times New Roman"/>
          <w:sz w:val="24"/>
          <w:szCs w:val="24"/>
        </w:rPr>
      </w:pPr>
      <w:r w:rsidRPr="009D762E">
        <w:rPr>
          <w:rFonts w:ascii="Times New Roman" w:hAnsi="Times New Roman" w:cs="Times New Roman"/>
          <w:sz w:val="24"/>
          <w:szCs w:val="24"/>
        </w:rPr>
        <w:t>The Employee Compensation Scheme is not only a financial mechanism but also a critical tool for improving workplace safety and enhancing public health surveillance. To maximize its potential, there is a need for comprehensive reforms, including expanding coverage, raising awareness, and leveraging technology for efficient data management. By aligning compensation schemes with public health objectives, stakeholders can create a safer, healthier, and more equitable work environment, thereby contributing to national development and societal well-being.</w:t>
      </w:r>
    </w:p>
    <w:p w14:paraId="29863720" w14:textId="26710E56" w:rsidR="007C0B8D" w:rsidRDefault="007C0B8D" w:rsidP="007C0B8D">
      <w:pPr>
        <w:spacing w:line="360" w:lineRule="auto"/>
        <w:jc w:val="both"/>
        <w:rPr>
          <w:rFonts w:ascii="Times New Roman" w:hAnsi="Times New Roman" w:cs="Times New Roman"/>
          <w:sz w:val="24"/>
          <w:szCs w:val="24"/>
        </w:rPr>
      </w:pPr>
      <w:r w:rsidRPr="007C0B8D">
        <w:rPr>
          <w:rFonts w:ascii="Times New Roman" w:hAnsi="Times New Roman" w:cs="Times New Roman"/>
          <w:sz w:val="24"/>
          <w:szCs w:val="24"/>
        </w:rPr>
        <w:lastRenderedPageBreak/>
        <w:t>The analysis of the data presented in Table 1 highlights those industrial accidents are the most prevalent type of workplace incident, accounting for 74.8% of all reported cases. This is followed by road traffic accidents at 12.6%, while rail accidents and robbery attacks are rare, each constituting only 0.2%. The data also reveal that the highest rates of accidents occurred in 2021 and 2022 (13.2%), with a significant decline in 2024 (0.2%). These findings emphasize the considerable impact that workplace-related accidents and resulting disabilities can have on the health and well-being of employees. The high incidence of industrial accidents suggests a persistent risk to workers’ physical and psychological health, underscoring the need for strengthened occupational safety measures, continuous monitoring, and effective rehabilitation programs to support affected employees and promote a safer working environment.</w:t>
      </w:r>
    </w:p>
    <w:p w14:paraId="17D920CA" w14:textId="77777777" w:rsidR="007C0B8D" w:rsidRDefault="007C0B8D" w:rsidP="007C0B8D">
      <w:pPr>
        <w:tabs>
          <w:tab w:val="left" w:pos="2680"/>
        </w:tabs>
        <w:jc w:val="center"/>
        <w:rPr>
          <w:rFonts w:ascii="Times New Roman" w:hAnsi="Times New Roman" w:cs="Times New Roman"/>
          <w:b/>
          <w:bCs/>
          <w:sz w:val="24"/>
          <w:szCs w:val="24"/>
        </w:rPr>
      </w:pPr>
    </w:p>
    <w:p w14:paraId="58743C4C" w14:textId="20B2017C" w:rsidR="007C0B8D" w:rsidRDefault="007C0B8D" w:rsidP="00DE46FA">
      <w:pPr>
        <w:tabs>
          <w:tab w:val="left" w:pos="2680"/>
        </w:tabs>
        <w:rPr>
          <w:rFonts w:ascii="Times New Roman" w:hAnsi="Times New Roman" w:cs="Times New Roman"/>
          <w:b/>
          <w:bCs/>
          <w:sz w:val="24"/>
          <w:szCs w:val="24"/>
        </w:rPr>
      </w:pPr>
      <w:r w:rsidRPr="006E22C7">
        <w:rPr>
          <w:rFonts w:ascii="Times New Roman" w:hAnsi="Times New Roman" w:cs="Times New Roman"/>
          <w:b/>
          <w:bCs/>
          <w:sz w:val="24"/>
          <w:szCs w:val="24"/>
        </w:rPr>
        <w:t>REFERENCES</w:t>
      </w:r>
    </w:p>
    <w:p w14:paraId="7459A18D"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Bickenbach</w:t>
      </w:r>
      <w:proofErr w:type="spellEnd"/>
      <w:r w:rsidRPr="00745D20">
        <w:rPr>
          <w:rFonts w:ascii="Times New Roman" w:hAnsi="Times New Roman" w:cs="Times New Roman"/>
          <w:sz w:val="24"/>
          <w:szCs w:val="24"/>
        </w:rPr>
        <w:t xml:space="preserve">, J., </w:t>
      </w:r>
      <w:proofErr w:type="spellStart"/>
      <w:r w:rsidRPr="00745D20">
        <w:rPr>
          <w:rFonts w:ascii="Times New Roman" w:hAnsi="Times New Roman" w:cs="Times New Roman"/>
          <w:sz w:val="24"/>
          <w:szCs w:val="24"/>
        </w:rPr>
        <w:t>Rubinelli</w:t>
      </w:r>
      <w:proofErr w:type="spellEnd"/>
      <w:r w:rsidRPr="00745D20">
        <w:rPr>
          <w:rFonts w:ascii="Times New Roman" w:hAnsi="Times New Roman" w:cs="Times New Roman"/>
          <w:sz w:val="24"/>
          <w:szCs w:val="24"/>
        </w:rPr>
        <w:t xml:space="preserve">, S., &amp; Stucki, G. (2017). Being a person with disabilities or experiencing disability: two perspectives on the social response to disability. J </w:t>
      </w:r>
      <w:proofErr w:type="spellStart"/>
      <w:r w:rsidRPr="00745D20">
        <w:rPr>
          <w:rFonts w:ascii="Times New Roman" w:hAnsi="Times New Roman" w:cs="Times New Roman"/>
          <w:sz w:val="24"/>
          <w:szCs w:val="24"/>
        </w:rPr>
        <w:t>Rehabil</w:t>
      </w:r>
      <w:proofErr w:type="spellEnd"/>
      <w:r w:rsidRPr="00745D20">
        <w:rPr>
          <w:rFonts w:ascii="Times New Roman" w:hAnsi="Times New Roman" w:cs="Times New Roman"/>
          <w:sz w:val="24"/>
          <w:szCs w:val="24"/>
        </w:rPr>
        <w:t xml:space="preserve"> Med, 49(7), 543-9.</w:t>
      </w:r>
    </w:p>
    <w:p w14:paraId="2D97839A"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Buciuniene</w:t>
      </w:r>
      <w:proofErr w:type="spellEnd"/>
      <w:r w:rsidRPr="00745D20">
        <w:rPr>
          <w:rFonts w:ascii="Times New Roman" w:hAnsi="Times New Roman" w:cs="Times New Roman"/>
          <w:sz w:val="24"/>
          <w:szCs w:val="24"/>
        </w:rPr>
        <w:t xml:space="preserve">, I., &amp; </w:t>
      </w:r>
      <w:proofErr w:type="spellStart"/>
      <w:r w:rsidRPr="00745D20">
        <w:rPr>
          <w:rFonts w:ascii="Times New Roman" w:hAnsi="Times New Roman" w:cs="Times New Roman"/>
          <w:sz w:val="24"/>
          <w:szCs w:val="24"/>
        </w:rPr>
        <w:t>Kazlauskaite</w:t>
      </w:r>
      <w:proofErr w:type="spellEnd"/>
      <w:r w:rsidRPr="00745D20">
        <w:rPr>
          <w:rFonts w:ascii="Times New Roman" w:hAnsi="Times New Roman" w:cs="Times New Roman"/>
          <w:sz w:val="24"/>
          <w:szCs w:val="24"/>
        </w:rPr>
        <w:t xml:space="preserve">, R. (2010). Integrating people with disability into the workforce: the case of a retail chain. Equality, Diversity and Inclusion: An International Journal, 29(5), 534–538. Doi: </w:t>
      </w:r>
      <w:hyperlink r:id="rId8" w:history="1">
        <w:r w:rsidRPr="00F9670A">
          <w:rPr>
            <w:rStyle w:val="Hyperlink"/>
            <w:rFonts w:ascii="Times New Roman" w:hAnsi="Times New Roman" w:cs="Times New Roman"/>
            <w:sz w:val="24"/>
            <w:szCs w:val="24"/>
          </w:rPr>
          <w:t>http://dx.doi.org/10.1108/02610151011052816</w:t>
        </w:r>
      </w:hyperlink>
      <w:r w:rsidRPr="00745D20">
        <w:rPr>
          <w:rFonts w:ascii="Times New Roman" w:hAnsi="Times New Roman" w:cs="Times New Roman"/>
          <w:sz w:val="24"/>
          <w:szCs w:val="24"/>
        </w:rPr>
        <w:t xml:space="preserve"> </w:t>
      </w:r>
    </w:p>
    <w:p w14:paraId="28A07BA5" w14:textId="77777777" w:rsidR="00424FE0" w:rsidRDefault="00424FE0" w:rsidP="00424FE0">
      <w:pPr>
        <w:numPr>
          <w:ilvl w:val="0"/>
          <w:numId w:val="10"/>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Carroll, S. M. (2004). Inclusion of people with physical disabilities in nursing education. Journal of Nursing Education, 43(5), 207-212. Doi: </w:t>
      </w:r>
      <w:hyperlink r:id="rId9" w:history="1">
        <w:r w:rsidRPr="00F9670A">
          <w:rPr>
            <w:rStyle w:val="Hyperlink"/>
            <w:rFonts w:ascii="Times New Roman" w:hAnsi="Times New Roman" w:cs="Times New Roman"/>
            <w:sz w:val="24"/>
            <w:szCs w:val="24"/>
          </w:rPr>
          <w:t>https://doi.org/10.3928/01484834-20040501-07</w:t>
        </w:r>
      </w:hyperlink>
      <w:r w:rsidRPr="00745D20">
        <w:rPr>
          <w:rFonts w:ascii="Times New Roman" w:hAnsi="Times New Roman" w:cs="Times New Roman"/>
          <w:sz w:val="24"/>
          <w:szCs w:val="24"/>
        </w:rPr>
        <w:t xml:space="preserve"> </w:t>
      </w:r>
    </w:p>
    <w:p w14:paraId="2FB43478" w14:textId="77777777" w:rsidR="00424FE0" w:rsidRDefault="00424FE0" w:rsidP="00424FE0">
      <w:pPr>
        <w:numPr>
          <w:ilvl w:val="0"/>
          <w:numId w:val="10"/>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Cletus, H. E., Mahmood, N. A., Umar, A., &amp; Ibrahim, A. D. (2018). Prospects and challenges of workplace diversity in modern day organizations: a critical review. HOLISTICA–Journal of Business and Public Administration, 9(2), 35-</w:t>
      </w:r>
      <w:proofErr w:type="gramStart"/>
      <w:r w:rsidRPr="00745D20">
        <w:rPr>
          <w:rFonts w:ascii="Times New Roman" w:hAnsi="Times New Roman" w:cs="Times New Roman"/>
          <w:sz w:val="24"/>
          <w:szCs w:val="24"/>
        </w:rPr>
        <w:t>52.Doi</w:t>
      </w:r>
      <w:proofErr w:type="gramEnd"/>
      <w:r w:rsidRPr="00745D20">
        <w:rPr>
          <w:rFonts w:ascii="Times New Roman" w:hAnsi="Times New Roman" w:cs="Times New Roman"/>
          <w:sz w:val="24"/>
          <w:szCs w:val="24"/>
        </w:rPr>
        <w:t xml:space="preserve">: </w:t>
      </w:r>
      <w:hyperlink r:id="rId10" w:history="1">
        <w:r w:rsidRPr="00F9670A">
          <w:rPr>
            <w:rStyle w:val="Hyperlink"/>
            <w:rFonts w:ascii="Times New Roman" w:hAnsi="Times New Roman" w:cs="Times New Roman"/>
            <w:sz w:val="24"/>
            <w:szCs w:val="24"/>
          </w:rPr>
          <w:t>https://doi.org/10.2478/hjbpa-2018-0011</w:t>
        </w:r>
      </w:hyperlink>
      <w:r w:rsidRPr="00745D20">
        <w:rPr>
          <w:rFonts w:ascii="Times New Roman" w:hAnsi="Times New Roman" w:cs="Times New Roman"/>
          <w:sz w:val="24"/>
          <w:szCs w:val="24"/>
        </w:rPr>
        <w:t xml:space="preserve"> </w:t>
      </w:r>
    </w:p>
    <w:p w14:paraId="2F4DBD08"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Denyer</w:t>
      </w:r>
      <w:proofErr w:type="spellEnd"/>
      <w:r w:rsidRPr="00745D20">
        <w:rPr>
          <w:rFonts w:ascii="Times New Roman" w:hAnsi="Times New Roman" w:cs="Times New Roman"/>
          <w:sz w:val="24"/>
          <w:szCs w:val="24"/>
        </w:rPr>
        <w:t xml:space="preserve">, D., </w:t>
      </w:r>
      <w:proofErr w:type="spellStart"/>
      <w:r w:rsidRPr="00745D20">
        <w:rPr>
          <w:rFonts w:ascii="Times New Roman" w:hAnsi="Times New Roman" w:cs="Times New Roman"/>
          <w:sz w:val="24"/>
          <w:szCs w:val="24"/>
        </w:rPr>
        <w:t>Tranfield</w:t>
      </w:r>
      <w:proofErr w:type="spellEnd"/>
      <w:r w:rsidRPr="00745D20">
        <w:rPr>
          <w:rFonts w:ascii="Times New Roman" w:hAnsi="Times New Roman" w:cs="Times New Roman"/>
          <w:sz w:val="24"/>
          <w:szCs w:val="24"/>
        </w:rPr>
        <w:t xml:space="preserve">, D., &amp; Van </w:t>
      </w:r>
      <w:proofErr w:type="spellStart"/>
      <w:r w:rsidRPr="00745D20">
        <w:rPr>
          <w:rFonts w:ascii="Times New Roman" w:hAnsi="Times New Roman" w:cs="Times New Roman"/>
          <w:sz w:val="24"/>
          <w:szCs w:val="24"/>
        </w:rPr>
        <w:t>Aken</w:t>
      </w:r>
      <w:proofErr w:type="spellEnd"/>
      <w:r w:rsidRPr="00745D20">
        <w:rPr>
          <w:rFonts w:ascii="Times New Roman" w:hAnsi="Times New Roman" w:cs="Times New Roman"/>
          <w:sz w:val="24"/>
          <w:szCs w:val="24"/>
        </w:rPr>
        <w:t xml:space="preserve">, J. E. (2008). Developing design propositions through research synthesis. Organization studies, 29(3), 393-413. Doi: </w:t>
      </w:r>
      <w:hyperlink r:id="rId11" w:history="1">
        <w:r w:rsidRPr="00F9670A">
          <w:rPr>
            <w:rStyle w:val="Hyperlink"/>
            <w:rFonts w:ascii="Times New Roman" w:hAnsi="Times New Roman" w:cs="Times New Roman"/>
            <w:sz w:val="24"/>
            <w:szCs w:val="24"/>
          </w:rPr>
          <w:t>https://doi.org/10.1177/0170840607088020</w:t>
        </w:r>
      </w:hyperlink>
    </w:p>
    <w:p w14:paraId="5459A2CA"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Đorđević</w:t>
      </w:r>
      <w:proofErr w:type="spellEnd"/>
      <w:r w:rsidRPr="00745D20">
        <w:rPr>
          <w:rFonts w:ascii="Times New Roman" w:hAnsi="Times New Roman" w:cs="Times New Roman"/>
          <w:sz w:val="24"/>
          <w:szCs w:val="24"/>
        </w:rPr>
        <w:t xml:space="preserve">, B., </w:t>
      </w:r>
      <w:proofErr w:type="spellStart"/>
      <w:r w:rsidRPr="00745D20">
        <w:rPr>
          <w:rFonts w:ascii="Times New Roman" w:hAnsi="Times New Roman" w:cs="Times New Roman"/>
          <w:sz w:val="24"/>
          <w:szCs w:val="24"/>
        </w:rPr>
        <w:t>Ivanović</w:t>
      </w:r>
      <w:proofErr w:type="spellEnd"/>
      <w:r w:rsidRPr="00745D20">
        <w:rPr>
          <w:rFonts w:ascii="Times New Roman" w:hAnsi="Times New Roman" w:cs="Times New Roman"/>
          <w:sz w:val="24"/>
          <w:szCs w:val="24"/>
        </w:rPr>
        <w:t xml:space="preserve">, Đ. M., </w:t>
      </w:r>
      <w:proofErr w:type="spellStart"/>
      <w:r w:rsidRPr="00745D20">
        <w:rPr>
          <w:rFonts w:ascii="Times New Roman" w:hAnsi="Times New Roman" w:cs="Times New Roman"/>
          <w:sz w:val="24"/>
          <w:szCs w:val="24"/>
        </w:rPr>
        <w:t>Lepojević</w:t>
      </w:r>
      <w:proofErr w:type="spellEnd"/>
      <w:r w:rsidRPr="00745D20">
        <w:rPr>
          <w:rFonts w:ascii="Times New Roman" w:hAnsi="Times New Roman" w:cs="Times New Roman"/>
          <w:sz w:val="24"/>
          <w:szCs w:val="24"/>
        </w:rPr>
        <w:t xml:space="preserve">, V., &amp; </w:t>
      </w:r>
      <w:proofErr w:type="spellStart"/>
      <w:r w:rsidRPr="00745D20">
        <w:rPr>
          <w:rFonts w:ascii="Times New Roman" w:hAnsi="Times New Roman" w:cs="Times New Roman"/>
          <w:sz w:val="24"/>
          <w:szCs w:val="24"/>
        </w:rPr>
        <w:t>Milanović</w:t>
      </w:r>
      <w:proofErr w:type="spellEnd"/>
      <w:r w:rsidRPr="00745D20">
        <w:rPr>
          <w:rFonts w:ascii="Times New Roman" w:hAnsi="Times New Roman" w:cs="Times New Roman"/>
          <w:sz w:val="24"/>
          <w:szCs w:val="24"/>
        </w:rPr>
        <w:t xml:space="preserve">, S. (2021). Job satisfaction and organizational citizenship </w:t>
      </w:r>
      <w:proofErr w:type="spellStart"/>
      <w:r w:rsidRPr="00745D20">
        <w:rPr>
          <w:rFonts w:ascii="Times New Roman" w:hAnsi="Times New Roman" w:cs="Times New Roman"/>
          <w:sz w:val="24"/>
          <w:szCs w:val="24"/>
        </w:rPr>
        <w:t>behaviour</w:t>
      </w:r>
      <w:proofErr w:type="spellEnd"/>
      <w:r w:rsidRPr="00745D20">
        <w:rPr>
          <w:rFonts w:ascii="Times New Roman" w:hAnsi="Times New Roman" w:cs="Times New Roman"/>
          <w:sz w:val="24"/>
          <w:szCs w:val="24"/>
        </w:rPr>
        <w:t xml:space="preserve"> of employees in companies in the Republic of Serbia. Strategic Management, 26(3), 61-71. Doi: </w:t>
      </w:r>
      <w:hyperlink r:id="rId12" w:history="1">
        <w:r w:rsidRPr="00F9670A">
          <w:rPr>
            <w:rStyle w:val="Hyperlink"/>
            <w:rFonts w:ascii="Times New Roman" w:hAnsi="Times New Roman" w:cs="Times New Roman"/>
            <w:sz w:val="24"/>
            <w:szCs w:val="24"/>
          </w:rPr>
          <w:t>https://doi.org/10.5937/StraMan2103061D</w:t>
        </w:r>
      </w:hyperlink>
      <w:r w:rsidRPr="00745D20">
        <w:rPr>
          <w:rFonts w:ascii="Times New Roman" w:hAnsi="Times New Roman" w:cs="Times New Roman"/>
          <w:sz w:val="24"/>
          <w:szCs w:val="24"/>
        </w:rPr>
        <w:t xml:space="preserve"> </w:t>
      </w:r>
    </w:p>
    <w:p w14:paraId="0DC6F2C8"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Dramićanin</w:t>
      </w:r>
      <w:proofErr w:type="spellEnd"/>
      <w:r w:rsidRPr="00745D20">
        <w:rPr>
          <w:rFonts w:ascii="Times New Roman" w:hAnsi="Times New Roman" w:cs="Times New Roman"/>
          <w:sz w:val="24"/>
          <w:szCs w:val="24"/>
        </w:rPr>
        <w:t xml:space="preserve">, S., </w:t>
      </w:r>
      <w:proofErr w:type="spellStart"/>
      <w:r w:rsidRPr="00745D20">
        <w:rPr>
          <w:rFonts w:ascii="Times New Roman" w:hAnsi="Times New Roman" w:cs="Times New Roman"/>
          <w:sz w:val="24"/>
          <w:szCs w:val="24"/>
        </w:rPr>
        <w:t>Perić</w:t>
      </w:r>
      <w:proofErr w:type="spellEnd"/>
      <w:r w:rsidRPr="00745D20">
        <w:rPr>
          <w:rFonts w:ascii="Times New Roman" w:hAnsi="Times New Roman" w:cs="Times New Roman"/>
          <w:sz w:val="24"/>
          <w:szCs w:val="24"/>
        </w:rPr>
        <w:t xml:space="preserve">, G., &amp; Pavlović, N. (2021). Job satisfaction and organizational commitment of employees in tourism: Serbian Travel agency case. Strategic Management, 26(4), 50-64. Doi: </w:t>
      </w:r>
      <w:hyperlink r:id="rId13" w:history="1">
        <w:r w:rsidRPr="00F9670A">
          <w:rPr>
            <w:rStyle w:val="Hyperlink"/>
            <w:rFonts w:ascii="Times New Roman" w:hAnsi="Times New Roman" w:cs="Times New Roman"/>
            <w:sz w:val="24"/>
            <w:szCs w:val="24"/>
          </w:rPr>
          <w:t>https://doi.org/10.5937/StraMan2104050D</w:t>
        </w:r>
      </w:hyperlink>
      <w:r w:rsidRPr="00745D20">
        <w:rPr>
          <w:rFonts w:ascii="Times New Roman" w:hAnsi="Times New Roman" w:cs="Times New Roman"/>
          <w:sz w:val="24"/>
          <w:szCs w:val="24"/>
        </w:rPr>
        <w:t xml:space="preserve"> </w:t>
      </w:r>
    </w:p>
    <w:p w14:paraId="245C9C81" w14:textId="77777777" w:rsidR="00424FE0" w:rsidRDefault="00424FE0" w:rsidP="005A3656">
      <w:pPr>
        <w:numPr>
          <w:ilvl w:val="0"/>
          <w:numId w:val="10"/>
        </w:numPr>
        <w:tabs>
          <w:tab w:val="left" w:pos="2680"/>
        </w:tabs>
        <w:rPr>
          <w:rFonts w:ascii="Times New Roman" w:hAnsi="Times New Roman" w:cs="Times New Roman"/>
          <w:sz w:val="24"/>
          <w:szCs w:val="24"/>
        </w:rPr>
      </w:pPr>
      <w:r w:rsidRPr="00745D20">
        <w:rPr>
          <w:rFonts w:ascii="Times New Roman" w:hAnsi="Times New Roman" w:cs="Times New Roman"/>
          <w:sz w:val="24"/>
          <w:szCs w:val="24"/>
        </w:rPr>
        <w:lastRenderedPageBreak/>
        <w:t xml:space="preserve">Eide, A. H., </w:t>
      </w:r>
      <w:proofErr w:type="spellStart"/>
      <w:r w:rsidRPr="00745D20">
        <w:rPr>
          <w:rFonts w:ascii="Times New Roman" w:hAnsi="Times New Roman" w:cs="Times New Roman"/>
          <w:sz w:val="24"/>
          <w:szCs w:val="24"/>
        </w:rPr>
        <w:t>Muderedzi</w:t>
      </w:r>
      <w:proofErr w:type="spellEnd"/>
      <w:r w:rsidRPr="00745D20">
        <w:rPr>
          <w:rFonts w:ascii="Times New Roman" w:hAnsi="Times New Roman" w:cs="Times New Roman"/>
          <w:sz w:val="24"/>
          <w:szCs w:val="24"/>
        </w:rPr>
        <w:t xml:space="preserve">, J. T., Braathen, S. H., &amp; Stray-Pedersen, B. (2017). Exploring structural violence in the context of disability and poverty in Zimbabwe. African Journal of Disability, 6(1), 1-9. Doi: </w:t>
      </w:r>
      <w:hyperlink r:id="rId14" w:history="1">
        <w:r w:rsidRPr="00F9670A">
          <w:rPr>
            <w:rStyle w:val="Hyperlink"/>
            <w:rFonts w:ascii="Times New Roman" w:hAnsi="Times New Roman" w:cs="Times New Roman"/>
            <w:sz w:val="24"/>
            <w:szCs w:val="24"/>
          </w:rPr>
          <w:t>https://hdl.handle.net/10520/EJC-716944586</w:t>
        </w:r>
      </w:hyperlink>
      <w:r>
        <w:rPr>
          <w:rFonts w:ascii="Times New Roman" w:hAnsi="Times New Roman" w:cs="Times New Roman"/>
          <w:sz w:val="24"/>
          <w:szCs w:val="24"/>
        </w:rPr>
        <w:t xml:space="preserve"> </w:t>
      </w:r>
    </w:p>
    <w:p w14:paraId="0FECBD09" w14:textId="77777777" w:rsidR="00424FE0" w:rsidRDefault="00424FE0" w:rsidP="00424FE0">
      <w:pPr>
        <w:numPr>
          <w:ilvl w:val="0"/>
          <w:numId w:val="10"/>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 xml:space="preserve">Adebisi, R., Jerry, J., </w:t>
      </w:r>
      <w:proofErr w:type="spellStart"/>
      <w:r w:rsidRPr="00745D20">
        <w:rPr>
          <w:rFonts w:ascii="Times New Roman" w:hAnsi="Times New Roman" w:cs="Times New Roman"/>
          <w:sz w:val="24"/>
          <w:szCs w:val="24"/>
        </w:rPr>
        <w:t>Rasaki</w:t>
      </w:r>
      <w:proofErr w:type="spellEnd"/>
      <w:r w:rsidRPr="00745D20">
        <w:rPr>
          <w:rFonts w:ascii="Times New Roman" w:hAnsi="Times New Roman" w:cs="Times New Roman"/>
          <w:sz w:val="24"/>
          <w:szCs w:val="24"/>
        </w:rPr>
        <w:t xml:space="preserve"> S, </w:t>
      </w:r>
      <w:proofErr w:type="spellStart"/>
      <w:r w:rsidRPr="00745D20">
        <w:rPr>
          <w:rFonts w:ascii="Times New Roman" w:hAnsi="Times New Roman" w:cs="Times New Roman"/>
          <w:sz w:val="24"/>
          <w:szCs w:val="24"/>
        </w:rPr>
        <w:t>Igwe</w:t>
      </w:r>
      <w:proofErr w:type="spellEnd"/>
      <w:r w:rsidRPr="00745D20">
        <w:rPr>
          <w:rFonts w:ascii="Times New Roman" w:hAnsi="Times New Roman" w:cs="Times New Roman"/>
          <w:sz w:val="24"/>
          <w:szCs w:val="24"/>
        </w:rPr>
        <w:t xml:space="preserve">, E. (2014). Barriers to special needs education in </w:t>
      </w:r>
      <w:proofErr w:type="spellStart"/>
      <w:r w:rsidRPr="00745D20">
        <w:rPr>
          <w:rFonts w:ascii="Times New Roman" w:hAnsi="Times New Roman" w:cs="Times New Roman"/>
          <w:sz w:val="24"/>
          <w:szCs w:val="24"/>
        </w:rPr>
        <w:t>Nigeria.International</w:t>
      </w:r>
      <w:proofErr w:type="spellEnd"/>
      <w:r w:rsidRPr="00745D20">
        <w:rPr>
          <w:rFonts w:ascii="Times New Roman" w:hAnsi="Times New Roman" w:cs="Times New Roman"/>
          <w:sz w:val="24"/>
          <w:szCs w:val="24"/>
        </w:rPr>
        <w:t xml:space="preserve"> Journal of Education and Research; 2 (11). </w:t>
      </w:r>
      <w:hyperlink r:id="rId15" w:history="1">
        <w:r w:rsidRPr="00F9670A">
          <w:rPr>
            <w:rStyle w:val="Hyperlink"/>
            <w:rFonts w:ascii="Times New Roman" w:hAnsi="Times New Roman" w:cs="Times New Roman"/>
            <w:sz w:val="24"/>
            <w:szCs w:val="24"/>
          </w:rPr>
          <w:t>http://www.ijern.com/journal/2014/November-2014/36.pdf</w:t>
        </w:r>
      </w:hyperlink>
      <w:r w:rsidRPr="00745D20">
        <w:rPr>
          <w:rFonts w:ascii="Times New Roman" w:hAnsi="Times New Roman" w:cs="Times New Roman"/>
          <w:sz w:val="24"/>
          <w:szCs w:val="24"/>
        </w:rPr>
        <w:t xml:space="preserve"> </w:t>
      </w:r>
    </w:p>
    <w:p w14:paraId="081CB047" w14:textId="77777777" w:rsidR="00424FE0" w:rsidRDefault="00424FE0" w:rsidP="005A3656">
      <w:pPr>
        <w:numPr>
          <w:ilvl w:val="0"/>
          <w:numId w:val="10"/>
        </w:numPr>
        <w:tabs>
          <w:tab w:val="left" w:pos="2680"/>
        </w:tabs>
        <w:rPr>
          <w:rFonts w:ascii="Times New Roman" w:hAnsi="Times New Roman" w:cs="Times New Roman"/>
          <w:sz w:val="24"/>
          <w:szCs w:val="24"/>
        </w:rPr>
      </w:pPr>
      <w:r w:rsidRPr="00745D20">
        <w:rPr>
          <w:rFonts w:ascii="Times New Roman" w:hAnsi="Times New Roman" w:cs="Times New Roman"/>
          <w:sz w:val="24"/>
          <w:szCs w:val="24"/>
        </w:rPr>
        <w:t xml:space="preserve">Botha, P., &amp; Leah, L. (2020). Exploring public sector managers’ attitudes towards people with disabilities. SA Journal of Human Resource Management,18(14), e1–e10. </w:t>
      </w:r>
      <w:hyperlink r:id="rId16" w:history="1">
        <w:r w:rsidRPr="00F9670A">
          <w:rPr>
            <w:rStyle w:val="Hyperlink"/>
            <w:rFonts w:ascii="Times New Roman" w:hAnsi="Times New Roman" w:cs="Times New Roman"/>
            <w:sz w:val="24"/>
            <w:szCs w:val="24"/>
          </w:rPr>
          <w:t>https://doi.org/10.4102/sajhrm.v18i0.1421</w:t>
        </w:r>
      </w:hyperlink>
      <w:r w:rsidRPr="00745D20">
        <w:rPr>
          <w:rFonts w:ascii="Times New Roman" w:hAnsi="Times New Roman" w:cs="Times New Roman"/>
          <w:sz w:val="24"/>
          <w:szCs w:val="24"/>
        </w:rPr>
        <w:t xml:space="preserve"> </w:t>
      </w:r>
    </w:p>
    <w:p w14:paraId="4FA35B80" w14:textId="5B758ADF" w:rsidR="00424FE0" w:rsidRDefault="00424FE0" w:rsidP="005A3656">
      <w:pPr>
        <w:numPr>
          <w:ilvl w:val="0"/>
          <w:numId w:val="10"/>
        </w:numPr>
        <w:tabs>
          <w:tab w:val="left" w:pos="2680"/>
        </w:tabs>
        <w:rPr>
          <w:rFonts w:ascii="Times New Roman" w:hAnsi="Times New Roman" w:cs="Times New Roman"/>
          <w:sz w:val="24"/>
          <w:szCs w:val="24"/>
        </w:rPr>
      </w:pPr>
      <w:proofErr w:type="spellStart"/>
      <w:r w:rsidRPr="00745D20">
        <w:rPr>
          <w:rFonts w:ascii="Times New Roman" w:hAnsi="Times New Roman" w:cs="Times New Roman"/>
          <w:sz w:val="24"/>
          <w:szCs w:val="24"/>
        </w:rPr>
        <w:t>Eleweke</w:t>
      </w:r>
      <w:proofErr w:type="spellEnd"/>
      <w:r w:rsidRPr="00745D20">
        <w:rPr>
          <w:rFonts w:ascii="Times New Roman" w:hAnsi="Times New Roman" w:cs="Times New Roman"/>
          <w:sz w:val="24"/>
          <w:szCs w:val="24"/>
        </w:rPr>
        <w:t xml:space="preserve"> C, </w:t>
      </w:r>
      <w:proofErr w:type="spellStart"/>
      <w:r w:rsidRPr="00745D20">
        <w:rPr>
          <w:rFonts w:ascii="Times New Roman" w:hAnsi="Times New Roman" w:cs="Times New Roman"/>
          <w:sz w:val="24"/>
          <w:szCs w:val="24"/>
        </w:rPr>
        <w:t>Ebenso</w:t>
      </w:r>
      <w:proofErr w:type="spellEnd"/>
      <w:r w:rsidRPr="00745D20">
        <w:rPr>
          <w:rFonts w:ascii="Times New Roman" w:hAnsi="Times New Roman" w:cs="Times New Roman"/>
          <w:sz w:val="24"/>
          <w:szCs w:val="24"/>
        </w:rPr>
        <w:t xml:space="preserve"> J. </w:t>
      </w:r>
      <w:r w:rsidR="005A3656">
        <w:rPr>
          <w:rFonts w:ascii="Times New Roman" w:hAnsi="Times New Roman" w:cs="Times New Roman"/>
          <w:sz w:val="24"/>
          <w:szCs w:val="24"/>
        </w:rPr>
        <w:t>(</w:t>
      </w:r>
      <w:r w:rsidRPr="00745D20">
        <w:rPr>
          <w:rFonts w:ascii="Times New Roman" w:hAnsi="Times New Roman" w:cs="Times New Roman"/>
          <w:sz w:val="24"/>
          <w:szCs w:val="24"/>
        </w:rPr>
        <w:t>2016</w:t>
      </w:r>
      <w:r w:rsidR="005A3656">
        <w:rPr>
          <w:rFonts w:ascii="Times New Roman" w:hAnsi="Times New Roman" w:cs="Times New Roman"/>
          <w:sz w:val="24"/>
          <w:szCs w:val="24"/>
        </w:rPr>
        <w:t>);</w:t>
      </w:r>
      <w:r w:rsidRPr="00745D20">
        <w:rPr>
          <w:rFonts w:ascii="Times New Roman" w:hAnsi="Times New Roman" w:cs="Times New Roman"/>
          <w:sz w:val="24"/>
          <w:szCs w:val="24"/>
        </w:rPr>
        <w:t xml:space="preserve"> Barriers to Accessing Services by People with Disabilities in Nigeria: Insights from a Qualitative </w:t>
      </w:r>
      <w:proofErr w:type="spellStart"/>
      <w:r w:rsidRPr="00745D20">
        <w:rPr>
          <w:rFonts w:ascii="Times New Roman" w:hAnsi="Times New Roman" w:cs="Times New Roman"/>
          <w:sz w:val="24"/>
          <w:szCs w:val="24"/>
        </w:rPr>
        <w:t>Study.Journal</w:t>
      </w:r>
      <w:proofErr w:type="spellEnd"/>
      <w:r w:rsidRPr="00745D20">
        <w:rPr>
          <w:rFonts w:ascii="Times New Roman" w:hAnsi="Times New Roman" w:cs="Times New Roman"/>
          <w:sz w:val="24"/>
          <w:szCs w:val="24"/>
        </w:rPr>
        <w:t xml:space="preserve"> of Educational and Social Research; (2) </w:t>
      </w:r>
      <w:hyperlink r:id="rId17" w:history="1">
        <w:r w:rsidRPr="00F9670A">
          <w:rPr>
            <w:rStyle w:val="Hyperlink"/>
            <w:rFonts w:ascii="Times New Roman" w:hAnsi="Times New Roman" w:cs="Times New Roman"/>
            <w:sz w:val="24"/>
            <w:szCs w:val="24"/>
          </w:rPr>
          <w:t>http://www.mcser.org/journal/index.php/jesr/article/viewFile/9155/8 841</w:t>
        </w:r>
      </w:hyperlink>
    </w:p>
    <w:p w14:paraId="48FA10D2" w14:textId="67C08E06" w:rsidR="00424FE0" w:rsidRDefault="00424FE0" w:rsidP="005A3656">
      <w:pPr>
        <w:numPr>
          <w:ilvl w:val="0"/>
          <w:numId w:val="10"/>
        </w:numPr>
        <w:tabs>
          <w:tab w:val="left" w:pos="2680"/>
        </w:tabs>
        <w:rPr>
          <w:rFonts w:ascii="Times New Roman" w:hAnsi="Times New Roman" w:cs="Times New Roman"/>
          <w:sz w:val="24"/>
          <w:szCs w:val="24"/>
        </w:rPr>
      </w:pPr>
      <w:proofErr w:type="spellStart"/>
      <w:r w:rsidRPr="00745D20">
        <w:rPr>
          <w:rFonts w:ascii="Times New Roman" w:hAnsi="Times New Roman" w:cs="Times New Roman"/>
          <w:sz w:val="24"/>
          <w:szCs w:val="24"/>
        </w:rPr>
        <w:t>Harpur</w:t>
      </w:r>
      <w:proofErr w:type="spellEnd"/>
      <w:r w:rsidRPr="00745D20">
        <w:rPr>
          <w:rFonts w:ascii="Times New Roman" w:hAnsi="Times New Roman" w:cs="Times New Roman"/>
          <w:sz w:val="24"/>
          <w:szCs w:val="24"/>
        </w:rPr>
        <w:t>, P. (2012).</w:t>
      </w:r>
      <w:r w:rsidR="005A3656">
        <w:rPr>
          <w:rFonts w:ascii="Times New Roman" w:hAnsi="Times New Roman" w:cs="Times New Roman"/>
          <w:sz w:val="24"/>
          <w:szCs w:val="24"/>
        </w:rPr>
        <w:t xml:space="preserve"> </w:t>
      </w:r>
      <w:r w:rsidRPr="00745D20">
        <w:rPr>
          <w:rFonts w:ascii="Times New Roman" w:hAnsi="Times New Roman" w:cs="Times New Roman"/>
          <w:sz w:val="24"/>
          <w:szCs w:val="24"/>
        </w:rPr>
        <w:t xml:space="preserve">Embracing the new disability rights paradigm: the importance of the Convention on the Rights of Persons with Disabilities. Disability &amp; Society, 27(1), 1-14 </w:t>
      </w:r>
    </w:p>
    <w:p w14:paraId="3C642187" w14:textId="77777777" w:rsidR="00424FE0" w:rsidRDefault="00424FE0" w:rsidP="00424FE0">
      <w:pPr>
        <w:numPr>
          <w:ilvl w:val="0"/>
          <w:numId w:val="10"/>
        </w:numPr>
        <w:tabs>
          <w:tab w:val="left" w:pos="2680"/>
        </w:tabs>
        <w:jc w:val="both"/>
        <w:rPr>
          <w:rFonts w:ascii="Times New Roman" w:hAnsi="Times New Roman" w:cs="Times New Roman"/>
          <w:sz w:val="24"/>
          <w:szCs w:val="24"/>
        </w:rPr>
      </w:pPr>
      <w:proofErr w:type="spellStart"/>
      <w:r w:rsidRPr="00745D20">
        <w:rPr>
          <w:rFonts w:ascii="Times New Roman" w:hAnsi="Times New Roman" w:cs="Times New Roman"/>
          <w:sz w:val="24"/>
          <w:szCs w:val="24"/>
        </w:rPr>
        <w:t>Ihedioha</w:t>
      </w:r>
      <w:proofErr w:type="spellEnd"/>
      <w:r w:rsidRPr="00745D20">
        <w:rPr>
          <w:rFonts w:ascii="Times New Roman" w:hAnsi="Times New Roman" w:cs="Times New Roman"/>
          <w:sz w:val="24"/>
          <w:szCs w:val="24"/>
        </w:rPr>
        <w:t xml:space="preserve"> E. 2015. Environmental barriers and job placement of the physically challenged in organizations in Rivers State, Nigeria. Global Journal of Arts Humanities and </w:t>
      </w:r>
      <w:proofErr w:type="spellStart"/>
      <w:r w:rsidRPr="00745D20">
        <w:rPr>
          <w:rFonts w:ascii="Times New Roman" w:hAnsi="Times New Roman" w:cs="Times New Roman"/>
          <w:sz w:val="24"/>
          <w:szCs w:val="24"/>
        </w:rPr>
        <w:t>SocialSciences</w:t>
      </w:r>
      <w:proofErr w:type="spellEnd"/>
      <w:r w:rsidRPr="00745D20">
        <w:rPr>
          <w:rFonts w:ascii="Times New Roman" w:hAnsi="Times New Roman" w:cs="Times New Roman"/>
          <w:sz w:val="24"/>
          <w:szCs w:val="24"/>
        </w:rPr>
        <w:t>; 3 (</w:t>
      </w:r>
      <w:proofErr w:type="gramStart"/>
      <w:r w:rsidRPr="00745D20">
        <w:rPr>
          <w:rFonts w:ascii="Times New Roman" w:hAnsi="Times New Roman" w:cs="Times New Roman"/>
          <w:sz w:val="24"/>
          <w:szCs w:val="24"/>
        </w:rPr>
        <w:t>4)https://www.eajournals.org/journals/global-journal-of-arts-humanitiesand-social-sciencesgjahss/vol-3issue-4-april-2015/</w:t>
      </w:r>
      <w:proofErr w:type="gramEnd"/>
      <w:r w:rsidRPr="00745D20">
        <w:rPr>
          <w:rFonts w:ascii="Times New Roman" w:hAnsi="Times New Roman" w:cs="Times New Roman"/>
          <w:sz w:val="24"/>
          <w:szCs w:val="24"/>
        </w:rPr>
        <w:t xml:space="preserve"> </w:t>
      </w:r>
    </w:p>
    <w:p w14:paraId="68671EB1" w14:textId="599C8CF6" w:rsidR="00424FE0" w:rsidRDefault="00424FE0" w:rsidP="005A3656">
      <w:pPr>
        <w:numPr>
          <w:ilvl w:val="0"/>
          <w:numId w:val="10"/>
        </w:numPr>
        <w:tabs>
          <w:tab w:val="left" w:pos="2680"/>
        </w:tabs>
        <w:rPr>
          <w:rFonts w:ascii="Times New Roman" w:hAnsi="Times New Roman" w:cs="Times New Roman"/>
          <w:sz w:val="24"/>
          <w:szCs w:val="24"/>
        </w:rPr>
      </w:pPr>
      <w:proofErr w:type="spellStart"/>
      <w:r w:rsidRPr="00745D20">
        <w:rPr>
          <w:rFonts w:ascii="Times New Roman" w:hAnsi="Times New Roman" w:cs="Times New Roman"/>
          <w:sz w:val="24"/>
          <w:szCs w:val="24"/>
        </w:rPr>
        <w:t>Iroanusi</w:t>
      </w:r>
      <w:proofErr w:type="spellEnd"/>
      <w:r w:rsidRPr="00745D20">
        <w:rPr>
          <w:rFonts w:ascii="Times New Roman" w:hAnsi="Times New Roman" w:cs="Times New Roman"/>
          <w:sz w:val="24"/>
          <w:szCs w:val="24"/>
        </w:rPr>
        <w:t xml:space="preserve"> Q. </w:t>
      </w:r>
      <w:r w:rsidR="005A3656">
        <w:rPr>
          <w:rFonts w:ascii="Times New Roman" w:hAnsi="Times New Roman" w:cs="Times New Roman"/>
          <w:sz w:val="24"/>
          <w:szCs w:val="24"/>
        </w:rPr>
        <w:t>(</w:t>
      </w:r>
      <w:r w:rsidRPr="00745D20">
        <w:rPr>
          <w:rFonts w:ascii="Times New Roman" w:hAnsi="Times New Roman" w:cs="Times New Roman"/>
          <w:sz w:val="24"/>
          <w:szCs w:val="24"/>
        </w:rPr>
        <w:t>2019</w:t>
      </w:r>
      <w:r w:rsidR="005A3656">
        <w:rPr>
          <w:rFonts w:ascii="Times New Roman" w:hAnsi="Times New Roman" w:cs="Times New Roman"/>
          <w:sz w:val="24"/>
          <w:szCs w:val="24"/>
        </w:rPr>
        <w:t>);</w:t>
      </w:r>
      <w:r w:rsidRPr="00745D20">
        <w:rPr>
          <w:rFonts w:ascii="Times New Roman" w:hAnsi="Times New Roman" w:cs="Times New Roman"/>
          <w:sz w:val="24"/>
          <w:szCs w:val="24"/>
        </w:rPr>
        <w:t xml:space="preserve"> Ten things to know about Nigeria’s new disability law. Premium Times. Accessed on 11.04.2019 https://www.premiumtimesng.com/news/headlines/307494-tenthingsto-know-about-nigerias-new-disability-law.html</w:t>
      </w:r>
    </w:p>
    <w:p w14:paraId="571166A8" w14:textId="41016503" w:rsidR="00424FE0" w:rsidRDefault="00424FE0" w:rsidP="00424FE0">
      <w:pPr>
        <w:numPr>
          <w:ilvl w:val="0"/>
          <w:numId w:val="10"/>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Lindsay, S. (2011)</w:t>
      </w:r>
      <w:r w:rsidR="005A3656">
        <w:rPr>
          <w:rFonts w:ascii="Times New Roman" w:hAnsi="Times New Roman" w:cs="Times New Roman"/>
          <w:sz w:val="24"/>
          <w:szCs w:val="24"/>
        </w:rPr>
        <w:t>;</w:t>
      </w:r>
      <w:r w:rsidRPr="00745D20">
        <w:rPr>
          <w:rFonts w:ascii="Times New Roman" w:hAnsi="Times New Roman" w:cs="Times New Roman"/>
          <w:sz w:val="24"/>
          <w:szCs w:val="24"/>
        </w:rPr>
        <w:t xml:space="preserve"> Discrimination and other barriers to employment for teens and young adults with disabilities. Disability and rehabilitation, 33(15-16), 1340- 1350. </w:t>
      </w:r>
    </w:p>
    <w:p w14:paraId="519C2C9F" w14:textId="546C6B57" w:rsidR="00424FE0" w:rsidRDefault="00424FE0" w:rsidP="005A3656">
      <w:pPr>
        <w:numPr>
          <w:ilvl w:val="0"/>
          <w:numId w:val="10"/>
        </w:numPr>
        <w:tabs>
          <w:tab w:val="left" w:pos="2680"/>
        </w:tabs>
        <w:rPr>
          <w:rFonts w:ascii="Times New Roman" w:hAnsi="Times New Roman" w:cs="Times New Roman"/>
          <w:sz w:val="24"/>
          <w:szCs w:val="24"/>
        </w:rPr>
      </w:pPr>
      <w:proofErr w:type="spellStart"/>
      <w:r w:rsidRPr="00745D20">
        <w:rPr>
          <w:rFonts w:ascii="Times New Roman" w:hAnsi="Times New Roman" w:cs="Times New Roman"/>
          <w:sz w:val="24"/>
          <w:szCs w:val="24"/>
        </w:rPr>
        <w:t>Osukwu</w:t>
      </w:r>
      <w:proofErr w:type="spellEnd"/>
      <w:r w:rsidRPr="00745D20">
        <w:rPr>
          <w:rFonts w:ascii="Times New Roman" w:hAnsi="Times New Roman" w:cs="Times New Roman"/>
          <w:sz w:val="24"/>
          <w:szCs w:val="24"/>
        </w:rPr>
        <w:t>, C. (2019)</w:t>
      </w:r>
      <w:r w:rsidR="005A3656">
        <w:rPr>
          <w:rFonts w:ascii="Times New Roman" w:hAnsi="Times New Roman" w:cs="Times New Roman"/>
          <w:sz w:val="24"/>
          <w:szCs w:val="24"/>
        </w:rPr>
        <w:t>;</w:t>
      </w:r>
      <w:r w:rsidRPr="00745D20">
        <w:rPr>
          <w:rFonts w:ascii="Times New Roman" w:hAnsi="Times New Roman" w:cs="Times New Roman"/>
          <w:sz w:val="24"/>
          <w:szCs w:val="24"/>
        </w:rPr>
        <w:t xml:space="preserve"> Disability, Performance, and Discrimination in the Service to Humanity. International Review of Mission, 108(1), 52-64. on 11.04.2019 at https://www.premiumtimesng.com/news/headlines/307494-tenthings-to-knowabout-nigerias-new-disability-law.html</w:t>
      </w:r>
    </w:p>
    <w:p w14:paraId="6F68B7AF" w14:textId="77777777" w:rsidR="00424FE0" w:rsidRDefault="00424FE0" w:rsidP="005A3656">
      <w:pPr>
        <w:numPr>
          <w:ilvl w:val="0"/>
          <w:numId w:val="10"/>
        </w:numPr>
        <w:tabs>
          <w:tab w:val="left" w:pos="2680"/>
        </w:tabs>
        <w:rPr>
          <w:rFonts w:ascii="Times New Roman" w:hAnsi="Times New Roman" w:cs="Times New Roman"/>
          <w:sz w:val="24"/>
          <w:szCs w:val="24"/>
        </w:rPr>
      </w:pPr>
      <w:proofErr w:type="spellStart"/>
      <w:r w:rsidRPr="00745D20">
        <w:rPr>
          <w:rFonts w:ascii="Times New Roman" w:hAnsi="Times New Roman" w:cs="Times New Roman"/>
          <w:sz w:val="24"/>
          <w:szCs w:val="24"/>
        </w:rPr>
        <w:t>Uduu</w:t>
      </w:r>
      <w:proofErr w:type="spellEnd"/>
      <w:r w:rsidRPr="00745D20">
        <w:rPr>
          <w:rFonts w:ascii="Times New Roman" w:hAnsi="Times New Roman" w:cs="Times New Roman"/>
          <w:sz w:val="24"/>
          <w:szCs w:val="24"/>
        </w:rPr>
        <w:t xml:space="preserve">, O. (2020). Over 25 million Nigerians Excluded Due </w:t>
      </w:r>
      <w:proofErr w:type="gramStart"/>
      <w:r w:rsidRPr="00745D20">
        <w:rPr>
          <w:rFonts w:ascii="Times New Roman" w:hAnsi="Times New Roman" w:cs="Times New Roman"/>
          <w:sz w:val="24"/>
          <w:szCs w:val="24"/>
        </w:rPr>
        <w:t>To</w:t>
      </w:r>
      <w:proofErr w:type="gramEnd"/>
      <w:r w:rsidRPr="00745D20">
        <w:rPr>
          <w:rFonts w:ascii="Times New Roman" w:hAnsi="Times New Roman" w:cs="Times New Roman"/>
          <w:sz w:val="24"/>
          <w:szCs w:val="24"/>
        </w:rPr>
        <w:t xml:space="preserve"> </w:t>
      </w:r>
      <w:proofErr w:type="spellStart"/>
      <w:r w:rsidRPr="00745D20">
        <w:rPr>
          <w:rFonts w:ascii="Times New Roman" w:hAnsi="Times New Roman" w:cs="Times New Roman"/>
          <w:sz w:val="24"/>
          <w:szCs w:val="24"/>
        </w:rPr>
        <w:t>Disability.Dataphyte</w:t>
      </w:r>
      <w:proofErr w:type="spellEnd"/>
      <w:r w:rsidRPr="00745D20">
        <w:rPr>
          <w:rFonts w:ascii="Times New Roman" w:hAnsi="Times New Roman" w:cs="Times New Roman"/>
          <w:sz w:val="24"/>
          <w:szCs w:val="24"/>
        </w:rPr>
        <w:t>. Posted 20.01.2020. Accessed online: 30.07.2020 https://www.dataphyte.com/governance/over-25-million-nigerians-excludeddue-to-disability</w:t>
      </w:r>
    </w:p>
    <w:p w14:paraId="1F5BB24E" w14:textId="5E5EC823" w:rsidR="00424FE0" w:rsidRDefault="00424FE0" w:rsidP="00424FE0">
      <w:pPr>
        <w:numPr>
          <w:ilvl w:val="0"/>
          <w:numId w:val="10"/>
        </w:numPr>
        <w:tabs>
          <w:tab w:val="left" w:pos="2680"/>
        </w:tabs>
        <w:jc w:val="both"/>
        <w:rPr>
          <w:rFonts w:ascii="Times New Roman" w:hAnsi="Times New Roman" w:cs="Times New Roman"/>
          <w:sz w:val="24"/>
          <w:szCs w:val="24"/>
        </w:rPr>
      </w:pPr>
      <w:r w:rsidRPr="00745D20">
        <w:rPr>
          <w:rFonts w:ascii="Times New Roman" w:hAnsi="Times New Roman" w:cs="Times New Roman"/>
          <w:sz w:val="24"/>
          <w:szCs w:val="24"/>
        </w:rPr>
        <w:t>UNESCO. (2020). Global education monitoring report:</w:t>
      </w:r>
      <w:r w:rsidR="005A3656">
        <w:rPr>
          <w:rFonts w:ascii="Times New Roman" w:hAnsi="Times New Roman" w:cs="Times New Roman"/>
          <w:sz w:val="24"/>
          <w:szCs w:val="24"/>
        </w:rPr>
        <w:t xml:space="preserve"> </w:t>
      </w:r>
      <w:r w:rsidRPr="00745D20">
        <w:rPr>
          <w:rFonts w:ascii="Times New Roman" w:hAnsi="Times New Roman" w:cs="Times New Roman"/>
          <w:sz w:val="24"/>
          <w:szCs w:val="24"/>
        </w:rPr>
        <w:t>Inclusion and education all means all. UNESCO, Paris https://en.unesco.org/gemreport/report/2020/inclusion. Accessed10. 06.2020 Unger DD. (2016), Employers’ attitudes toward persons with disabilities in the workforce: myths or realities? Journal of social development. 17(1):2–10</w:t>
      </w:r>
    </w:p>
    <w:p w14:paraId="67EFC4B1" w14:textId="77777777" w:rsidR="00424FE0" w:rsidRPr="00424FE0" w:rsidRDefault="00424FE0" w:rsidP="00424FE0">
      <w:pPr>
        <w:tabs>
          <w:tab w:val="left" w:pos="2680"/>
        </w:tabs>
        <w:jc w:val="both"/>
        <w:rPr>
          <w:rFonts w:ascii="Times New Roman" w:hAnsi="Times New Roman" w:cs="Times New Roman"/>
          <w:sz w:val="24"/>
          <w:szCs w:val="24"/>
        </w:rPr>
      </w:pPr>
    </w:p>
    <w:p w14:paraId="6D365553" w14:textId="77777777" w:rsidR="007C0B8D" w:rsidRPr="007C0B8D" w:rsidRDefault="007C0B8D" w:rsidP="007C0B8D">
      <w:pPr>
        <w:spacing w:line="360" w:lineRule="auto"/>
        <w:jc w:val="both"/>
        <w:rPr>
          <w:rFonts w:ascii="Times New Roman" w:hAnsi="Times New Roman" w:cs="Times New Roman"/>
          <w:sz w:val="24"/>
          <w:szCs w:val="24"/>
        </w:rPr>
      </w:pPr>
    </w:p>
    <w:sectPr w:rsidR="007C0B8D" w:rsidRPr="007C0B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E604A"/>
    <w:multiLevelType w:val="hybridMultilevel"/>
    <w:tmpl w:val="AA2A81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8E15F9"/>
    <w:multiLevelType w:val="hybridMultilevel"/>
    <w:tmpl w:val="37A40D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200C0"/>
    <w:multiLevelType w:val="hybridMultilevel"/>
    <w:tmpl w:val="FE2A1F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E221C4"/>
    <w:multiLevelType w:val="hybridMultilevel"/>
    <w:tmpl w:val="450E81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4E754E"/>
    <w:multiLevelType w:val="hybridMultilevel"/>
    <w:tmpl w:val="46A202EE"/>
    <w:lvl w:ilvl="0" w:tplc="A89AB9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5257C4"/>
    <w:multiLevelType w:val="hybridMultilevel"/>
    <w:tmpl w:val="6BC4B5A0"/>
    <w:lvl w:ilvl="0" w:tplc="0409000B">
      <w:start w:val="1"/>
      <w:numFmt w:val="bullet"/>
      <w:lvlText w:val=""/>
      <w:lvlJc w:val="left"/>
      <w:pPr>
        <w:ind w:left="782" w:hanging="360"/>
      </w:pPr>
      <w:rPr>
        <w:rFonts w:ascii="Wingdings" w:hAnsi="Wingdings" w:hint="default"/>
      </w:rPr>
    </w:lvl>
    <w:lvl w:ilvl="1" w:tplc="04090003" w:tentative="1">
      <w:start w:val="1"/>
      <w:numFmt w:val="bullet"/>
      <w:lvlText w:val="o"/>
      <w:lvlJc w:val="left"/>
      <w:pPr>
        <w:ind w:left="1502" w:hanging="360"/>
      </w:pPr>
      <w:rPr>
        <w:rFonts w:ascii="Courier New" w:hAnsi="Courier New" w:cs="Courier New" w:hint="default"/>
      </w:rPr>
    </w:lvl>
    <w:lvl w:ilvl="2" w:tplc="04090005" w:tentative="1">
      <w:start w:val="1"/>
      <w:numFmt w:val="bullet"/>
      <w:lvlText w:val=""/>
      <w:lvlJc w:val="left"/>
      <w:pPr>
        <w:ind w:left="2222" w:hanging="360"/>
      </w:pPr>
      <w:rPr>
        <w:rFonts w:ascii="Wingdings" w:hAnsi="Wingdings" w:hint="default"/>
      </w:rPr>
    </w:lvl>
    <w:lvl w:ilvl="3" w:tplc="04090001" w:tentative="1">
      <w:start w:val="1"/>
      <w:numFmt w:val="bullet"/>
      <w:lvlText w:val=""/>
      <w:lvlJc w:val="left"/>
      <w:pPr>
        <w:ind w:left="2942" w:hanging="360"/>
      </w:pPr>
      <w:rPr>
        <w:rFonts w:ascii="Symbol" w:hAnsi="Symbol" w:hint="default"/>
      </w:rPr>
    </w:lvl>
    <w:lvl w:ilvl="4" w:tplc="04090003" w:tentative="1">
      <w:start w:val="1"/>
      <w:numFmt w:val="bullet"/>
      <w:lvlText w:val="o"/>
      <w:lvlJc w:val="left"/>
      <w:pPr>
        <w:ind w:left="3662" w:hanging="360"/>
      </w:pPr>
      <w:rPr>
        <w:rFonts w:ascii="Courier New" w:hAnsi="Courier New" w:cs="Courier New" w:hint="default"/>
      </w:rPr>
    </w:lvl>
    <w:lvl w:ilvl="5" w:tplc="04090005" w:tentative="1">
      <w:start w:val="1"/>
      <w:numFmt w:val="bullet"/>
      <w:lvlText w:val=""/>
      <w:lvlJc w:val="left"/>
      <w:pPr>
        <w:ind w:left="4382" w:hanging="360"/>
      </w:pPr>
      <w:rPr>
        <w:rFonts w:ascii="Wingdings" w:hAnsi="Wingdings" w:hint="default"/>
      </w:rPr>
    </w:lvl>
    <w:lvl w:ilvl="6" w:tplc="04090001" w:tentative="1">
      <w:start w:val="1"/>
      <w:numFmt w:val="bullet"/>
      <w:lvlText w:val=""/>
      <w:lvlJc w:val="left"/>
      <w:pPr>
        <w:ind w:left="5102" w:hanging="360"/>
      </w:pPr>
      <w:rPr>
        <w:rFonts w:ascii="Symbol" w:hAnsi="Symbol" w:hint="default"/>
      </w:rPr>
    </w:lvl>
    <w:lvl w:ilvl="7" w:tplc="04090003" w:tentative="1">
      <w:start w:val="1"/>
      <w:numFmt w:val="bullet"/>
      <w:lvlText w:val="o"/>
      <w:lvlJc w:val="left"/>
      <w:pPr>
        <w:ind w:left="5822" w:hanging="360"/>
      </w:pPr>
      <w:rPr>
        <w:rFonts w:ascii="Courier New" w:hAnsi="Courier New" w:cs="Courier New" w:hint="default"/>
      </w:rPr>
    </w:lvl>
    <w:lvl w:ilvl="8" w:tplc="04090005" w:tentative="1">
      <w:start w:val="1"/>
      <w:numFmt w:val="bullet"/>
      <w:lvlText w:val=""/>
      <w:lvlJc w:val="left"/>
      <w:pPr>
        <w:ind w:left="6542" w:hanging="360"/>
      </w:pPr>
      <w:rPr>
        <w:rFonts w:ascii="Wingdings" w:hAnsi="Wingdings" w:hint="default"/>
      </w:rPr>
    </w:lvl>
  </w:abstractNum>
  <w:abstractNum w:abstractNumId="6" w15:restartNumberingAfterBreak="0">
    <w:nsid w:val="54AF73E4"/>
    <w:multiLevelType w:val="multilevel"/>
    <w:tmpl w:val="7FB6E21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5E9B1A42"/>
    <w:multiLevelType w:val="hybridMultilevel"/>
    <w:tmpl w:val="DA1C2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D96B14"/>
    <w:multiLevelType w:val="multilevel"/>
    <w:tmpl w:val="720480D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706348BD"/>
    <w:multiLevelType w:val="hybridMultilevel"/>
    <w:tmpl w:val="91A27CAC"/>
    <w:lvl w:ilvl="0" w:tplc="12FA64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58824E2"/>
    <w:multiLevelType w:val="hybridMultilevel"/>
    <w:tmpl w:val="6658C52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323F82"/>
    <w:multiLevelType w:val="hybridMultilevel"/>
    <w:tmpl w:val="2782E9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7790581">
    <w:abstractNumId w:val="4"/>
  </w:num>
  <w:num w:numId="2" w16cid:durableId="1897205908">
    <w:abstractNumId w:val="2"/>
  </w:num>
  <w:num w:numId="3" w16cid:durableId="51780272">
    <w:abstractNumId w:val="10"/>
  </w:num>
  <w:num w:numId="4" w16cid:durableId="744954242">
    <w:abstractNumId w:val="5"/>
  </w:num>
  <w:num w:numId="5" w16cid:durableId="649677250">
    <w:abstractNumId w:val="11"/>
  </w:num>
  <w:num w:numId="6" w16cid:durableId="387457953">
    <w:abstractNumId w:val="0"/>
  </w:num>
  <w:num w:numId="7" w16cid:durableId="1584798320">
    <w:abstractNumId w:val="9"/>
  </w:num>
  <w:num w:numId="8" w16cid:durableId="1735928312">
    <w:abstractNumId w:val="3"/>
  </w:num>
  <w:num w:numId="9" w16cid:durableId="360014499">
    <w:abstractNumId w:val="6"/>
  </w:num>
  <w:num w:numId="10" w16cid:durableId="1333601848">
    <w:abstractNumId w:val="8"/>
  </w:num>
  <w:num w:numId="11" w16cid:durableId="2001960257">
    <w:abstractNumId w:val="7"/>
  </w:num>
  <w:num w:numId="12" w16cid:durableId="81686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E94"/>
    <w:rsid w:val="00424FE0"/>
    <w:rsid w:val="00506E94"/>
    <w:rsid w:val="00566292"/>
    <w:rsid w:val="005A3656"/>
    <w:rsid w:val="006F2301"/>
    <w:rsid w:val="00713F77"/>
    <w:rsid w:val="0076683C"/>
    <w:rsid w:val="007C0B8D"/>
    <w:rsid w:val="00917B20"/>
    <w:rsid w:val="009A354A"/>
    <w:rsid w:val="00DE4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F0619"/>
  <w15:chartTrackingRefBased/>
  <w15:docId w15:val="{00A8FDB6-C176-476A-B07B-6A752497B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24FE0"/>
    <w:rPr>
      <w:color w:val="0563C1" w:themeColor="hyperlink"/>
      <w:u w:val="single"/>
    </w:rPr>
  </w:style>
  <w:style w:type="paragraph" w:styleId="ListParagraph">
    <w:name w:val="List Paragraph"/>
    <w:basedOn w:val="Normal"/>
    <w:uiPriority w:val="34"/>
    <w:qFormat/>
    <w:rsid w:val="00917B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108/02610151011052816" TargetMode="External"/><Relationship Id="rId13" Type="http://schemas.openxmlformats.org/officeDocument/2006/relationships/hyperlink" Target="https://doi.org/10.5937/StraMan2104050D"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doi.org/10.5937/StraMan2103061D" TargetMode="External"/><Relationship Id="rId17" Type="http://schemas.openxmlformats.org/officeDocument/2006/relationships/hyperlink" Target="http://www.mcser.org/journal/index.php/jesr/article/viewFile/9155/8%20841" TargetMode="External"/><Relationship Id="rId2" Type="http://schemas.openxmlformats.org/officeDocument/2006/relationships/styles" Target="styles.xml"/><Relationship Id="rId16" Type="http://schemas.openxmlformats.org/officeDocument/2006/relationships/hyperlink" Target="https://doi.org/10.4102/sajhrm.v18i0.1421"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1177/0170840607088020" TargetMode="External"/><Relationship Id="rId5" Type="http://schemas.openxmlformats.org/officeDocument/2006/relationships/image" Target="media/image1.png"/><Relationship Id="rId15" Type="http://schemas.openxmlformats.org/officeDocument/2006/relationships/hyperlink" Target="http://www.ijern.com/journal/2014/November-2014/36.pdf" TargetMode="External"/><Relationship Id="rId10" Type="http://schemas.openxmlformats.org/officeDocument/2006/relationships/hyperlink" Target="https://doi.org/10.2478/hjbpa-2018-001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i.org/10.3928/01484834-20040501-07" TargetMode="External"/><Relationship Id="rId14" Type="http://schemas.openxmlformats.org/officeDocument/2006/relationships/hyperlink" Target="https://hdl.handle.net/10520/EJC-7169445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20</Pages>
  <Words>6502</Words>
  <Characters>37066</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daniel ogabela</dc:creator>
  <cp:keywords/>
  <dc:description/>
  <cp:lastModifiedBy>DELL</cp:lastModifiedBy>
  <cp:revision>3</cp:revision>
  <dcterms:created xsi:type="dcterms:W3CDTF">2025-04-13T20:33:00Z</dcterms:created>
  <dcterms:modified xsi:type="dcterms:W3CDTF">2025-05-17T12:12:00Z</dcterms:modified>
</cp:coreProperties>
</file>