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71BFB3" w14:textId="18BDB626" w:rsidR="004501BD" w:rsidRPr="004267E7" w:rsidRDefault="004267E7" w:rsidP="004501BD">
      <w:pPr>
        <w:spacing w:after="0"/>
        <w:jc w:val="center"/>
        <w:rPr>
          <w:rFonts w:ascii="Times New Roman" w:hAnsi="Times New Roman"/>
          <w:b/>
          <w:color w:val="4472C4" w:themeColor="accent1"/>
          <w:sz w:val="28"/>
          <w:szCs w:val="28"/>
        </w:rPr>
      </w:pPr>
      <w:r w:rsidRPr="004267E7">
        <w:rPr>
          <w:rFonts w:ascii="Times New Roman" w:hAnsi="Times New Roman"/>
          <w:b/>
          <w:color w:val="4472C4" w:themeColor="accent1"/>
          <w:sz w:val="28"/>
          <w:szCs w:val="28"/>
        </w:rPr>
        <w:t>FINANCIAL DEVELOPMENT INDICATORS AND ECONOMIC GROWTH IN NIGERIA</w:t>
      </w:r>
    </w:p>
    <w:p w14:paraId="33D41B8E" w14:textId="12B8675D" w:rsidR="004501BD" w:rsidRPr="00EE0D18" w:rsidRDefault="004267E7" w:rsidP="004501BD">
      <w:pPr>
        <w:spacing w:after="0"/>
        <w:jc w:val="center"/>
        <w:rPr>
          <w:rFonts w:ascii="Times New Roman" w:hAnsi="Times New Roman"/>
          <w:b/>
          <w:sz w:val="24"/>
          <w:szCs w:val="24"/>
        </w:rPr>
      </w:pPr>
      <w:r>
        <w:rPr>
          <w:rFonts w:ascii="Times New Roman" w:hAnsi="Times New Roman"/>
          <w:b/>
          <w:sz w:val="24"/>
          <w:szCs w:val="24"/>
        </w:rPr>
        <w:t>BY</w:t>
      </w:r>
    </w:p>
    <w:p w14:paraId="0AECE287" w14:textId="2A83FEBD" w:rsidR="004501BD" w:rsidRDefault="004267E7" w:rsidP="00DB4E00">
      <w:pPr>
        <w:spacing w:after="0"/>
        <w:jc w:val="center"/>
        <w:rPr>
          <w:rFonts w:ascii="Times New Roman" w:hAnsi="Times New Roman"/>
          <w:b/>
          <w:sz w:val="24"/>
          <w:szCs w:val="24"/>
        </w:rPr>
      </w:pPr>
      <w:r w:rsidRPr="00EE0D18">
        <w:rPr>
          <w:rFonts w:ascii="Times New Roman" w:hAnsi="Times New Roman"/>
          <w:b/>
          <w:sz w:val="24"/>
          <w:szCs w:val="24"/>
          <w:vertAlign w:val="superscript"/>
        </w:rPr>
        <w:t>1</w:t>
      </w:r>
      <w:r w:rsidRPr="00EE0D18">
        <w:rPr>
          <w:rFonts w:ascii="Times New Roman" w:hAnsi="Times New Roman"/>
          <w:b/>
          <w:sz w:val="24"/>
          <w:szCs w:val="24"/>
        </w:rPr>
        <w:t xml:space="preserve">YUA PAUL MKUMA, </w:t>
      </w:r>
      <w:r w:rsidRPr="00EE0D18">
        <w:rPr>
          <w:rFonts w:ascii="Times New Roman" w:hAnsi="Times New Roman"/>
          <w:b/>
          <w:sz w:val="24"/>
          <w:szCs w:val="24"/>
          <w:vertAlign w:val="superscript"/>
        </w:rPr>
        <w:t>2</w:t>
      </w:r>
      <w:r w:rsidRPr="00EE0D18">
        <w:rPr>
          <w:rFonts w:ascii="Times New Roman" w:hAnsi="Times New Roman"/>
          <w:b/>
          <w:sz w:val="24"/>
          <w:szCs w:val="24"/>
        </w:rPr>
        <w:t xml:space="preserve">YUA HENRY AND </w:t>
      </w:r>
      <w:r w:rsidRPr="00542C01">
        <w:rPr>
          <w:rFonts w:ascii="Times New Roman" w:hAnsi="Times New Roman"/>
          <w:b/>
          <w:sz w:val="24"/>
          <w:szCs w:val="24"/>
        </w:rPr>
        <w:t>TEMITOPE ABIODUN OJ</w:t>
      </w:r>
      <w:r>
        <w:rPr>
          <w:rFonts w:ascii="Times New Roman" w:hAnsi="Times New Roman"/>
          <w:b/>
          <w:sz w:val="24"/>
          <w:szCs w:val="24"/>
        </w:rPr>
        <w:t>E</w:t>
      </w:r>
    </w:p>
    <w:p w14:paraId="6F84D54E" w14:textId="24D06C0F" w:rsidR="00FE7764" w:rsidRPr="004267E7" w:rsidRDefault="00542C01" w:rsidP="004267E7">
      <w:pPr>
        <w:spacing w:after="0"/>
        <w:rPr>
          <w:rFonts w:ascii="Times New Roman" w:hAnsi="Times New Roman"/>
          <w:bCs/>
          <w:i/>
          <w:iCs/>
          <w:sz w:val="24"/>
          <w:szCs w:val="24"/>
        </w:rPr>
      </w:pPr>
      <w:r w:rsidRPr="004267E7">
        <w:rPr>
          <w:rFonts w:ascii="Times New Roman" w:hAnsi="Times New Roman"/>
          <w:bCs/>
          <w:i/>
          <w:iCs/>
          <w:sz w:val="24"/>
          <w:szCs w:val="24"/>
          <w:vertAlign w:val="superscript"/>
        </w:rPr>
        <w:t>1</w:t>
      </w:r>
      <w:r w:rsidRPr="004267E7">
        <w:rPr>
          <w:rFonts w:ascii="Times New Roman" w:hAnsi="Times New Roman"/>
          <w:bCs/>
          <w:i/>
          <w:iCs/>
          <w:sz w:val="24"/>
          <w:szCs w:val="24"/>
        </w:rPr>
        <w:t>Banking and Finance Department, Nmandi Azikiwe University, Awka Anambra State, Nigeria</w:t>
      </w:r>
      <w:r w:rsidR="00FE7764" w:rsidRPr="004267E7">
        <w:rPr>
          <w:rFonts w:ascii="Times New Roman" w:hAnsi="Times New Roman"/>
          <w:bCs/>
          <w:i/>
          <w:iCs/>
          <w:sz w:val="24"/>
          <w:szCs w:val="24"/>
        </w:rPr>
        <w:t xml:space="preserve"> </w:t>
      </w:r>
    </w:p>
    <w:p w14:paraId="24A00D23" w14:textId="049465F2" w:rsidR="00542C01" w:rsidRPr="004267E7" w:rsidRDefault="00FE7764" w:rsidP="004267E7">
      <w:pPr>
        <w:spacing w:after="0"/>
        <w:rPr>
          <w:rFonts w:ascii="Times New Roman" w:hAnsi="Times New Roman"/>
          <w:bCs/>
          <w:i/>
          <w:iCs/>
          <w:sz w:val="24"/>
          <w:szCs w:val="24"/>
        </w:rPr>
      </w:pPr>
      <w:r w:rsidRPr="004267E7">
        <w:rPr>
          <w:rFonts w:ascii="Times New Roman" w:hAnsi="Times New Roman"/>
          <w:bCs/>
          <w:i/>
          <w:iCs/>
          <w:sz w:val="24"/>
          <w:szCs w:val="24"/>
          <w:vertAlign w:val="superscript"/>
        </w:rPr>
        <w:t>2</w:t>
      </w:r>
      <w:r w:rsidR="00542C01" w:rsidRPr="004267E7">
        <w:rPr>
          <w:rFonts w:ascii="Times New Roman" w:hAnsi="Times New Roman"/>
          <w:bCs/>
          <w:i/>
          <w:iCs/>
          <w:sz w:val="24"/>
          <w:szCs w:val="24"/>
        </w:rPr>
        <w:t>Department of Banking and Finance, Federal Polytechnic Wannune</w:t>
      </w:r>
    </w:p>
    <w:p w14:paraId="396F00F9" w14:textId="4DFC003D" w:rsidR="00542C01" w:rsidRPr="004267E7" w:rsidRDefault="00542C01" w:rsidP="004267E7">
      <w:pPr>
        <w:spacing w:after="0"/>
        <w:rPr>
          <w:rFonts w:ascii="Times New Roman" w:hAnsi="Times New Roman"/>
          <w:bCs/>
          <w:i/>
          <w:iCs/>
          <w:sz w:val="24"/>
          <w:szCs w:val="24"/>
        </w:rPr>
      </w:pPr>
      <w:r w:rsidRPr="004267E7">
        <w:rPr>
          <w:rFonts w:ascii="Times New Roman" w:hAnsi="Times New Roman"/>
          <w:bCs/>
          <w:i/>
          <w:iCs/>
          <w:sz w:val="24"/>
          <w:szCs w:val="24"/>
          <w:vertAlign w:val="superscript"/>
        </w:rPr>
        <w:t>3</w:t>
      </w:r>
      <w:r w:rsidRPr="004267E7">
        <w:rPr>
          <w:rFonts w:ascii="Times New Roman" w:hAnsi="Times New Roman"/>
          <w:bCs/>
          <w:i/>
          <w:iCs/>
          <w:sz w:val="24"/>
          <w:szCs w:val="24"/>
        </w:rPr>
        <w:t>Scholar, College of Business and Leadership, Eastern University, St Davids, Pennsylvania</w:t>
      </w:r>
    </w:p>
    <w:p w14:paraId="57A1FD40" w14:textId="7C7D58F6" w:rsidR="004267E7" w:rsidRDefault="004267E7" w:rsidP="004267E7">
      <w:pPr>
        <w:spacing w:after="0"/>
        <w:jc w:val="center"/>
        <w:rPr>
          <w:rFonts w:ascii="Times New Roman" w:hAnsi="Times New Roman"/>
          <w:bCs/>
          <w:sz w:val="24"/>
          <w:szCs w:val="24"/>
        </w:rPr>
      </w:pPr>
    </w:p>
    <w:p w14:paraId="6FCAD7F7" w14:textId="06B66105" w:rsidR="004267E7" w:rsidRPr="004267E7" w:rsidRDefault="004267E7" w:rsidP="004267E7">
      <w:pPr>
        <w:spacing w:after="0"/>
        <w:jc w:val="center"/>
        <w:rPr>
          <w:rFonts w:ascii="Times New Roman" w:hAnsi="Times New Roman"/>
          <w:b/>
          <w:color w:val="4472C4" w:themeColor="accent1"/>
          <w:sz w:val="24"/>
          <w:szCs w:val="24"/>
        </w:rPr>
      </w:pPr>
      <w:bookmarkStart w:id="0" w:name="_Hlk207335078"/>
      <w:r w:rsidRPr="004267E7">
        <w:rPr>
          <w:rFonts w:ascii="Times New Roman" w:hAnsi="Times New Roman"/>
          <w:b/>
          <w:color w:val="4472C4" w:themeColor="accent1"/>
          <w:sz w:val="24"/>
          <w:szCs w:val="24"/>
        </w:rPr>
        <w:t>CORRESPONDING AUTHOR</w:t>
      </w:r>
    </w:p>
    <w:p w14:paraId="1DB4BC6F" w14:textId="6FD18B9E" w:rsidR="004267E7" w:rsidRDefault="004267E7" w:rsidP="004267E7">
      <w:pPr>
        <w:spacing w:after="0"/>
        <w:jc w:val="center"/>
        <w:rPr>
          <w:rFonts w:ascii="Times New Roman" w:hAnsi="Times New Roman"/>
          <w:b/>
          <w:sz w:val="24"/>
          <w:szCs w:val="24"/>
        </w:rPr>
      </w:pPr>
      <w:r w:rsidRPr="00EE0D18">
        <w:rPr>
          <w:rFonts w:ascii="Times New Roman" w:hAnsi="Times New Roman"/>
          <w:b/>
          <w:sz w:val="24"/>
          <w:szCs w:val="24"/>
        </w:rPr>
        <w:t>YUA HENRY</w:t>
      </w:r>
    </w:p>
    <w:p w14:paraId="3BCB4D2C" w14:textId="77777777" w:rsidR="004267E7" w:rsidRDefault="004267E7" w:rsidP="004267E7">
      <w:pPr>
        <w:spacing w:after="0"/>
        <w:jc w:val="center"/>
        <w:rPr>
          <w:rFonts w:ascii="Times New Roman" w:hAnsi="Times New Roman"/>
          <w:bCs/>
          <w:sz w:val="24"/>
          <w:szCs w:val="24"/>
        </w:rPr>
      </w:pPr>
      <w:r w:rsidRPr="00542C01">
        <w:rPr>
          <w:rFonts w:ascii="Times New Roman" w:hAnsi="Times New Roman"/>
          <w:bCs/>
          <w:sz w:val="24"/>
          <w:szCs w:val="24"/>
        </w:rPr>
        <w:t xml:space="preserve">Department of Banking and Finance, </w:t>
      </w:r>
    </w:p>
    <w:p w14:paraId="2B72418D" w14:textId="504A4008" w:rsidR="004267E7" w:rsidRDefault="004267E7" w:rsidP="004267E7">
      <w:pPr>
        <w:spacing w:after="0"/>
        <w:jc w:val="center"/>
        <w:rPr>
          <w:rFonts w:ascii="Times New Roman" w:hAnsi="Times New Roman"/>
          <w:bCs/>
          <w:sz w:val="24"/>
          <w:szCs w:val="24"/>
        </w:rPr>
      </w:pPr>
      <w:r w:rsidRPr="00542C01">
        <w:rPr>
          <w:rFonts w:ascii="Times New Roman" w:hAnsi="Times New Roman"/>
          <w:bCs/>
          <w:sz w:val="24"/>
          <w:szCs w:val="24"/>
        </w:rPr>
        <w:t>Federal Polytechnic</w:t>
      </w:r>
      <w:r>
        <w:rPr>
          <w:rFonts w:ascii="Times New Roman" w:hAnsi="Times New Roman"/>
          <w:bCs/>
          <w:sz w:val="24"/>
          <w:szCs w:val="24"/>
        </w:rPr>
        <w:t>,</w:t>
      </w:r>
      <w:r w:rsidRPr="00542C01">
        <w:rPr>
          <w:rFonts w:ascii="Times New Roman" w:hAnsi="Times New Roman"/>
          <w:bCs/>
          <w:sz w:val="24"/>
          <w:szCs w:val="24"/>
        </w:rPr>
        <w:t xml:space="preserve"> Wannune</w:t>
      </w:r>
    </w:p>
    <w:p w14:paraId="4B875B22" w14:textId="6BB2E235" w:rsidR="004267E7" w:rsidRPr="00542C01" w:rsidRDefault="004267E7" w:rsidP="004267E7">
      <w:pPr>
        <w:spacing w:after="0"/>
        <w:jc w:val="center"/>
        <w:rPr>
          <w:rFonts w:ascii="Times New Roman" w:hAnsi="Times New Roman"/>
          <w:bCs/>
          <w:sz w:val="24"/>
          <w:szCs w:val="24"/>
        </w:rPr>
      </w:pPr>
      <w:r>
        <w:rPr>
          <w:rFonts w:ascii="Times New Roman" w:hAnsi="Times New Roman"/>
          <w:bCs/>
          <w:sz w:val="24"/>
          <w:szCs w:val="24"/>
        </w:rPr>
        <w:t>Benue State. Nigeria</w:t>
      </w:r>
    </w:p>
    <w:bookmarkEnd w:id="0"/>
    <w:p w14:paraId="7B51370F" w14:textId="77777777" w:rsidR="00542C01" w:rsidRPr="00542C01" w:rsidRDefault="00542C01" w:rsidP="00DB4E00">
      <w:pPr>
        <w:spacing w:after="0"/>
        <w:jc w:val="center"/>
        <w:rPr>
          <w:rFonts w:ascii="Times New Roman" w:hAnsi="Times New Roman"/>
          <w:bCs/>
          <w:sz w:val="24"/>
          <w:szCs w:val="24"/>
        </w:rPr>
      </w:pPr>
    </w:p>
    <w:p w14:paraId="4AE1A3DB" w14:textId="3F759626" w:rsidR="004267E7" w:rsidRDefault="00727298" w:rsidP="004267E7">
      <w:pPr>
        <w:spacing w:after="0"/>
        <w:rPr>
          <w:rFonts w:ascii="Times New Roman" w:hAnsi="Times New Roman"/>
          <w:b/>
          <w:sz w:val="24"/>
          <w:szCs w:val="24"/>
        </w:rPr>
      </w:pPr>
      <w:r w:rsidRPr="00BD3DED">
        <w:rPr>
          <w:rFonts w:ascii="Times New Roman" w:hAnsi="Times New Roman"/>
          <w:b/>
          <w:sz w:val="24"/>
          <w:szCs w:val="24"/>
        </w:rPr>
        <w:t>ABSTRACT</w:t>
      </w:r>
    </w:p>
    <w:p w14:paraId="3CBAFE07" w14:textId="489D0550" w:rsidR="00727298" w:rsidRPr="004267E7" w:rsidRDefault="00727298" w:rsidP="004267E7">
      <w:pPr>
        <w:spacing w:after="0"/>
        <w:rPr>
          <w:rFonts w:ascii="Times New Roman" w:hAnsi="Times New Roman"/>
          <w:b/>
          <w:bCs/>
          <w:i/>
          <w:sz w:val="24"/>
          <w:szCs w:val="24"/>
          <w:lang w:val="en-GB"/>
        </w:rPr>
      </w:pPr>
      <w:r w:rsidRPr="004267E7">
        <w:rPr>
          <w:rFonts w:ascii="Times New Roman" w:hAnsi="Times New Roman"/>
          <w:b/>
          <w:bCs/>
          <w:i/>
          <w:sz w:val="24"/>
          <w:szCs w:val="24"/>
          <w:lang w:val="en-GB"/>
        </w:rPr>
        <w:t>This study examined the causal relationship between selected financial development indicators and economic growth in Nigeria. The motivation behind the study is to contribute to the debate whether financial development leads economic growth or is the reverse in Nigeria and also close the gap in literature on the near consensus that financial development was one of supply leading, demand following or bidirectional. Specifically, the study analysed</w:t>
      </w:r>
      <w:r w:rsidRPr="004267E7">
        <w:rPr>
          <w:rFonts w:ascii="Times New Roman" w:hAnsi="Times New Roman"/>
          <w:b/>
          <w:bCs/>
          <w:i/>
          <w:sz w:val="24"/>
          <w:szCs w:val="24"/>
        </w:rPr>
        <w:t xml:space="preserve"> the causation between ratio of money supply to GDP (M</w:t>
      </w:r>
      <w:r w:rsidRPr="004267E7">
        <w:rPr>
          <w:rFonts w:ascii="Times New Roman" w:hAnsi="Times New Roman"/>
          <w:b/>
          <w:bCs/>
          <w:i/>
          <w:sz w:val="24"/>
          <w:szCs w:val="24"/>
          <w:vertAlign w:val="subscript"/>
        </w:rPr>
        <w:t>2</w:t>
      </w:r>
      <w:r w:rsidRPr="004267E7">
        <w:rPr>
          <w:rFonts w:ascii="Times New Roman" w:hAnsi="Times New Roman"/>
          <w:b/>
          <w:bCs/>
          <w:i/>
          <w:sz w:val="24"/>
          <w:szCs w:val="24"/>
        </w:rPr>
        <w:t xml:space="preserve">/GDP), ratio of private debt to total debt securities (P/TDS), lending-deposit spread (LDS), liquidity ratio (LR) and stock market returns (SMR) against economic growth. Secondary data were sourced from the Central Bank of Nigeria Statistical Bulletin. The data were checked for unit root and diagnosed for serial correlation, heteroskedasticity, and stability. The data were also </w:t>
      </w:r>
      <w:r w:rsidRPr="004267E7">
        <w:rPr>
          <w:rFonts w:ascii="Times New Roman" w:hAnsi="Times New Roman"/>
          <w:b/>
          <w:bCs/>
          <w:i/>
          <w:sz w:val="24"/>
          <w:szCs w:val="24"/>
          <w:lang w:val="en-GB"/>
        </w:rPr>
        <w:t xml:space="preserve">subjected to </w:t>
      </w:r>
      <w:r w:rsidRPr="004267E7">
        <w:rPr>
          <w:rFonts w:ascii="Times New Roman" w:hAnsi="Times New Roman"/>
          <w:b/>
          <w:bCs/>
          <w:i/>
          <w:kern w:val="16"/>
          <w:sz w:val="24"/>
          <w:szCs w:val="24"/>
        </w:rPr>
        <w:t>E-GARCH, Johansen Cointegration, vector error correction model, and Granger causality tests</w:t>
      </w:r>
      <w:r w:rsidRPr="004267E7">
        <w:rPr>
          <w:rFonts w:ascii="Times New Roman" w:hAnsi="Times New Roman"/>
          <w:b/>
          <w:bCs/>
          <w:i/>
          <w:sz w:val="24"/>
          <w:szCs w:val="24"/>
          <w:lang w:val="en-GB"/>
        </w:rPr>
        <w:t>.</w:t>
      </w:r>
      <w:r w:rsidR="00FE7764" w:rsidRPr="004267E7">
        <w:rPr>
          <w:rFonts w:ascii="Times New Roman" w:hAnsi="Times New Roman"/>
          <w:b/>
          <w:bCs/>
          <w:i/>
          <w:sz w:val="24"/>
          <w:szCs w:val="24"/>
          <w:lang w:val="en-GB"/>
        </w:rPr>
        <w:t xml:space="preserve"> </w:t>
      </w:r>
      <w:r w:rsidRPr="004267E7">
        <w:rPr>
          <w:rFonts w:ascii="Times New Roman" w:hAnsi="Times New Roman"/>
          <w:b/>
          <w:bCs/>
          <w:i/>
          <w:sz w:val="24"/>
          <w:szCs w:val="24"/>
          <w:lang w:val="en-GB"/>
        </w:rPr>
        <w:t xml:space="preserve">The study found bidirectional causation between financial development and economic growth when </w:t>
      </w:r>
      <w:r w:rsidRPr="004267E7">
        <w:rPr>
          <w:rFonts w:ascii="Times New Roman" w:hAnsi="Times New Roman"/>
          <w:b/>
          <w:bCs/>
          <w:i/>
          <w:sz w:val="24"/>
          <w:szCs w:val="24"/>
        </w:rPr>
        <w:t>ratio of money supply to GDP (M</w:t>
      </w:r>
      <w:r w:rsidRPr="004267E7">
        <w:rPr>
          <w:rFonts w:ascii="Times New Roman" w:hAnsi="Times New Roman"/>
          <w:b/>
          <w:bCs/>
          <w:i/>
          <w:sz w:val="24"/>
          <w:szCs w:val="24"/>
          <w:vertAlign w:val="subscript"/>
        </w:rPr>
        <w:t>2</w:t>
      </w:r>
      <w:r w:rsidRPr="004267E7">
        <w:rPr>
          <w:rFonts w:ascii="Times New Roman" w:hAnsi="Times New Roman"/>
          <w:b/>
          <w:bCs/>
          <w:i/>
          <w:sz w:val="24"/>
          <w:szCs w:val="24"/>
        </w:rPr>
        <w:t>/GDP) was applied. It also found that financial development leads economic growth using lending-deposit spread (LDS) and liquidity ratio (LR) while economic growth leads financial development when ratio of private debt to total debt securities (P/TDS) and stock market returns (SMR) was used</w:t>
      </w:r>
      <w:r w:rsidRPr="004267E7">
        <w:rPr>
          <w:rFonts w:ascii="Times New Roman" w:hAnsi="Times New Roman"/>
          <w:b/>
          <w:bCs/>
          <w:i/>
          <w:sz w:val="24"/>
          <w:szCs w:val="24"/>
          <w:lang w:val="en-GB"/>
        </w:rPr>
        <w:t xml:space="preserve"> thus providing </w:t>
      </w:r>
      <w:r w:rsidRPr="004267E7">
        <w:rPr>
          <w:rFonts w:ascii="Times New Roman" w:hAnsi="Times New Roman"/>
          <w:b/>
          <w:bCs/>
          <w:i/>
          <w:sz w:val="24"/>
          <w:szCs w:val="24"/>
        </w:rPr>
        <w:t xml:space="preserve">evidence to support supply-leading hypothesis, demand-following hypothesis and bidirectional relationships between the variables. The </w:t>
      </w:r>
      <w:r w:rsidRPr="004267E7">
        <w:rPr>
          <w:rFonts w:ascii="Times New Roman" w:hAnsi="Times New Roman"/>
          <w:b/>
          <w:bCs/>
          <w:i/>
          <w:sz w:val="24"/>
          <w:szCs w:val="24"/>
          <w:lang w:val="en-GB"/>
        </w:rPr>
        <w:t xml:space="preserve">study therefore concludes </w:t>
      </w:r>
      <w:r w:rsidRPr="004267E7">
        <w:rPr>
          <w:rFonts w:ascii="Times New Roman" w:hAnsi="Times New Roman"/>
          <w:b/>
          <w:bCs/>
          <w:i/>
          <w:sz w:val="24"/>
          <w:szCs w:val="24"/>
        </w:rPr>
        <w:t>that financial development exhibits unidirectional and bi-directional causality all at the same time depending on the variable under consideration</w:t>
      </w:r>
      <w:r w:rsidRPr="004267E7">
        <w:rPr>
          <w:rFonts w:ascii="Times New Roman" w:hAnsi="Times New Roman"/>
          <w:b/>
          <w:bCs/>
          <w:i/>
          <w:sz w:val="24"/>
          <w:szCs w:val="24"/>
          <w:lang w:val="en-GB"/>
        </w:rPr>
        <w:t>. Thus, the study recommends among others financial sector reforms that engender financial access, real sector growth, sound corporate governance and ease of doing business in Nigeria.</w:t>
      </w:r>
    </w:p>
    <w:p w14:paraId="6CB03A17" w14:textId="77777777" w:rsidR="003F12D0" w:rsidRPr="00FE7764" w:rsidRDefault="003F12D0" w:rsidP="004D3A7F">
      <w:pPr>
        <w:spacing w:after="0"/>
        <w:jc w:val="both"/>
        <w:rPr>
          <w:rFonts w:ascii="Times New Roman" w:eastAsia="Times New Roman" w:hAnsi="Times New Roman"/>
          <w:b/>
          <w:bCs/>
          <w:sz w:val="24"/>
          <w:szCs w:val="24"/>
        </w:rPr>
      </w:pPr>
      <w:r w:rsidRPr="00FE7764">
        <w:rPr>
          <w:rFonts w:ascii="Times New Roman" w:hAnsi="Times New Roman"/>
          <w:b/>
          <w:bCs/>
          <w:sz w:val="24"/>
          <w:szCs w:val="24"/>
          <w:lang w:val="en-GB"/>
        </w:rPr>
        <w:t xml:space="preserve">Key words: </w:t>
      </w:r>
      <w:r w:rsidRPr="00FE7764">
        <w:rPr>
          <w:rFonts w:ascii="Times New Roman" w:eastAsia="Times New Roman" w:hAnsi="Times New Roman"/>
          <w:b/>
          <w:bCs/>
          <w:sz w:val="24"/>
          <w:szCs w:val="24"/>
        </w:rPr>
        <w:t xml:space="preserve">Bidirectional causality, </w:t>
      </w:r>
      <w:r w:rsidR="00C379F7" w:rsidRPr="00FE7764">
        <w:rPr>
          <w:rFonts w:ascii="Times New Roman" w:eastAsia="Times New Roman" w:hAnsi="Times New Roman"/>
          <w:b/>
          <w:bCs/>
          <w:sz w:val="24"/>
          <w:szCs w:val="24"/>
        </w:rPr>
        <w:t>d</w:t>
      </w:r>
      <w:r w:rsidRPr="00FE7764">
        <w:rPr>
          <w:rFonts w:ascii="Times New Roman" w:eastAsia="Times New Roman" w:hAnsi="Times New Roman"/>
          <w:b/>
          <w:bCs/>
          <w:sz w:val="24"/>
          <w:szCs w:val="24"/>
        </w:rPr>
        <w:t xml:space="preserve">emand-following hypothesis, </w:t>
      </w:r>
      <w:r w:rsidR="00C379F7" w:rsidRPr="00FE7764">
        <w:rPr>
          <w:rFonts w:ascii="Times New Roman" w:eastAsia="Times New Roman" w:hAnsi="Times New Roman"/>
          <w:b/>
          <w:bCs/>
          <w:sz w:val="24"/>
          <w:szCs w:val="24"/>
        </w:rPr>
        <w:t>financial</w:t>
      </w:r>
      <w:r w:rsidRPr="00FE7764">
        <w:rPr>
          <w:rFonts w:ascii="Times New Roman" w:eastAsia="Times New Roman" w:hAnsi="Times New Roman"/>
          <w:b/>
          <w:bCs/>
          <w:sz w:val="24"/>
          <w:szCs w:val="24"/>
        </w:rPr>
        <w:t xml:space="preserve"> development,</w:t>
      </w:r>
    </w:p>
    <w:p w14:paraId="3FB1859B" w14:textId="77777777" w:rsidR="003F12D0" w:rsidRPr="00FE7764" w:rsidRDefault="003F12D0" w:rsidP="004D3A7F">
      <w:pPr>
        <w:spacing w:after="0"/>
        <w:ind w:left="720"/>
        <w:jc w:val="both"/>
        <w:rPr>
          <w:rFonts w:ascii="Times New Roman" w:hAnsi="Times New Roman"/>
          <w:b/>
          <w:bCs/>
          <w:sz w:val="24"/>
          <w:szCs w:val="24"/>
        </w:rPr>
      </w:pPr>
      <w:r w:rsidRPr="00FE7764">
        <w:rPr>
          <w:rFonts w:ascii="Times New Roman" w:eastAsia="Times New Roman" w:hAnsi="Times New Roman"/>
          <w:b/>
          <w:bCs/>
          <w:sz w:val="24"/>
          <w:szCs w:val="24"/>
        </w:rPr>
        <w:t xml:space="preserve"> </w:t>
      </w:r>
      <w:r w:rsidR="00C379F7" w:rsidRPr="00FE7764">
        <w:rPr>
          <w:rFonts w:ascii="Times New Roman" w:eastAsia="Times New Roman" w:hAnsi="Times New Roman"/>
          <w:b/>
          <w:bCs/>
          <w:sz w:val="24"/>
          <w:szCs w:val="24"/>
        </w:rPr>
        <w:t>s</w:t>
      </w:r>
      <w:r w:rsidRPr="00FE7764">
        <w:rPr>
          <w:rFonts w:ascii="Times New Roman" w:eastAsia="Times New Roman" w:hAnsi="Times New Roman"/>
          <w:b/>
          <w:bCs/>
          <w:sz w:val="24"/>
          <w:szCs w:val="24"/>
        </w:rPr>
        <w:t>upply-leading hypothesis</w:t>
      </w:r>
    </w:p>
    <w:p w14:paraId="185F71E3" w14:textId="77777777" w:rsidR="00AE2CDA" w:rsidRDefault="00AE2CDA" w:rsidP="004D3A7F">
      <w:pPr>
        <w:pStyle w:val="ListParagraph"/>
        <w:spacing w:after="0" w:line="240" w:lineRule="auto"/>
        <w:ind w:firstLine="720"/>
        <w:jc w:val="both"/>
        <w:rPr>
          <w:rFonts w:ascii="Times New Roman" w:hAnsi="Times New Roman"/>
          <w:b/>
          <w:sz w:val="24"/>
          <w:szCs w:val="24"/>
        </w:rPr>
      </w:pPr>
    </w:p>
    <w:p w14:paraId="5E95DE7E" w14:textId="77777777" w:rsidR="004267E7" w:rsidRDefault="004267E7" w:rsidP="004267E7">
      <w:pPr>
        <w:spacing w:after="0" w:line="240" w:lineRule="auto"/>
        <w:jc w:val="both"/>
        <w:rPr>
          <w:rFonts w:ascii="Times New Roman" w:hAnsi="Times New Roman"/>
          <w:b/>
          <w:sz w:val="24"/>
          <w:szCs w:val="24"/>
        </w:rPr>
      </w:pPr>
    </w:p>
    <w:p w14:paraId="36857326" w14:textId="77777777" w:rsidR="004267E7" w:rsidRDefault="004267E7" w:rsidP="004267E7">
      <w:pPr>
        <w:spacing w:after="0" w:line="240" w:lineRule="auto"/>
        <w:jc w:val="both"/>
        <w:rPr>
          <w:rFonts w:ascii="Times New Roman" w:hAnsi="Times New Roman"/>
          <w:b/>
          <w:sz w:val="24"/>
          <w:szCs w:val="24"/>
        </w:rPr>
        <w:sectPr w:rsidR="004267E7" w:rsidSect="004267E7">
          <w:pgSz w:w="12240" w:h="15840"/>
          <w:pgMar w:top="1135" w:right="1440" w:bottom="1440" w:left="1440" w:header="720" w:footer="720" w:gutter="0"/>
          <w:cols w:space="720"/>
          <w:docGrid w:linePitch="360"/>
        </w:sectPr>
      </w:pPr>
    </w:p>
    <w:p w14:paraId="20A0DE7E" w14:textId="441E6F05" w:rsidR="00AE2CDA" w:rsidRPr="004267E7" w:rsidRDefault="00DA6EBA" w:rsidP="004267E7">
      <w:pPr>
        <w:spacing w:after="0" w:line="240" w:lineRule="auto"/>
        <w:jc w:val="both"/>
        <w:rPr>
          <w:rFonts w:ascii="Times New Roman" w:hAnsi="Times New Roman"/>
          <w:b/>
          <w:sz w:val="24"/>
          <w:szCs w:val="24"/>
        </w:rPr>
      </w:pPr>
      <w:r w:rsidRPr="004267E7">
        <w:rPr>
          <w:rFonts w:ascii="Times New Roman" w:hAnsi="Times New Roman"/>
          <w:b/>
          <w:sz w:val="24"/>
          <w:szCs w:val="24"/>
        </w:rPr>
        <w:lastRenderedPageBreak/>
        <w:t>INTRODUCTION</w:t>
      </w:r>
    </w:p>
    <w:p w14:paraId="5684571F" w14:textId="10BEF0E1" w:rsidR="00AE2CDA" w:rsidRPr="004267E7" w:rsidRDefault="0034770F" w:rsidP="00B47A1A">
      <w:pPr>
        <w:spacing w:line="240" w:lineRule="auto"/>
        <w:rPr>
          <w:rFonts w:ascii="Times New Roman" w:hAnsi="Times New Roman"/>
          <w:sz w:val="24"/>
          <w:szCs w:val="24"/>
        </w:rPr>
      </w:pPr>
      <w:r w:rsidRPr="004267E7">
        <w:rPr>
          <w:rFonts w:ascii="Times New Roman" w:hAnsi="Times New Roman"/>
          <w:sz w:val="24"/>
          <w:szCs w:val="24"/>
        </w:rPr>
        <w:t xml:space="preserve">Financial sector development significantly influences economic growth by improving the quality and quantity of financial services. It improves investment information, corporate governance, trading, diversification, risk management, savings mobilization, and facilitates trade. </w:t>
      </w:r>
      <w:r w:rsidR="00FE7764" w:rsidRPr="004267E7">
        <w:rPr>
          <w:rFonts w:ascii="Times New Roman" w:hAnsi="Times New Roman"/>
          <w:sz w:val="24"/>
          <w:szCs w:val="24"/>
        </w:rPr>
        <w:t xml:space="preserve">It </w:t>
      </w:r>
      <w:r w:rsidRPr="004267E7">
        <w:rPr>
          <w:rFonts w:ascii="Times New Roman" w:hAnsi="Times New Roman"/>
          <w:sz w:val="24"/>
          <w:szCs w:val="24"/>
        </w:rPr>
        <w:t xml:space="preserve">also promotes technological innovation, enhancing productivity and efficient resource allocation, </w:t>
      </w:r>
      <w:r w:rsidR="00240861" w:rsidRPr="004267E7">
        <w:rPr>
          <w:rFonts w:ascii="Times New Roman" w:hAnsi="Times New Roman"/>
          <w:sz w:val="24"/>
          <w:szCs w:val="24"/>
        </w:rPr>
        <w:t xml:space="preserve">(King &amp; Levine, 1993; Levine, Loayza, &amp; Beck, 2000) </w:t>
      </w:r>
    </w:p>
    <w:p w14:paraId="2E0F27D0" w14:textId="77777777" w:rsidR="008A2FA8" w:rsidRPr="004267E7" w:rsidRDefault="0034770F" w:rsidP="00B47A1A">
      <w:pPr>
        <w:spacing w:line="240" w:lineRule="auto"/>
        <w:rPr>
          <w:rFonts w:ascii="Times New Roman" w:eastAsia="Times New Roman" w:hAnsi="Times New Roman"/>
          <w:sz w:val="24"/>
          <w:szCs w:val="24"/>
        </w:rPr>
      </w:pPr>
      <w:r w:rsidRPr="004267E7">
        <w:rPr>
          <w:rFonts w:ascii="Times New Roman" w:hAnsi="Times New Roman"/>
          <w:sz w:val="24"/>
          <w:szCs w:val="24"/>
        </w:rPr>
        <w:t xml:space="preserve">The banking system provides debt and finance to investors and governments, while the stock market offers equity and direct finance. Stock market performance, measured by indexes, is a key indicator of a country's economic strength and development, </w:t>
      </w:r>
      <w:r w:rsidR="00240861" w:rsidRPr="004267E7">
        <w:rPr>
          <w:rFonts w:ascii="Times New Roman" w:hAnsi="Times New Roman"/>
          <w:sz w:val="24"/>
          <w:szCs w:val="24"/>
        </w:rPr>
        <w:t>(Adjasi &amp; Biekpe, 2006; Emenuga, 1997</w:t>
      </w:r>
      <w:r w:rsidR="00AB1022" w:rsidRPr="004267E7">
        <w:rPr>
          <w:rFonts w:ascii="Times New Roman" w:hAnsi="Times New Roman"/>
          <w:sz w:val="24"/>
          <w:szCs w:val="24"/>
        </w:rPr>
        <w:t xml:space="preserve">, </w:t>
      </w:r>
      <w:r w:rsidR="00AB1022" w:rsidRPr="004267E7">
        <w:rPr>
          <w:rFonts w:ascii="Times New Roman" w:hAnsi="Times New Roman"/>
          <w:sz w:val="24"/>
          <w:szCs w:val="24"/>
          <w:shd w:val="clear" w:color="auto" w:fill="FFFFFF"/>
        </w:rPr>
        <w:t>Akwam, &amp; Yua, 2021)</w:t>
      </w:r>
      <w:r w:rsidR="00240861" w:rsidRPr="004267E7">
        <w:rPr>
          <w:rFonts w:ascii="Times New Roman" w:hAnsi="Times New Roman"/>
          <w:sz w:val="24"/>
          <w:szCs w:val="24"/>
        </w:rPr>
        <w:t xml:space="preserve">. </w:t>
      </w:r>
      <w:r w:rsidRPr="004267E7">
        <w:rPr>
          <w:rFonts w:ascii="Times New Roman" w:eastAsia="Times New Roman" w:hAnsi="Times New Roman"/>
          <w:sz w:val="24"/>
          <w:szCs w:val="24"/>
        </w:rPr>
        <w:t>Stock market returns volatility measures the dispersion around a security's mean return over time. It provides information about future economic activity and structural change, which can depress GDP growth. Structural change consumes resources, and an increase in volatility raises shareholders' compensation for bearing systematic risk. Frimpong and Oteng-Abayie (2006) argue that stock market volatility triggers a rise in cost of capital and directly affects economic growth. The growth rate of GDP per capital is a crucial indicator of economic prosperity, as it represents the total market value of economic activities. However, the relationship between financial development and economic growth remains unclear.</w:t>
      </w:r>
    </w:p>
    <w:p w14:paraId="16773174" w14:textId="34E2CCEE" w:rsidR="0034770F" w:rsidRPr="004267E7" w:rsidRDefault="0034770F" w:rsidP="00B47A1A">
      <w:pPr>
        <w:spacing w:line="240" w:lineRule="auto"/>
        <w:rPr>
          <w:rFonts w:ascii="Times New Roman" w:eastAsia="Times New Roman" w:hAnsi="Times New Roman"/>
          <w:sz w:val="24"/>
          <w:szCs w:val="24"/>
        </w:rPr>
      </w:pPr>
      <w:r w:rsidRPr="004267E7">
        <w:rPr>
          <w:rFonts w:ascii="Times New Roman" w:eastAsia="Times New Roman" w:hAnsi="Times New Roman"/>
          <w:sz w:val="24"/>
          <w:szCs w:val="24"/>
        </w:rPr>
        <w:t xml:space="preserve">The supply-leading and demand-following hypotheses, popularized by Patrick (1966), suggest that financial development causes economic growth, while economic growth causes financial development. Supporters of the demand-following hypothesis argue that if income grows at a certain pace, the demand for financial assets also grows. Recent developments in Asian economies, </w:t>
      </w:r>
      <w:r w:rsidRPr="004267E7">
        <w:rPr>
          <w:rFonts w:ascii="Times New Roman" w:eastAsia="Times New Roman" w:hAnsi="Times New Roman"/>
          <w:sz w:val="24"/>
          <w:szCs w:val="24"/>
        </w:rPr>
        <w:t xml:space="preserve">such as China, support this theory, as their GDP growth has remained above 7% year on year for the past 25 years despite repressive financial systems. </w:t>
      </w:r>
      <w:r w:rsidR="00240861" w:rsidRPr="004267E7">
        <w:rPr>
          <w:rFonts w:ascii="Times New Roman" w:hAnsi="Times New Roman"/>
          <w:iCs/>
          <w:sz w:val="24"/>
          <w:szCs w:val="24"/>
        </w:rPr>
        <w:t>Also considering that the Nigerian financial sector has undergone and is at present undergoing series of reforms aimed at revamping the economy, making it competitive, and enhancing its performance, the economy still remain vulnerable and fragile against the backdrop of sustained recovery</w:t>
      </w:r>
      <w:r w:rsidR="00FE7764" w:rsidRPr="004267E7">
        <w:rPr>
          <w:rFonts w:ascii="Times New Roman" w:hAnsi="Times New Roman"/>
          <w:iCs/>
          <w:sz w:val="24"/>
          <w:szCs w:val="24"/>
        </w:rPr>
        <w:t xml:space="preserve"> as opined by </w:t>
      </w:r>
      <w:r w:rsidR="00EA61DE" w:rsidRPr="004267E7">
        <w:rPr>
          <w:rFonts w:ascii="Times New Roman" w:hAnsi="Times New Roman"/>
          <w:sz w:val="24"/>
          <w:szCs w:val="24"/>
        </w:rPr>
        <w:t xml:space="preserve">Wuave, Yua, &amp; Yua, (2020); </w:t>
      </w:r>
      <w:r w:rsidR="00EA61DE" w:rsidRPr="004267E7">
        <w:rPr>
          <w:rFonts w:ascii="Times New Roman" w:hAnsi="Times New Roman"/>
          <w:sz w:val="24"/>
          <w:szCs w:val="24"/>
          <w:shd w:val="clear" w:color="auto" w:fill="FFFFFF"/>
        </w:rPr>
        <w:t>Yua, Epor, &amp; Utor (2023)</w:t>
      </w:r>
      <w:r w:rsidR="00CE2574" w:rsidRPr="004267E7">
        <w:rPr>
          <w:rFonts w:ascii="Times New Roman" w:hAnsi="Times New Roman"/>
          <w:sz w:val="24"/>
          <w:szCs w:val="24"/>
          <w:shd w:val="clear" w:color="auto" w:fill="FFFFFF"/>
        </w:rPr>
        <w:t xml:space="preserve">; </w:t>
      </w:r>
      <w:r w:rsidR="00CE60BB" w:rsidRPr="004267E7">
        <w:rPr>
          <w:rFonts w:ascii="Times New Roman" w:hAnsi="Times New Roman"/>
          <w:sz w:val="24"/>
          <w:szCs w:val="24"/>
        </w:rPr>
        <w:t xml:space="preserve">Ajekwe, Yua &amp; Tyona </w:t>
      </w:r>
      <w:r w:rsidR="00CE2574" w:rsidRPr="004267E7">
        <w:rPr>
          <w:rFonts w:ascii="Times New Roman" w:hAnsi="Times New Roman"/>
          <w:sz w:val="24"/>
          <w:szCs w:val="24"/>
        </w:rPr>
        <w:t>(2024)</w:t>
      </w:r>
      <w:r w:rsidR="00240861" w:rsidRPr="004267E7">
        <w:rPr>
          <w:rFonts w:ascii="Times New Roman" w:hAnsi="Times New Roman"/>
          <w:iCs/>
          <w:sz w:val="24"/>
          <w:szCs w:val="24"/>
        </w:rPr>
        <w:t>.</w:t>
      </w:r>
      <w:r w:rsidR="00DB5DF9" w:rsidRPr="004267E7">
        <w:rPr>
          <w:rFonts w:ascii="Times New Roman" w:hAnsi="Times New Roman"/>
          <w:iCs/>
          <w:sz w:val="24"/>
          <w:szCs w:val="24"/>
        </w:rPr>
        <w:t xml:space="preserve"> </w:t>
      </w:r>
    </w:p>
    <w:p w14:paraId="1FD86337" w14:textId="77777777" w:rsidR="00DB5DF9" w:rsidRPr="004267E7" w:rsidRDefault="00DB5DF9" w:rsidP="00B47A1A">
      <w:pPr>
        <w:spacing w:after="0" w:line="240" w:lineRule="auto"/>
        <w:rPr>
          <w:rFonts w:ascii="Times New Roman" w:eastAsia="Times New Roman" w:hAnsi="Times New Roman"/>
          <w:sz w:val="24"/>
          <w:szCs w:val="24"/>
        </w:rPr>
      </w:pPr>
      <w:r w:rsidRPr="004267E7">
        <w:rPr>
          <w:rFonts w:ascii="Times New Roman" w:hAnsi="Times New Roman"/>
          <w:iCs/>
          <w:sz w:val="24"/>
          <w:szCs w:val="24"/>
        </w:rPr>
        <w:t>T</w:t>
      </w:r>
      <w:r w:rsidR="00240861" w:rsidRPr="004267E7">
        <w:rPr>
          <w:rFonts w:ascii="Times New Roman" w:hAnsi="Times New Roman"/>
          <w:iCs/>
          <w:sz w:val="24"/>
          <w:szCs w:val="24"/>
        </w:rPr>
        <w:t>his study seeks to examine the causal relationship between selected financial development indicators and economic growth in Nigeria by capturing the four buckets of financial development measurement indicators (financial depth, access, efficiency and stability) using quarterly data and employing Granger causality test to ascertain the direction of such relationship.</w:t>
      </w:r>
    </w:p>
    <w:p w14:paraId="293CF51A" w14:textId="77777777" w:rsidR="00B47A1A" w:rsidRDefault="00240861" w:rsidP="004267E7">
      <w:pPr>
        <w:spacing w:after="0" w:line="240" w:lineRule="auto"/>
        <w:jc w:val="both"/>
        <w:rPr>
          <w:rFonts w:ascii="Times New Roman" w:hAnsi="Times New Roman"/>
          <w:iCs/>
          <w:sz w:val="24"/>
          <w:szCs w:val="24"/>
        </w:rPr>
      </w:pPr>
      <w:r w:rsidRPr="004267E7">
        <w:rPr>
          <w:rFonts w:ascii="Times New Roman" w:hAnsi="Times New Roman"/>
          <w:iCs/>
          <w:sz w:val="24"/>
          <w:szCs w:val="24"/>
        </w:rPr>
        <w:t xml:space="preserve"> </w:t>
      </w:r>
    </w:p>
    <w:p w14:paraId="24A1CF29" w14:textId="7D14FD0E" w:rsidR="006C4E55" w:rsidRPr="004267E7" w:rsidRDefault="006C4E55" w:rsidP="004267E7">
      <w:pPr>
        <w:spacing w:after="0" w:line="240" w:lineRule="auto"/>
        <w:jc w:val="both"/>
        <w:rPr>
          <w:rFonts w:ascii="Times New Roman" w:hAnsi="Times New Roman"/>
          <w:b/>
          <w:bCs/>
          <w:sz w:val="24"/>
          <w:szCs w:val="24"/>
        </w:rPr>
      </w:pPr>
      <w:r w:rsidRPr="004267E7">
        <w:rPr>
          <w:rFonts w:ascii="Times New Roman" w:hAnsi="Times New Roman"/>
          <w:b/>
          <w:bCs/>
          <w:sz w:val="24"/>
          <w:szCs w:val="24"/>
        </w:rPr>
        <w:t>CONCEPTUAL PERSPECTIVE</w:t>
      </w:r>
    </w:p>
    <w:p w14:paraId="1179F57A" w14:textId="0723B940" w:rsidR="00060910" w:rsidRPr="004267E7" w:rsidRDefault="008F7E3E" w:rsidP="00B47A1A">
      <w:pPr>
        <w:spacing w:line="240" w:lineRule="auto"/>
        <w:rPr>
          <w:rFonts w:ascii="Times New Roman" w:eastAsia="Times New Roman" w:hAnsi="Times New Roman"/>
          <w:sz w:val="24"/>
          <w:szCs w:val="24"/>
        </w:rPr>
      </w:pPr>
      <w:r w:rsidRPr="004267E7">
        <w:rPr>
          <w:rFonts w:ascii="Times New Roman" w:hAnsi="Times New Roman"/>
          <w:sz w:val="24"/>
          <w:szCs w:val="24"/>
        </w:rPr>
        <w:t xml:space="preserve">According to </w:t>
      </w:r>
      <w:r w:rsidR="00F133F4" w:rsidRPr="004267E7">
        <w:rPr>
          <w:rFonts w:ascii="Times New Roman" w:hAnsi="Times New Roman"/>
          <w:sz w:val="24"/>
          <w:szCs w:val="24"/>
        </w:rPr>
        <w:t>Nouren (2009)</w:t>
      </w:r>
      <w:r w:rsidR="00446DDA" w:rsidRPr="004267E7">
        <w:t xml:space="preserve"> </w:t>
      </w:r>
      <w:r w:rsidR="00446DDA" w:rsidRPr="004267E7">
        <w:rPr>
          <w:rFonts w:ascii="Times New Roman" w:eastAsia="Times New Roman" w:hAnsi="Times New Roman"/>
          <w:sz w:val="24"/>
          <w:szCs w:val="24"/>
        </w:rPr>
        <w:t>Financial development refers to the policies, factors, and institutions that facilitate efficient intermediation and effective financial markets. It involves the improvement of quantity, quality, and efficiency of financial intermediary services, which can lead to economic growth. Financial development plays a significant role in economic development by promoting capital accumulation, technological progress, and capital allocation. Countries with better-developed financial systems tend to grow faster over time, reduce poverty and inequality, facilitate risk management, and increase investment and productivity. Financial sector development also facilitates the growth of small and medium-sized enterprises (SMEs), which are labor-intensive and create more jobs than large firms</w:t>
      </w:r>
      <w:r w:rsidR="00AB7663" w:rsidRPr="004267E7">
        <w:rPr>
          <w:rFonts w:ascii="Times New Roman" w:eastAsia="Times New Roman" w:hAnsi="Times New Roman"/>
          <w:sz w:val="24"/>
          <w:szCs w:val="24"/>
        </w:rPr>
        <w:t xml:space="preserve"> </w:t>
      </w:r>
      <w:r w:rsidR="00060910" w:rsidRPr="004267E7">
        <w:rPr>
          <w:rFonts w:ascii="Times New Roman" w:eastAsia="Times New Roman" w:hAnsi="Times New Roman"/>
          <w:sz w:val="24"/>
          <w:szCs w:val="24"/>
        </w:rPr>
        <w:t>(</w:t>
      </w:r>
      <w:r w:rsidR="00060910" w:rsidRPr="004267E7">
        <w:rPr>
          <w:rFonts w:ascii="Times New Roman" w:hAnsi="Times New Roman"/>
          <w:sz w:val="24"/>
          <w:szCs w:val="24"/>
        </w:rPr>
        <w:t>Yua, 2025).</w:t>
      </w:r>
      <w:r w:rsidR="00446DDA" w:rsidRPr="004267E7">
        <w:rPr>
          <w:rFonts w:ascii="Times New Roman" w:eastAsia="Times New Roman" w:hAnsi="Times New Roman"/>
          <w:sz w:val="24"/>
          <w:szCs w:val="24"/>
        </w:rPr>
        <w:t xml:space="preserve"> However, financial </w:t>
      </w:r>
      <w:r w:rsidR="00446DDA" w:rsidRPr="004267E7">
        <w:rPr>
          <w:rFonts w:ascii="Times New Roman" w:eastAsia="Times New Roman" w:hAnsi="Times New Roman"/>
          <w:sz w:val="24"/>
          <w:szCs w:val="24"/>
        </w:rPr>
        <w:lastRenderedPageBreak/>
        <w:t xml:space="preserve">development goes beyond just having financial intermediaries and infrastructures; it also involves robust policies for regulation and supervision of all important entities. The </w:t>
      </w:r>
      <w:r w:rsidR="00446DDA" w:rsidRPr="004267E7">
        <w:rPr>
          <w:rFonts w:ascii="Times New Roman" w:eastAsia="Times New Roman" w:hAnsi="Times New Roman"/>
          <w:sz w:val="24"/>
          <w:szCs w:val="24"/>
        </w:rPr>
        <w:t>global financial crisis highlighted the potential consequences of weak financial sector policies for financial development and economic outcomes.</w:t>
      </w:r>
    </w:p>
    <w:p w14:paraId="389F3772" w14:textId="77777777" w:rsidR="004267E7" w:rsidRDefault="004267E7" w:rsidP="00CA7F87">
      <w:pPr>
        <w:autoSpaceDE w:val="0"/>
        <w:autoSpaceDN w:val="0"/>
        <w:adjustRightInd w:val="0"/>
        <w:spacing w:after="0" w:line="240" w:lineRule="auto"/>
        <w:jc w:val="both"/>
        <w:rPr>
          <w:rFonts w:ascii="Times New Roman" w:hAnsi="Times New Roman"/>
          <w:b/>
          <w:bCs/>
          <w:sz w:val="24"/>
          <w:szCs w:val="24"/>
        </w:rPr>
        <w:sectPr w:rsidR="004267E7" w:rsidSect="004267E7">
          <w:type w:val="continuous"/>
          <w:pgSz w:w="12240" w:h="15840"/>
          <w:pgMar w:top="1135" w:right="1440" w:bottom="1440" w:left="1440" w:header="720" w:footer="720" w:gutter="0"/>
          <w:cols w:num="2" w:space="720"/>
          <w:docGrid w:linePitch="360"/>
        </w:sectPr>
      </w:pPr>
    </w:p>
    <w:p w14:paraId="0A20F148" w14:textId="2C8FED5C" w:rsidR="0091109F" w:rsidRDefault="00F133F4" w:rsidP="00CA7F87">
      <w:pPr>
        <w:autoSpaceDE w:val="0"/>
        <w:autoSpaceDN w:val="0"/>
        <w:adjustRightInd w:val="0"/>
        <w:spacing w:after="0" w:line="240" w:lineRule="auto"/>
        <w:jc w:val="both"/>
        <w:rPr>
          <w:rFonts w:ascii="Times New Roman" w:hAnsi="Times New Roman"/>
          <w:b/>
          <w:bCs/>
          <w:sz w:val="24"/>
          <w:szCs w:val="24"/>
        </w:rPr>
      </w:pPr>
      <w:r>
        <w:rPr>
          <w:rFonts w:ascii="Times New Roman" w:hAnsi="Times New Roman"/>
          <w:b/>
          <w:bCs/>
          <w:sz w:val="24"/>
          <w:szCs w:val="24"/>
        </w:rPr>
        <w:t>Measurement</w:t>
      </w:r>
      <w:r w:rsidRPr="000A3301">
        <w:rPr>
          <w:rFonts w:ascii="Times New Roman" w:hAnsi="Times New Roman"/>
          <w:b/>
          <w:bCs/>
          <w:sz w:val="24"/>
          <w:szCs w:val="24"/>
        </w:rPr>
        <w:t xml:space="preserve"> of Financial Development</w:t>
      </w:r>
    </w:p>
    <w:p w14:paraId="2CD50DC8" w14:textId="77777777" w:rsidR="00F133F4" w:rsidRPr="00B47A1A" w:rsidRDefault="00F133F4" w:rsidP="00B47A1A">
      <w:pPr>
        <w:autoSpaceDE w:val="0"/>
        <w:autoSpaceDN w:val="0"/>
        <w:adjustRightInd w:val="0"/>
        <w:spacing w:after="0" w:line="240" w:lineRule="auto"/>
        <w:rPr>
          <w:rFonts w:ascii="Times New Roman" w:hAnsi="Times New Roman"/>
          <w:b/>
          <w:sz w:val="24"/>
          <w:szCs w:val="24"/>
        </w:rPr>
      </w:pPr>
      <w:r w:rsidRPr="00B47A1A">
        <w:rPr>
          <w:rFonts w:ascii="Times New Roman" w:hAnsi="Times New Roman"/>
          <w:b/>
          <w:sz w:val="24"/>
          <w:szCs w:val="24"/>
        </w:rPr>
        <w:t xml:space="preserve">Table </w:t>
      </w:r>
      <w:r w:rsidR="0091109F" w:rsidRPr="00B47A1A">
        <w:rPr>
          <w:rFonts w:ascii="Times New Roman" w:hAnsi="Times New Roman"/>
          <w:b/>
          <w:sz w:val="24"/>
          <w:szCs w:val="24"/>
        </w:rPr>
        <w:t>1</w:t>
      </w:r>
      <w:r w:rsidR="00390B64" w:rsidRPr="00B47A1A">
        <w:rPr>
          <w:rFonts w:ascii="Times New Roman" w:hAnsi="Times New Roman"/>
          <w:b/>
          <w:sz w:val="24"/>
          <w:szCs w:val="24"/>
        </w:rPr>
        <w:t>:</w:t>
      </w:r>
      <w:r w:rsidRPr="00B47A1A">
        <w:rPr>
          <w:rFonts w:ascii="Times New Roman" w:hAnsi="Times New Roman"/>
          <w:b/>
          <w:sz w:val="24"/>
          <w:szCs w:val="24"/>
        </w:rPr>
        <w:t> Measurement of Financial Development</w:t>
      </w:r>
    </w:p>
    <w:tbl>
      <w:tblPr>
        <w:tblW w:w="4636" w:type="pct"/>
        <w:tblCellSpacing w:w="0" w:type="dxa"/>
        <w:tblInd w:w="750" w:type="dxa"/>
        <w:tblBorders>
          <w:top w:val="outset" w:sz="6" w:space="0" w:color="auto"/>
          <w:bottom w:val="outset" w:sz="6" w:space="0" w:color="auto"/>
          <w:insideH w:val="outset" w:sz="6" w:space="0" w:color="auto"/>
        </w:tblBorders>
        <w:tblCellMar>
          <w:top w:w="15" w:type="dxa"/>
          <w:left w:w="15" w:type="dxa"/>
          <w:bottom w:w="15" w:type="dxa"/>
          <w:right w:w="15" w:type="dxa"/>
        </w:tblCellMar>
        <w:tblLook w:val="04A0" w:firstRow="1" w:lastRow="0" w:firstColumn="1" w:lastColumn="0" w:noHBand="0" w:noVBand="1"/>
      </w:tblPr>
      <w:tblGrid>
        <w:gridCol w:w="1036"/>
        <w:gridCol w:w="3172"/>
        <w:gridCol w:w="4498"/>
      </w:tblGrid>
      <w:tr w:rsidR="00F133F4" w:rsidRPr="00B47A1A" w14:paraId="5D2C8074" w14:textId="77777777" w:rsidTr="00B47A1A">
        <w:trPr>
          <w:trHeight w:val="165"/>
          <w:tblCellSpacing w:w="0" w:type="dxa"/>
        </w:trPr>
        <w:tc>
          <w:tcPr>
            <w:tcW w:w="595" w:type="pct"/>
            <w:vAlign w:val="center"/>
            <w:hideMark/>
          </w:tcPr>
          <w:p w14:paraId="047E7518" w14:textId="77777777" w:rsidR="00F133F4" w:rsidRPr="00B47A1A" w:rsidRDefault="00F133F4" w:rsidP="00B47A1A">
            <w:pPr>
              <w:spacing w:after="0" w:line="240" w:lineRule="auto"/>
              <w:rPr>
                <w:rFonts w:ascii="Times New Roman" w:eastAsia="Times New Roman" w:hAnsi="Times New Roman"/>
                <w:b/>
                <w:bCs/>
                <w:sz w:val="20"/>
                <w:szCs w:val="20"/>
              </w:rPr>
            </w:pPr>
            <w:r w:rsidRPr="00B47A1A">
              <w:rPr>
                <w:rFonts w:ascii="Times New Roman" w:eastAsia="Times New Roman" w:hAnsi="Times New Roman"/>
                <w:b/>
                <w:bCs/>
                <w:sz w:val="20"/>
                <w:szCs w:val="20"/>
              </w:rPr>
              <w:t> </w:t>
            </w:r>
          </w:p>
        </w:tc>
        <w:tc>
          <w:tcPr>
            <w:tcW w:w="0" w:type="auto"/>
            <w:vAlign w:val="center"/>
            <w:hideMark/>
          </w:tcPr>
          <w:p w14:paraId="025EDF7B" w14:textId="77777777" w:rsidR="00F133F4" w:rsidRPr="00B47A1A" w:rsidRDefault="00F133F4" w:rsidP="00B47A1A">
            <w:pPr>
              <w:spacing w:after="0" w:line="240" w:lineRule="auto"/>
              <w:rPr>
                <w:rFonts w:ascii="Times New Roman" w:eastAsia="Times New Roman" w:hAnsi="Times New Roman"/>
                <w:b/>
                <w:bCs/>
                <w:sz w:val="20"/>
                <w:szCs w:val="20"/>
              </w:rPr>
            </w:pPr>
            <w:r w:rsidRPr="00B47A1A">
              <w:rPr>
                <w:rFonts w:ascii="Times New Roman" w:eastAsia="Times New Roman" w:hAnsi="Times New Roman"/>
                <w:b/>
                <w:bCs/>
                <w:sz w:val="20"/>
                <w:szCs w:val="20"/>
              </w:rPr>
              <w:t>Financial Institutions</w:t>
            </w:r>
          </w:p>
        </w:tc>
        <w:tc>
          <w:tcPr>
            <w:tcW w:w="0" w:type="auto"/>
            <w:vAlign w:val="center"/>
            <w:hideMark/>
          </w:tcPr>
          <w:p w14:paraId="0CB02949" w14:textId="77777777" w:rsidR="00F133F4" w:rsidRPr="00B47A1A" w:rsidRDefault="00F133F4" w:rsidP="00B47A1A">
            <w:pPr>
              <w:spacing w:after="0" w:line="240" w:lineRule="auto"/>
              <w:rPr>
                <w:rFonts w:ascii="Times New Roman" w:eastAsia="Times New Roman" w:hAnsi="Times New Roman"/>
                <w:b/>
                <w:bCs/>
                <w:sz w:val="20"/>
                <w:szCs w:val="20"/>
              </w:rPr>
            </w:pPr>
            <w:r w:rsidRPr="00B47A1A">
              <w:rPr>
                <w:rFonts w:ascii="Times New Roman" w:eastAsia="Times New Roman" w:hAnsi="Times New Roman"/>
                <w:b/>
                <w:bCs/>
                <w:sz w:val="20"/>
                <w:szCs w:val="20"/>
              </w:rPr>
              <w:t>Financial Markets</w:t>
            </w:r>
          </w:p>
        </w:tc>
      </w:tr>
      <w:tr w:rsidR="00F133F4" w:rsidRPr="00B47A1A" w14:paraId="1897210D" w14:textId="77777777" w:rsidTr="00B47A1A">
        <w:trPr>
          <w:trHeight w:val="1438"/>
          <w:tblCellSpacing w:w="0" w:type="dxa"/>
        </w:trPr>
        <w:tc>
          <w:tcPr>
            <w:tcW w:w="595" w:type="pct"/>
            <w:vAlign w:val="center"/>
            <w:hideMark/>
          </w:tcPr>
          <w:p w14:paraId="0F48D60C" w14:textId="77777777" w:rsidR="00F133F4" w:rsidRPr="00B47A1A" w:rsidRDefault="00F133F4" w:rsidP="00B47A1A">
            <w:pPr>
              <w:spacing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Depth</w:t>
            </w:r>
          </w:p>
        </w:tc>
        <w:tc>
          <w:tcPr>
            <w:tcW w:w="0" w:type="auto"/>
            <w:vAlign w:val="center"/>
            <w:hideMark/>
          </w:tcPr>
          <w:p w14:paraId="784854D6" w14:textId="77777777" w:rsidR="00F133F4" w:rsidRPr="00B47A1A" w:rsidRDefault="00F133F4" w:rsidP="00B47A1A">
            <w:pPr>
              <w:numPr>
                <w:ilvl w:val="0"/>
                <w:numId w:val="9"/>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Private Sector Credit to GDP</w:t>
            </w:r>
          </w:p>
          <w:p w14:paraId="09EB84B7" w14:textId="77777777" w:rsidR="00F133F4" w:rsidRPr="00B47A1A" w:rsidRDefault="00F133F4" w:rsidP="00B47A1A">
            <w:pPr>
              <w:numPr>
                <w:ilvl w:val="0"/>
                <w:numId w:val="9"/>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Financial Institutions’ asset to GDP</w:t>
            </w:r>
          </w:p>
          <w:p w14:paraId="2B4F1468" w14:textId="77777777" w:rsidR="00F133F4" w:rsidRPr="00B47A1A" w:rsidRDefault="00F133F4" w:rsidP="00B47A1A">
            <w:pPr>
              <w:numPr>
                <w:ilvl w:val="0"/>
                <w:numId w:val="9"/>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M2 to GDP</w:t>
            </w:r>
          </w:p>
          <w:p w14:paraId="13CEAEE7" w14:textId="77777777" w:rsidR="00F133F4" w:rsidRPr="00B47A1A" w:rsidRDefault="00F133F4" w:rsidP="00B47A1A">
            <w:pPr>
              <w:numPr>
                <w:ilvl w:val="0"/>
                <w:numId w:val="9"/>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Deposits to GDP</w:t>
            </w:r>
          </w:p>
          <w:p w14:paraId="7B189494" w14:textId="77777777" w:rsidR="00F133F4" w:rsidRPr="00B47A1A" w:rsidRDefault="00F133F4" w:rsidP="00B47A1A">
            <w:pPr>
              <w:numPr>
                <w:ilvl w:val="0"/>
                <w:numId w:val="9"/>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Gross value added of the financial sector to GDP </w:t>
            </w:r>
          </w:p>
        </w:tc>
        <w:tc>
          <w:tcPr>
            <w:tcW w:w="0" w:type="auto"/>
            <w:vAlign w:val="center"/>
            <w:hideMark/>
          </w:tcPr>
          <w:p w14:paraId="7908E899" w14:textId="77777777" w:rsidR="00F133F4" w:rsidRPr="00B47A1A" w:rsidRDefault="00F133F4" w:rsidP="00B47A1A">
            <w:pPr>
              <w:numPr>
                <w:ilvl w:val="0"/>
                <w:numId w:val="10"/>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Stock market capitalization and outstanding domestic private debt securities to GDP</w:t>
            </w:r>
          </w:p>
          <w:p w14:paraId="65D03914" w14:textId="77777777" w:rsidR="00F133F4" w:rsidRPr="00B47A1A" w:rsidRDefault="00F133F4" w:rsidP="00B47A1A">
            <w:pPr>
              <w:numPr>
                <w:ilvl w:val="0"/>
                <w:numId w:val="10"/>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Private Debt securities to GDP</w:t>
            </w:r>
          </w:p>
          <w:p w14:paraId="002AAC15" w14:textId="77777777" w:rsidR="00F133F4" w:rsidRPr="00B47A1A" w:rsidRDefault="00F133F4" w:rsidP="00B47A1A">
            <w:pPr>
              <w:numPr>
                <w:ilvl w:val="0"/>
                <w:numId w:val="10"/>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Public Debt Securities to GDP</w:t>
            </w:r>
          </w:p>
          <w:p w14:paraId="00183FC1" w14:textId="77777777" w:rsidR="00F133F4" w:rsidRPr="00B47A1A" w:rsidRDefault="00F133F4" w:rsidP="00B47A1A">
            <w:pPr>
              <w:numPr>
                <w:ilvl w:val="0"/>
                <w:numId w:val="10"/>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International Debt Securities to GDP</w:t>
            </w:r>
          </w:p>
          <w:p w14:paraId="3D528357" w14:textId="77777777" w:rsidR="00F133F4" w:rsidRPr="00B47A1A" w:rsidRDefault="00F133F4" w:rsidP="00B47A1A">
            <w:pPr>
              <w:numPr>
                <w:ilvl w:val="0"/>
                <w:numId w:val="10"/>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Stock Market Capitalization to GDP</w:t>
            </w:r>
          </w:p>
          <w:p w14:paraId="2185799C" w14:textId="77777777" w:rsidR="00F133F4" w:rsidRPr="00B47A1A" w:rsidRDefault="00F133F4" w:rsidP="00B47A1A">
            <w:pPr>
              <w:numPr>
                <w:ilvl w:val="0"/>
                <w:numId w:val="10"/>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Stocks traded to GDP </w:t>
            </w:r>
          </w:p>
        </w:tc>
      </w:tr>
      <w:tr w:rsidR="00F133F4" w:rsidRPr="00B47A1A" w14:paraId="5E8609EE" w14:textId="77777777" w:rsidTr="00B47A1A">
        <w:trPr>
          <w:trHeight w:val="1918"/>
          <w:tblCellSpacing w:w="0" w:type="dxa"/>
        </w:trPr>
        <w:tc>
          <w:tcPr>
            <w:tcW w:w="595" w:type="pct"/>
            <w:vAlign w:val="center"/>
            <w:hideMark/>
          </w:tcPr>
          <w:p w14:paraId="78DBBF38" w14:textId="77777777" w:rsidR="00F133F4" w:rsidRPr="00B47A1A" w:rsidRDefault="00F133F4" w:rsidP="00B47A1A">
            <w:pPr>
              <w:spacing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Access</w:t>
            </w:r>
          </w:p>
        </w:tc>
        <w:tc>
          <w:tcPr>
            <w:tcW w:w="0" w:type="auto"/>
            <w:vAlign w:val="center"/>
            <w:hideMark/>
          </w:tcPr>
          <w:p w14:paraId="2143BCD5" w14:textId="77777777" w:rsidR="00F133F4" w:rsidRPr="00B47A1A" w:rsidRDefault="00F133F4" w:rsidP="00B47A1A">
            <w:pPr>
              <w:numPr>
                <w:ilvl w:val="0"/>
                <w:numId w:val="11"/>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Accounts per thousand adults(commercial banks)</w:t>
            </w:r>
          </w:p>
          <w:p w14:paraId="3EB00A06" w14:textId="77777777" w:rsidR="00F133F4" w:rsidRPr="00B47A1A" w:rsidRDefault="00F133F4" w:rsidP="00B47A1A">
            <w:pPr>
              <w:numPr>
                <w:ilvl w:val="0"/>
                <w:numId w:val="11"/>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Branches per 100,000 adults (commercial banks)</w:t>
            </w:r>
          </w:p>
          <w:p w14:paraId="027D6F6F" w14:textId="77777777" w:rsidR="00F133F4" w:rsidRPr="00B47A1A" w:rsidRDefault="00F133F4" w:rsidP="00B47A1A">
            <w:pPr>
              <w:numPr>
                <w:ilvl w:val="0"/>
                <w:numId w:val="11"/>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 of people with a bank account (from user survey)</w:t>
            </w:r>
          </w:p>
          <w:p w14:paraId="2128B457" w14:textId="77777777" w:rsidR="00F133F4" w:rsidRPr="00B47A1A" w:rsidRDefault="00F133F4" w:rsidP="00B47A1A">
            <w:pPr>
              <w:numPr>
                <w:ilvl w:val="0"/>
                <w:numId w:val="11"/>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 of firms with line of credit (all firms)</w:t>
            </w:r>
          </w:p>
          <w:p w14:paraId="319B3E3B" w14:textId="77777777" w:rsidR="00F133F4" w:rsidRPr="00B47A1A" w:rsidRDefault="00F133F4" w:rsidP="00B47A1A">
            <w:pPr>
              <w:numPr>
                <w:ilvl w:val="0"/>
                <w:numId w:val="11"/>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 of firms with line of credit (small firms) </w:t>
            </w:r>
          </w:p>
        </w:tc>
        <w:tc>
          <w:tcPr>
            <w:tcW w:w="0" w:type="auto"/>
            <w:vAlign w:val="center"/>
            <w:hideMark/>
          </w:tcPr>
          <w:p w14:paraId="2BAF38FF" w14:textId="77777777" w:rsidR="00F133F4" w:rsidRPr="00B47A1A" w:rsidRDefault="00F133F4" w:rsidP="00B47A1A">
            <w:pPr>
              <w:numPr>
                <w:ilvl w:val="0"/>
                <w:numId w:val="12"/>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Percent of market capitalization outside of top 10 largest companies</w:t>
            </w:r>
          </w:p>
          <w:p w14:paraId="7C2A6720" w14:textId="77777777" w:rsidR="00F133F4" w:rsidRPr="00B47A1A" w:rsidRDefault="00F133F4" w:rsidP="00B47A1A">
            <w:pPr>
              <w:numPr>
                <w:ilvl w:val="0"/>
                <w:numId w:val="12"/>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Percent of value traded outside of top 10 traded companies</w:t>
            </w:r>
          </w:p>
          <w:p w14:paraId="01C32453" w14:textId="77777777" w:rsidR="00F133F4" w:rsidRPr="00B47A1A" w:rsidRDefault="00F133F4" w:rsidP="00B47A1A">
            <w:pPr>
              <w:numPr>
                <w:ilvl w:val="0"/>
                <w:numId w:val="12"/>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Government bond yields (3 month and 10 years)</w:t>
            </w:r>
          </w:p>
          <w:p w14:paraId="365534A2" w14:textId="77777777" w:rsidR="00F133F4" w:rsidRPr="00B47A1A" w:rsidRDefault="00F133F4" w:rsidP="00B47A1A">
            <w:pPr>
              <w:numPr>
                <w:ilvl w:val="0"/>
                <w:numId w:val="12"/>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Ratio of domestic to total debt securities</w:t>
            </w:r>
          </w:p>
          <w:p w14:paraId="7DD0F255" w14:textId="77777777" w:rsidR="00F133F4" w:rsidRPr="00B47A1A" w:rsidRDefault="00F133F4" w:rsidP="00B47A1A">
            <w:pPr>
              <w:numPr>
                <w:ilvl w:val="0"/>
                <w:numId w:val="12"/>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Ratio of private to total debt securities (domestic)</w:t>
            </w:r>
          </w:p>
          <w:p w14:paraId="53EDA2A9" w14:textId="77777777" w:rsidR="00F133F4" w:rsidRPr="00B47A1A" w:rsidRDefault="00F133F4" w:rsidP="00B47A1A">
            <w:pPr>
              <w:numPr>
                <w:ilvl w:val="0"/>
                <w:numId w:val="12"/>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Ratio of new corporate bond issues to GDP </w:t>
            </w:r>
          </w:p>
        </w:tc>
      </w:tr>
      <w:tr w:rsidR="00F133F4" w:rsidRPr="00B47A1A" w14:paraId="34C55269" w14:textId="77777777" w:rsidTr="00B47A1A">
        <w:trPr>
          <w:trHeight w:val="1753"/>
          <w:tblCellSpacing w:w="0" w:type="dxa"/>
        </w:trPr>
        <w:tc>
          <w:tcPr>
            <w:tcW w:w="595" w:type="pct"/>
            <w:vAlign w:val="center"/>
            <w:hideMark/>
          </w:tcPr>
          <w:p w14:paraId="5737D5D0" w14:textId="77777777" w:rsidR="00F133F4" w:rsidRPr="00B47A1A" w:rsidRDefault="00F133F4" w:rsidP="00B47A1A">
            <w:pPr>
              <w:spacing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Efficiency</w:t>
            </w:r>
          </w:p>
        </w:tc>
        <w:tc>
          <w:tcPr>
            <w:tcW w:w="0" w:type="auto"/>
            <w:vAlign w:val="center"/>
            <w:hideMark/>
          </w:tcPr>
          <w:p w14:paraId="14126B0D" w14:textId="77777777" w:rsidR="00F133F4" w:rsidRPr="00B47A1A" w:rsidRDefault="00F133F4" w:rsidP="00B47A1A">
            <w:pPr>
              <w:numPr>
                <w:ilvl w:val="0"/>
                <w:numId w:val="13"/>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Net interest margin</w:t>
            </w:r>
          </w:p>
          <w:p w14:paraId="21A18713" w14:textId="77777777" w:rsidR="00F133F4" w:rsidRPr="00B47A1A" w:rsidRDefault="00F133F4" w:rsidP="00B47A1A">
            <w:pPr>
              <w:numPr>
                <w:ilvl w:val="0"/>
                <w:numId w:val="13"/>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Lending-deposits spread</w:t>
            </w:r>
          </w:p>
          <w:p w14:paraId="4CC7A3F7" w14:textId="77777777" w:rsidR="00F133F4" w:rsidRPr="00B47A1A" w:rsidRDefault="00F133F4" w:rsidP="00B47A1A">
            <w:pPr>
              <w:numPr>
                <w:ilvl w:val="0"/>
                <w:numId w:val="13"/>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Non-interest income to total income</w:t>
            </w:r>
          </w:p>
          <w:p w14:paraId="21EA202F" w14:textId="77777777" w:rsidR="00F133F4" w:rsidRPr="00B47A1A" w:rsidRDefault="00F133F4" w:rsidP="00B47A1A">
            <w:pPr>
              <w:numPr>
                <w:ilvl w:val="0"/>
                <w:numId w:val="13"/>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Overhead costs (% of total assets)</w:t>
            </w:r>
          </w:p>
          <w:p w14:paraId="2DE182AB" w14:textId="77777777" w:rsidR="00F133F4" w:rsidRPr="00B47A1A" w:rsidRDefault="00F133F4" w:rsidP="00B47A1A">
            <w:pPr>
              <w:numPr>
                <w:ilvl w:val="0"/>
                <w:numId w:val="13"/>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Profitability (return on assets, return on equity)</w:t>
            </w:r>
          </w:p>
          <w:p w14:paraId="3F5E9A8F" w14:textId="77777777" w:rsidR="00F133F4" w:rsidRPr="00B47A1A" w:rsidRDefault="00F133F4" w:rsidP="00B47A1A">
            <w:pPr>
              <w:numPr>
                <w:ilvl w:val="0"/>
                <w:numId w:val="13"/>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Boone indicator (or Herfindahl or H-statistics) </w:t>
            </w:r>
          </w:p>
        </w:tc>
        <w:tc>
          <w:tcPr>
            <w:tcW w:w="0" w:type="auto"/>
            <w:vAlign w:val="center"/>
            <w:hideMark/>
          </w:tcPr>
          <w:p w14:paraId="2B5C41E2" w14:textId="77777777" w:rsidR="00F133F4" w:rsidRPr="00B47A1A" w:rsidRDefault="00F133F4" w:rsidP="00B47A1A">
            <w:pPr>
              <w:numPr>
                <w:ilvl w:val="0"/>
                <w:numId w:val="14"/>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Turnover ratio for stock market</w:t>
            </w:r>
          </w:p>
          <w:p w14:paraId="0D583E17" w14:textId="77777777" w:rsidR="00F133F4" w:rsidRPr="00B47A1A" w:rsidRDefault="00F133F4" w:rsidP="00B47A1A">
            <w:pPr>
              <w:numPr>
                <w:ilvl w:val="0"/>
                <w:numId w:val="14"/>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Price synchronicity (co-movement)</w:t>
            </w:r>
          </w:p>
          <w:p w14:paraId="0D52BAAC" w14:textId="77777777" w:rsidR="00F133F4" w:rsidRPr="00B47A1A" w:rsidRDefault="00F133F4" w:rsidP="00B47A1A">
            <w:pPr>
              <w:numPr>
                <w:ilvl w:val="0"/>
                <w:numId w:val="14"/>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Private information trading</w:t>
            </w:r>
          </w:p>
          <w:p w14:paraId="39D00272" w14:textId="77777777" w:rsidR="00F133F4" w:rsidRPr="00B47A1A" w:rsidRDefault="00F133F4" w:rsidP="00B47A1A">
            <w:pPr>
              <w:numPr>
                <w:ilvl w:val="0"/>
                <w:numId w:val="14"/>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Price impact</w:t>
            </w:r>
          </w:p>
          <w:p w14:paraId="7BFA9E76" w14:textId="77777777" w:rsidR="00F133F4" w:rsidRPr="00B47A1A" w:rsidRDefault="00F133F4" w:rsidP="00B47A1A">
            <w:pPr>
              <w:numPr>
                <w:ilvl w:val="0"/>
                <w:numId w:val="14"/>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Liquidity/transaction costs</w:t>
            </w:r>
          </w:p>
          <w:p w14:paraId="589E06E8" w14:textId="77777777" w:rsidR="00F133F4" w:rsidRPr="00B47A1A" w:rsidRDefault="00F133F4" w:rsidP="00B47A1A">
            <w:pPr>
              <w:numPr>
                <w:ilvl w:val="0"/>
                <w:numId w:val="14"/>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Quoted bid-ask spread for government bonds</w:t>
            </w:r>
          </w:p>
          <w:p w14:paraId="417BDDCE" w14:textId="77777777" w:rsidR="00F133F4" w:rsidRPr="00B47A1A" w:rsidRDefault="00F133F4" w:rsidP="00B47A1A">
            <w:pPr>
              <w:numPr>
                <w:ilvl w:val="0"/>
                <w:numId w:val="14"/>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Turnover of bonds (private, public) on securities exchange</w:t>
            </w:r>
          </w:p>
          <w:p w14:paraId="47F8F46A" w14:textId="77777777" w:rsidR="00F133F4" w:rsidRPr="00B47A1A" w:rsidRDefault="00F133F4" w:rsidP="00B47A1A">
            <w:pPr>
              <w:numPr>
                <w:ilvl w:val="0"/>
                <w:numId w:val="14"/>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Settlement efficiency </w:t>
            </w:r>
          </w:p>
        </w:tc>
      </w:tr>
      <w:tr w:rsidR="00F133F4" w:rsidRPr="00B47A1A" w14:paraId="4A03C4B2" w14:textId="77777777" w:rsidTr="00B47A1A">
        <w:trPr>
          <w:trHeight w:val="1737"/>
          <w:tblCellSpacing w:w="0" w:type="dxa"/>
        </w:trPr>
        <w:tc>
          <w:tcPr>
            <w:tcW w:w="595" w:type="pct"/>
            <w:vAlign w:val="center"/>
            <w:hideMark/>
          </w:tcPr>
          <w:p w14:paraId="10F76010" w14:textId="77777777" w:rsidR="00F133F4" w:rsidRPr="00B47A1A" w:rsidRDefault="00F133F4" w:rsidP="00B47A1A">
            <w:pPr>
              <w:spacing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Stability</w:t>
            </w:r>
          </w:p>
        </w:tc>
        <w:tc>
          <w:tcPr>
            <w:tcW w:w="0" w:type="auto"/>
            <w:vAlign w:val="center"/>
            <w:hideMark/>
          </w:tcPr>
          <w:p w14:paraId="7D2CF816" w14:textId="77777777" w:rsidR="00F133F4" w:rsidRPr="00B47A1A" w:rsidRDefault="00F133F4" w:rsidP="00B47A1A">
            <w:pPr>
              <w:numPr>
                <w:ilvl w:val="0"/>
                <w:numId w:val="15"/>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Z-score</w:t>
            </w:r>
          </w:p>
          <w:p w14:paraId="41365FA0" w14:textId="77777777" w:rsidR="00F133F4" w:rsidRPr="00B47A1A" w:rsidRDefault="00F133F4" w:rsidP="00B47A1A">
            <w:pPr>
              <w:numPr>
                <w:ilvl w:val="0"/>
                <w:numId w:val="15"/>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Capital adequacy ratios</w:t>
            </w:r>
          </w:p>
          <w:p w14:paraId="5DFF4BE0" w14:textId="77777777" w:rsidR="00F133F4" w:rsidRPr="00B47A1A" w:rsidRDefault="00F133F4" w:rsidP="00B47A1A">
            <w:pPr>
              <w:numPr>
                <w:ilvl w:val="0"/>
                <w:numId w:val="15"/>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Asset quality ratios</w:t>
            </w:r>
          </w:p>
          <w:p w14:paraId="260EA68B" w14:textId="77777777" w:rsidR="00F133F4" w:rsidRPr="00B47A1A" w:rsidRDefault="00F133F4" w:rsidP="00B47A1A">
            <w:pPr>
              <w:numPr>
                <w:ilvl w:val="0"/>
                <w:numId w:val="15"/>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Liquidity ratios</w:t>
            </w:r>
          </w:p>
          <w:p w14:paraId="1B17F7FE" w14:textId="77777777" w:rsidR="00F133F4" w:rsidRPr="00B47A1A" w:rsidRDefault="00F133F4" w:rsidP="00B47A1A">
            <w:pPr>
              <w:numPr>
                <w:ilvl w:val="0"/>
                <w:numId w:val="15"/>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Others (net foreign exchange position to capital etc) </w:t>
            </w:r>
          </w:p>
        </w:tc>
        <w:tc>
          <w:tcPr>
            <w:tcW w:w="0" w:type="auto"/>
            <w:vAlign w:val="center"/>
            <w:hideMark/>
          </w:tcPr>
          <w:p w14:paraId="0191886B" w14:textId="77777777" w:rsidR="00F133F4" w:rsidRPr="00B47A1A" w:rsidRDefault="00F133F4" w:rsidP="00B47A1A">
            <w:pPr>
              <w:numPr>
                <w:ilvl w:val="0"/>
                <w:numId w:val="16"/>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Volatility (standard deviation / average) of stock price index, sovereign bond index</w:t>
            </w:r>
          </w:p>
          <w:p w14:paraId="472B2CBD" w14:textId="77777777" w:rsidR="00F133F4" w:rsidRPr="00B47A1A" w:rsidRDefault="00F133F4" w:rsidP="00B47A1A">
            <w:pPr>
              <w:numPr>
                <w:ilvl w:val="0"/>
                <w:numId w:val="16"/>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Skewness of the index (stock price, sovereign bond)</w:t>
            </w:r>
          </w:p>
          <w:p w14:paraId="5E602D85" w14:textId="77777777" w:rsidR="00F133F4" w:rsidRPr="00B47A1A" w:rsidRDefault="00F133F4" w:rsidP="00B47A1A">
            <w:pPr>
              <w:numPr>
                <w:ilvl w:val="0"/>
                <w:numId w:val="16"/>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Vulnerability to earnings manipulation</w:t>
            </w:r>
          </w:p>
          <w:p w14:paraId="2ABF2AF9" w14:textId="77777777" w:rsidR="00F133F4" w:rsidRPr="00B47A1A" w:rsidRDefault="00F133F4" w:rsidP="00B47A1A">
            <w:pPr>
              <w:numPr>
                <w:ilvl w:val="0"/>
                <w:numId w:val="16"/>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Price/earnings ratio</w:t>
            </w:r>
          </w:p>
          <w:p w14:paraId="02E05C44" w14:textId="77777777" w:rsidR="00F133F4" w:rsidRPr="00B47A1A" w:rsidRDefault="00F133F4" w:rsidP="00B47A1A">
            <w:pPr>
              <w:numPr>
                <w:ilvl w:val="0"/>
                <w:numId w:val="16"/>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Duration</w:t>
            </w:r>
          </w:p>
          <w:p w14:paraId="74404CF4" w14:textId="77777777" w:rsidR="00F133F4" w:rsidRPr="00B47A1A" w:rsidRDefault="00F133F4" w:rsidP="00B47A1A">
            <w:pPr>
              <w:numPr>
                <w:ilvl w:val="0"/>
                <w:numId w:val="16"/>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Ratio of short-term to total bonds (domestic, int’l)</w:t>
            </w:r>
          </w:p>
          <w:p w14:paraId="61D52BF2" w14:textId="77777777" w:rsidR="00F133F4" w:rsidRPr="00B47A1A" w:rsidRDefault="00F133F4" w:rsidP="00B47A1A">
            <w:pPr>
              <w:numPr>
                <w:ilvl w:val="0"/>
                <w:numId w:val="16"/>
              </w:numPr>
              <w:spacing w:before="100" w:beforeAutospacing="1" w:after="0" w:line="240" w:lineRule="auto"/>
              <w:rPr>
                <w:rFonts w:ascii="Times New Roman" w:eastAsia="Times New Roman" w:hAnsi="Times New Roman"/>
                <w:sz w:val="20"/>
                <w:szCs w:val="20"/>
              </w:rPr>
            </w:pPr>
            <w:r w:rsidRPr="00B47A1A">
              <w:rPr>
                <w:rFonts w:ascii="Times New Roman" w:eastAsia="Times New Roman" w:hAnsi="Times New Roman"/>
                <w:sz w:val="20"/>
                <w:szCs w:val="20"/>
              </w:rPr>
              <w:t>Correlation with major bond returns (German, US) </w:t>
            </w:r>
          </w:p>
        </w:tc>
      </w:tr>
    </w:tbl>
    <w:p w14:paraId="0D9DBC14" w14:textId="77777777" w:rsidR="00F133F4" w:rsidRPr="006C4E55" w:rsidRDefault="00F133F4" w:rsidP="00CA7F87">
      <w:pPr>
        <w:autoSpaceDE w:val="0"/>
        <w:autoSpaceDN w:val="0"/>
        <w:adjustRightInd w:val="0"/>
        <w:spacing w:after="0" w:line="240" w:lineRule="auto"/>
        <w:jc w:val="both"/>
        <w:rPr>
          <w:rFonts w:ascii="Times New Roman" w:hAnsi="Times New Roman"/>
          <w:bCs/>
          <w:sz w:val="20"/>
          <w:szCs w:val="20"/>
        </w:rPr>
      </w:pPr>
      <w:r w:rsidRPr="006C4E55">
        <w:rPr>
          <w:rFonts w:ascii="Times New Roman" w:hAnsi="Times New Roman"/>
          <w:bCs/>
          <w:sz w:val="20"/>
          <w:szCs w:val="20"/>
        </w:rPr>
        <w:t xml:space="preserve">   </w:t>
      </w:r>
      <w:r w:rsidRPr="006C4E55">
        <w:rPr>
          <w:rFonts w:ascii="Times New Roman" w:hAnsi="Times New Roman"/>
          <w:bCs/>
          <w:sz w:val="20"/>
          <w:szCs w:val="20"/>
        </w:rPr>
        <w:tab/>
        <w:t>Source: World Bank, 2012</w:t>
      </w:r>
    </w:p>
    <w:p w14:paraId="774515D1" w14:textId="77777777" w:rsidR="00F133F4" w:rsidRDefault="00F133F4" w:rsidP="00CA7F87">
      <w:pPr>
        <w:autoSpaceDE w:val="0"/>
        <w:autoSpaceDN w:val="0"/>
        <w:adjustRightInd w:val="0"/>
        <w:spacing w:after="0" w:line="240" w:lineRule="auto"/>
        <w:jc w:val="both"/>
        <w:rPr>
          <w:rFonts w:ascii="Times New Roman" w:hAnsi="Times New Roman"/>
          <w:bCs/>
          <w:sz w:val="24"/>
          <w:szCs w:val="24"/>
        </w:rPr>
      </w:pPr>
    </w:p>
    <w:p w14:paraId="294580F0" w14:textId="77777777" w:rsidR="00B47A1A" w:rsidRDefault="00B47A1A" w:rsidP="00CA7F87">
      <w:pPr>
        <w:autoSpaceDE w:val="0"/>
        <w:autoSpaceDN w:val="0"/>
        <w:adjustRightInd w:val="0"/>
        <w:spacing w:after="0" w:line="240" w:lineRule="auto"/>
        <w:jc w:val="both"/>
        <w:rPr>
          <w:rFonts w:ascii="Times New Roman" w:hAnsi="Times New Roman"/>
          <w:b/>
          <w:sz w:val="24"/>
          <w:szCs w:val="24"/>
        </w:rPr>
        <w:sectPr w:rsidR="00B47A1A" w:rsidSect="004267E7">
          <w:type w:val="continuous"/>
          <w:pgSz w:w="12240" w:h="15840"/>
          <w:pgMar w:top="1135" w:right="1440" w:bottom="1440" w:left="1440" w:header="720" w:footer="720" w:gutter="0"/>
          <w:cols w:space="720"/>
          <w:docGrid w:linePitch="360"/>
        </w:sectPr>
      </w:pPr>
    </w:p>
    <w:p w14:paraId="3062E8DD" w14:textId="77777777" w:rsidR="00F133F4" w:rsidRPr="00917BAE" w:rsidRDefault="00F133F4" w:rsidP="00CA7F87">
      <w:pPr>
        <w:autoSpaceDE w:val="0"/>
        <w:autoSpaceDN w:val="0"/>
        <w:adjustRightInd w:val="0"/>
        <w:spacing w:after="0" w:line="240" w:lineRule="auto"/>
        <w:jc w:val="both"/>
        <w:rPr>
          <w:rFonts w:ascii="Times New Roman" w:hAnsi="Times New Roman"/>
          <w:b/>
          <w:bCs/>
          <w:sz w:val="24"/>
          <w:szCs w:val="24"/>
        </w:rPr>
      </w:pPr>
      <w:r w:rsidRPr="00917BAE">
        <w:rPr>
          <w:rFonts w:ascii="Times New Roman" w:hAnsi="Times New Roman"/>
          <w:b/>
          <w:sz w:val="24"/>
          <w:szCs w:val="24"/>
        </w:rPr>
        <w:t>Determinants of Financial Development</w:t>
      </w:r>
    </w:p>
    <w:p w14:paraId="5D8C3C87" w14:textId="40F45FE2" w:rsidR="00DC525D" w:rsidRPr="00B47A1A" w:rsidRDefault="00F133F4" w:rsidP="00B47A1A">
      <w:pPr>
        <w:pStyle w:val="ListParagraph"/>
        <w:numPr>
          <w:ilvl w:val="0"/>
          <w:numId w:val="35"/>
        </w:numPr>
        <w:spacing w:after="0" w:line="240" w:lineRule="auto"/>
        <w:ind w:left="0"/>
        <w:rPr>
          <w:rFonts w:ascii="Times New Roman" w:eastAsia="Times New Roman" w:hAnsi="Times New Roman"/>
          <w:sz w:val="24"/>
          <w:szCs w:val="24"/>
        </w:rPr>
      </w:pPr>
      <w:r w:rsidRPr="00B47A1A">
        <w:rPr>
          <w:rFonts w:ascii="Times New Roman" w:hAnsi="Times New Roman"/>
          <w:b/>
          <w:sz w:val="24"/>
          <w:szCs w:val="24"/>
        </w:rPr>
        <w:t>Legal Traditions</w:t>
      </w:r>
      <w:r w:rsidRPr="00B47A1A">
        <w:rPr>
          <w:rFonts w:ascii="Times New Roman" w:hAnsi="Times New Roman"/>
          <w:sz w:val="24"/>
          <w:szCs w:val="24"/>
        </w:rPr>
        <w:t>:</w:t>
      </w:r>
      <w:r w:rsidR="00E46214" w:rsidRPr="00B47A1A">
        <w:rPr>
          <w:rFonts w:ascii="Times New Roman" w:hAnsi="Times New Roman"/>
          <w:sz w:val="24"/>
          <w:szCs w:val="24"/>
        </w:rPr>
        <w:t xml:space="preserve"> </w:t>
      </w:r>
      <w:r w:rsidR="00DC525D" w:rsidRPr="00B47A1A">
        <w:rPr>
          <w:rFonts w:ascii="Times New Roman" w:eastAsia="Times New Roman" w:hAnsi="Times New Roman"/>
          <w:sz w:val="24"/>
          <w:szCs w:val="24"/>
        </w:rPr>
        <w:t>Lopez, Porta, Shleifer, and Vishny's</w:t>
      </w:r>
      <w:r w:rsidR="008F7E3E" w:rsidRPr="00B47A1A">
        <w:rPr>
          <w:rFonts w:ascii="Times New Roman" w:eastAsia="Times New Roman" w:hAnsi="Times New Roman"/>
          <w:sz w:val="24"/>
          <w:szCs w:val="24"/>
        </w:rPr>
        <w:t xml:space="preserve"> (year)</w:t>
      </w:r>
      <w:r w:rsidR="00DC525D" w:rsidRPr="00B47A1A">
        <w:rPr>
          <w:rFonts w:ascii="Times New Roman" w:eastAsia="Times New Roman" w:hAnsi="Times New Roman"/>
          <w:sz w:val="24"/>
          <w:szCs w:val="24"/>
        </w:rPr>
        <w:t xml:space="preserve"> "Law and Finance" explains financial development differences among </w:t>
      </w:r>
      <w:r w:rsidR="00DC525D" w:rsidRPr="00B47A1A">
        <w:rPr>
          <w:rFonts w:ascii="Times New Roman" w:eastAsia="Times New Roman" w:hAnsi="Times New Roman"/>
          <w:sz w:val="24"/>
          <w:szCs w:val="24"/>
        </w:rPr>
        <w:t>countries, emphasizing property rights, contract enforcement, and civil law. Beck's dynamic law and finance theory emphasizes adaptability.</w:t>
      </w:r>
    </w:p>
    <w:p w14:paraId="67FAE381" w14:textId="1148DB2F" w:rsidR="00DC525D" w:rsidRPr="00AF630A" w:rsidRDefault="00F133F4" w:rsidP="00AF630A">
      <w:pPr>
        <w:pStyle w:val="ListParagraph"/>
        <w:numPr>
          <w:ilvl w:val="0"/>
          <w:numId w:val="35"/>
        </w:numPr>
        <w:spacing w:after="0"/>
        <w:ind w:left="284"/>
        <w:rPr>
          <w:rFonts w:ascii="Times New Roman" w:eastAsia="Times New Roman" w:hAnsi="Times New Roman"/>
          <w:sz w:val="24"/>
          <w:szCs w:val="24"/>
        </w:rPr>
      </w:pPr>
      <w:r w:rsidRPr="00AF630A">
        <w:rPr>
          <w:rFonts w:ascii="Times New Roman" w:hAnsi="Times New Roman"/>
          <w:b/>
          <w:sz w:val="24"/>
          <w:szCs w:val="24"/>
        </w:rPr>
        <w:lastRenderedPageBreak/>
        <w:t>Institutions:</w:t>
      </w:r>
      <w:r w:rsidR="00E46214" w:rsidRPr="00AF630A">
        <w:rPr>
          <w:rFonts w:ascii="Times New Roman" w:hAnsi="Times New Roman"/>
          <w:b/>
          <w:sz w:val="24"/>
          <w:szCs w:val="24"/>
        </w:rPr>
        <w:t xml:space="preserve"> </w:t>
      </w:r>
      <w:r w:rsidR="00DC525D" w:rsidRPr="00AF630A">
        <w:rPr>
          <w:rFonts w:ascii="Times New Roman" w:eastAsia="Times New Roman" w:hAnsi="Times New Roman"/>
          <w:sz w:val="24"/>
          <w:szCs w:val="24"/>
        </w:rPr>
        <w:t>Endowment theory suggests that economic institutions determine economic and financial development, with some countries supporting rule of law and rational investments while others hinder progress due to colonization strategies. Rajan and Zingales' interest group theory</w:t>
      </w:r>
      <w:r w:rsidR="008F7E3E" w:rsidRPr="00AF630A">
        <w:rPr>
          <w:rFonts w:ascii="Times New Roman" w:eastAsia="Times New Roman" w:hAnsi="Times New Roman"/>
          <w:sz w:val="24"/>
          <w:szCs w:val="24"/>
        </w:rPr>
        <w:t xml:space="preserve"> </w:t>
      </w:r>
      <w:r w:rsidR="00DC525D" w:rsidRPr="00AF630A">
        <w:rPr>
          <w:rFonts w:ascii="Times New Roman" w:eastAsia="Times New Roman" w:hAnsi="Times New Roman"/>
          <w:sz w:val="24"/>
          <w:szCs w:val="24"/>
        </w:rPr>
        <w:t>emphasizes trade and capital markets openness, legal systems, and power distribution among social and economic groups. Decision-makers may oppose effective systems if they oppose personal interests.</w:t>
      </w:r>
    </w:p>
    <w:p w14:paraId="223008F4" w14:textId="77777777" w:rsidR="00AF630A" w:rsidRDefault="00AF630A" w:rsidP="00B47A1A">
      <w:pPr>
        <w:spacing w:after="0"/>
        <w:rPr>
          <w:rFonts w:ascii="Times New Roman" w:hAnsi="Times New Roman"/>
          <w:b/>
          <w:sz w:val="24"/>
          <w:szCs w:val="24"/>
        </w:rPr>
      </w:pPr>
    </w:p>
    <w:p w14:paraId="1EF6AB40" w14:textId="4E68B68C" w:rsidR="00DC525D" w:rsidRPr="00AF630A" w:rsidRDefault="00F133F4" w:rsidP="00AF630A">
      <w:pPr>
        <w:pStyle w:val="ListParagraph"/>
        <w:numPr>
          <w:ilvl w:val="0"/>
          <w:numId w:val="35"/>
        </w:numPr>
        <w:spacing w:after="0"/>
        <w:ind w:left="284"/>
        <w:rPr>
          <w:rFonts w:ascii="Times New Roman" w:eastAsia="Times New Roman" w:hAnsi="Times New Roman"/>
          <w:sz w:val="24"/>
          <w:szCs w:val="24"/>
        </w:rPr>
      </w:pPr>
      <w:r w:rsidRPr="00AF630A">
        <w:rPr>
          <w:rFonts w:ascii="Times New Roman" w:hAnsi="Times New Roman"/>
          <w:b/>
          <w:sz w:val="24"/>
          <w:szCs w:val="24"/>
        </w:rPr>
        <w:t>Financial Liberalization:</w:t>
      </w:r>
      <w:r w:rsidR="008F7E3E" w:rsidRPr="00AF630A">
        <w:rPr>
          <w:rFonts w:ascii="Times New Roman" w:hAnsi="Times New Roman"/>
          <w:b/>
          <w:sz w:val="24"/>
          <w:szCs w:val="24"/>
        </w:rPr>
        <w:t xml:space="preserve"> </w:t>
      </w:r>
      <w:r w:rsidR="00E46214" w:rsidRPr="00AF630A">
        <w:rPr>
          <w:rFonts w:ascii="Times New Roman" w:eastAsia="Times New Roman" w:hAnsi="Times New Roman"/>
          <w:sz w:val="24"/>
          <w:szCs w:val="24"/>
        </w:rPr>
        <w:t>Arestis (2006)</w:t>
      </w:r>
      <w:r w:rsidR="008F7E3E" w:rsidRPr="00AF630A">
        <w:rPr>
          <w:rFonts w:ascii="Times New Roman" w:eastAsia="Times New Roman" w:hAnsi="Times New Roman"/>
          <w:sz w:val="24"/>
          <w:szCs w:val="24"/>
        </w:rPr>
        <w:t xml:space="preserve"> averred that </w:t>
      </w:r>
      <w:r w:rsidR="00B47A1A" w:rsidRPr="00AF630A">
        <w:rPr>
          <w:rFonts w:ascii="Times New Roman" w:eastAsia="Times New Roman" w:hAnsi="Times New Roman"/>
          <w:sz w:val="24"/>
          <w:szCs w:val="24"/>
        </w:rPr>
        <w:t>f</w:t>
      </w:r>
      <w:r w:rsidR="00DC525D" w:rsidRPr="00AF630A">
        <w:rPr>
          <w:rFonts w:ascii="Times New Roman" w:eastAsia="Times New Roman" w:hAnsi="Times New Roman"/>
          <w:sz w:val="24"/>
          <w:szCs w:val="24"/>
        </w:rPr>
        <w:t>inancial liberalization involves privatizing government-owned institutions, guaranteeing free entry, and implementing loose interest rate control mechanisms, potentially leading to better resource allocation, higher investments, and efficiency.</w:t>
      </w:r>
    </w:p>
    <w:p w14:paraId="549E5DCF" w14:textId="77777777" w:rsidR="00AF630A" w:rsidRDefault="00AF630A" w:rsidP="00B47A1A">
      <w:pPr>
        <w:autoSpaceDE w:val="0"/>
        <w:autoSpaceDN w:val="0"/>
        <w:adjustRightInd w:val="0"/>
        <w:spacing w:after="0" w:line="240" w:lineRule="auto"/>
        <w:rPr>
          <w:rFonts w:ascii="Times New Roman" w:hAnsi="Times New Roman"/>
          <w:b/>
          <w:sz w:val="24"/>
          <w:szCs w:val="24"/>
        </w:rPr>
      </w:pPr>
    </w:p>
    <w:p w14:paraId="7F5E23D3" w14:textId="382DEB08" w:rsidR="00DC525D" w:rsidRPr="00AF630A" w:rsidRDefault="00F133F4" w:rsidP="00AF630A">
      <w:pPr>
        <w:pStyle w:val="ListParagraph"/>
        <w:numPr>
          <w:ilvl w:val="0"/>
          <w:numId w:val="35"/>
        </w:numPr>
        <w:autoSpaceDE w:val="0"/>
        <w:autoSpaceDN w:val="0"/>
        <w:adjustRightInd w:val="0"/>
        <w:spacing w:after="0" w:line="240" w:lineRule="auto"/>
        <w:ind w:left="426"/>
        <w:rPr>
          <w:rFonts w:ascii="Times New Roman" w:eastAsia="Times New Roman" w:hAnsi="Times New Roman"/>
          <w:sz w:val="24"/>
          <w:szCs w:val="24"/>
        </w:rPr>
      </w:pPr>
      <w:r w:rsidRPr="00AF630A">
        <w:rPr>
          <w:rFonts w:ascii="Times New Roman" w:hAnsi="Times New Roman"/>
          <w:b/>
          <w:sz w:val="24"/>
          <w:szCs w:val="24"/>
        </w:rPr>
        <w:t>Openness policies:</w:t>
      </w:r>
      <w:r w:rsidR="00B47A1A" w:rsidRPr="00AF630A">
        <w:rPr>
          <w:rFonts w:ascii="Times New Roman" w:hAnsi="Times New Roman"/>
          <w:b/>
          <w:sz w:val="24"/>
          <w:szCs w:val="24"/>
        </w:rPr>
        <w:t xml:space="preserve"> </w:t>
      </w:r>
      <w:r w:rsidR="00DC525D" w:rsidRPr="00AF630A">
        <w:rPr>
          <w:rFonts w:ascii="Times New Roman" w:eastAsia="Times New Roman" w:hAnsi="Times New Roman"/>
          <w:sz w:val="24"/>
          <w:szCs w:val="24"/>
        </w:rPr>
        <w:t>Trade growth and capital account liberalization promote welfare by promoting international trade, capital flow, and financial development, leading to increased exports, GDP, and improved stock market liquidity.</w:t>
      </w:r>
      <w:r w:rsidR="00B47A1A" w:rsidRPr="00AF630A">
        <w:rPr>
          <w:rFonts w:ascii="Times New Roman" w:eastAsia="Times New Roman" w:hAnsi="Times New Roman"/>
          <w:sz w:val="24"/>
          <w:szCs w:val="24"/>
        </w:rPr>
        <w:t xml:space="preserve"> </w:t>
      </w:r>
      <w:r w:rsidR="00DC525D" w:rsidRPr="00AF630A">
        <w:rPr>
          <w:rFonts w:ascii="Times New Roman" w:eastAsia="Times New Roman" w:hAnsi="Times New Roman"/>
          <w:sz w:val="24"/>
          <w:szCs w:val="24"/>
        </w:rPr>
        <w:t>Voghouei et al. (2011) suggest that liberalization of capital markets can boost investment and economic growth by reducing transaction costs, effective resource allocation, and moral hazards in management behavior.</w:t>
      </w:r>
    </w:p>
    <w:p w14:paraId="43D0F499" w14:textId="77777777" w:rsidR="00AF630A" w:rsidRDefault="00AF630A" w:rsidP="00B47A1A">
      <w:pPr>
        <w:spacing w:after="0" w:line="240" w:lineRule="auto"/>
        <w:rPr>
          <w:rFonts w:ascii="Times New Roman" w:eastAsia="Times New Roman" w:hAnsi="Times New Roman"/>
          <w:b/>
          <w:bCs/>
          <w:sz w:val="24"/>
          <w:szCs w:val="24"/>
        </w:rPr>
      </w:pPr>
    </w:p>
    <w:p w14:paraId="59914D9C" w14:textId="2F6EAC33" w:rsidR="00DC525D" w:rsidRPr="00DC525D" w:rsidRDefault="00DC525D" w:rsidP="00B47A1A">
      <w:pPr>
        <w:spacing w:after="0" w:line="240" w:lineRule="auto"/>
        <w:rPr>
          <w:rFonts w:ascii="Times New Roman" w:eastAsia="Times New Roman" w:hAnsi="Times New Roman"/>
          <w:sz w:val="24"/>
          <w:szCs w:val="24"/>
        </w:rPr>
      </w:pPr>
      <w:r w:rsidRPr="008F7E3E">
        <w:rPr>
          <w:rFonts w:ascii="Times New Roman" w:eastAsia="Times New Roman" w:hAnsi="Times New Roman"/>
          <w:b/>
          <w:bCs/>
          <w:sz w:val="24"/>
          <w:szCs w:val="24"/>
        </w:rPr>
        <w:t>Political economy factors:</w:t>
      </w:r>
      <w:r>
        <w:rPr>
          <w:rFonts w:ascii="Times New Roman" w:eastAsia="Times New Roman" w:hAnsi="Times New Roman"/>
          <w:sz w:val="24"/>
          <w:szCs w:val="24"/>
        </w:rPr>
        <w:t xml:space="preserve"> </w:t>
      </w:r>
      <w:r w:rsidRPr="00DC525D">
        <w:rPr>
          <w:rFonts w:ascii="Times New Roman" w:eastAsia="Times New Roman" w:hAnsi="Times New Roman"/>
          <w:sz w:val="24"/>
          <w:szCs w:val="24"/>
        </w:rPr>
        <w:t>financial development is influenced by centralized systems and authoritarian regimes, as well as economic institutions and resource distribution. Elite groups may favor financial repression, while democratic systems can spur development through checks and balance mechanisms and rule-based constraints.</w:t>
      </w:r>
    </w:p>
    <w:p w14:paraId="54B4AD19" w14:textId="77777777" w:rsidR="00AF630A" w:rsidRDefault="00AF630A" w:rsidP="00CA7F87">
      <w:pPr>
        <w:pStyle w:val="Default"/>
        <w:jc w:val="both"/>
        <w:rPr>
          <w:b/>
        </w:rPr>
      </w:pPr>
    </w:p>
    <w:p w14:paraId="687A04B8" w14:textId="424463C7" w:rsidR="00F133F4" w:rsidRPr="00D0006E" w:rsidRDefault="00F133F4" w:rsidP="00AF630A">
      <w:pPr>
        <w:pStyle w:val="Default"/>
        <w:numPr>
          <w:ilvl w:val="0"/>
          <w:numId w:val="36"/>
        </w:numPr>
        <w:ind w:left="142"/>
        <w:jc w:val="both"/>
        <w:rPr>
          <w:b/>
        </w:rPr>
      </w:pPr>
      <w:r w:rsidRPr="00D0006E">
        <w:rPr>
          <w:b/>
        </w:rPr>
        <w:t xml:space="preserve">Stock Market Volatility </w:t>
      </w:r>
    </w:p>
    <w:p w14:paraId="2C13F477" w14:textId="01B4CD0E" w:rsidR="00F133F4" w:rsidRDefault="00F133F4" w:rsidP="00B47A1A">
      <w:pPr>
        <w:spacing w:after="0" w:line="240" w:lineRule="auto"/>
        <w:rPr>
          <w:rFonts w:ascii="Times New Roman" w:hAnsi="Times New Roman"/>
          <w:sz w:val="24"/>
          <w:szCs w:val="24"/>
        </w:rPr>
      </w:pPr>
      <w:r w:rsidRPr="001D6E15">
        <w:rPr>
          <w:rFonts w:ascii="Times New Roman" w:hAnsi="Times New Roman"/>
          <w:sz w:val="24"/>
          <w:szCs w:val="24"/>
        </w:rPr>
        <w:t>Volatility refers to sharp fluctuation in the price of a financial asset or market within a short period of time. Volatility is a measure of dispersion around the mean or average return of a security. One way to measure volatility is by using the standard deviation, which explains how tightly the price of a stock is grouped around the mean or moving average (MA). When the prices are tightly bunched together, the standard deviation is small. When the price movements are spread apart, a relatively large standard deviation occurs.</w:t>
      </w:r>
      <w:r w:rsidR="00CE5C19">
        <w:rPr>
          <w:rFonts w:ascii="Times New Roman" w:hAnsi="Times New Roman"/>
          <w:sz w:val="24"/>
          <w:szCs w:val="24"/>
        </w:rPr>
        <w:t xml:space="preserve"> </w:t>
      </w:r>
      <w:r w:rsidRPr="001D6E15">
        <w:rPr>
          <w:rFonts w:ascii="Times New Roman" w:hAnsi="Times New Roman"/>
          <w:sz w:val="24"/>
          <w:szCs w:val="24"/>
        </w:rPr>
        <w:t>Stock market volatility can</w:t>
      </w:r>
      <w:r w:rsidR="006C4E55">
        <w:rPr>
          <w:rFonts w:ascii="Times New Roman" w:hAnsi="Times New Roman"/>
          <w:sz w:val="24"/>
          <w:szCs w:val="24"/>
        </w:rPr>
        <w:t xml:space="preserve"> thus</w:t>
      </w:r>
      <w:r w:rsidRPr="001D6E15">
        <w:rPr>
          <w:rFonts w:ascii="Times New Roman" w:hAnsi="Times New Roman"/>
          <w:sz w:val="24"/>
          <w:szCs w:val="24"/>
        </w:rPr>
        <w:t xml:space="preserve"> be defined as the possibility that a given stock will experience a drastic rise or fall in value within a predeter</w:t>
      </w:r>
      <w:r>
        <w:rPr>
          <w:rFonts w:ascii="Times New Roman" w:hAnsi="Times New Roman"/>
          <w:sz w:val="24"/>
          <w:szCs w:val="24"/>
        </w:rPr>
        <w:t xml:space="preserve">mined time frame </w:t>
      </w:r>
      <w:r w:rsidR="006C38A7">
        <w:rPr>
          <w:rFonts w:ascii="Times New Roman" w:hAnsi="Times New Roman"/>
          <w:sz w:val="24"/>
          <w:szCs w:val="24"/>
        </w:rPr>
        <w:t>(</w:t>
      </w:r>
      <w:r>
        <w:rPr>
          <w:rFonts w:ascii="Times New Roman" w:hAnsi="Times New Roman"/>
          <w:sz w:val="24"/>
          <w:szCs w:val="24"/>
        </w:rPr>
        <w:t>Okpara</w:t>
      </w:r>
      <w:r w:rsidR="006C38A7">
        <w:rPr>
          <w:rFonts w:ascii="Times New Roman" w:hAnsi="Times New Roman"/>
          <w:sz w:val="24"/>
          <w:szCs w:val="24"/>
        </w:rPr>
        <w:t xml:space="preserve">, </w:t>
      </w:r>
      <w:r>
        <w:rPr>
          <w:rFonts w:ascii="Times New Roman" w:hAnsi="Times New Roman"/>
          <w:sz w:val="24"/>
          <w:szCs w:val="24"/>
        </w:rPr>
        <w:t>2011</w:t>
      </w:r>
      <w:r w:rsidR="006C38A7">
        <w:rPr>
          <w:rFonts w:ascii="Times New Roman" w:hAnsi="Times New Roman"/>
          <w:sz w:val="24"/>
          <w:szCs w:val="24"/>
        </w:rPr>
        <w:t xml:space="preserve">; </w:t>
      </w:r>
      <w:r w:rsidR="006C38A7" w:rsidRPr="002245CF">
        <w:rPr>
          <w:rFonts w:ascii="Times New Roman" w:hAnsi="Times New Roman"/>
          <w:sz w:val="24"/>
          <w:szCs w:val="24"/>
        </w:rPr>
        <w:t xml:space="preserve">Omale, </w:t>
      </w:r>
      <w:r w:rsidR="006C38A7" w:rsidRPr="006C38A7">
        <w:rPr>
          <w:rFonts w:ascii="Times New Roman" w:hAnsi="Times New Roman"/>
          <w:bCs/>
          <w:sz w:val="24"/>
          <w:szCs w:val="24"/>
        </w:rPr>
        <w:t>Yua,</w:t>
      </w:r>
      <w:r w:rsidR="006C38A7" w:rsidRPr="002245CF">
        <w:rPr>
          <w:rFonts w:ascii="Times New Roman" w:hAnsi="Times New Roman"/>
          <w:b/>
          <w:sz w:val="24"/>
          <w:szCs w:val="24"/>
        </w:rPr>
        <w:t xml:space="preserve"> </w:t>
      </w:r>
      <w:r w:rsidR="006C38A7">
        <w:rPr>
          <w:rFonts w:ascii="Times New Roman" w:hAnsi="Times New Roman"/>
          <w:sz w:val="24"/>
          <w:szCs w:val="24"/>
        </w:rPr>
        <w:t>&amp;</w:t>
      </w:r>
      <w:r w:rsidR="006C38A7" w:rsidRPr="002245CF">
        <w:rPr>
          <w:rFonts w:ascii="Times New Roman" w:hAnsi="Times New Roman"/>
          <w:sz w:val="24"/>
          <w:szCs w:val="24"/>
        </w:rPr>
        <w:t xml:space="preserve"> Azubuike, 2024). </w:t>
      </w:r>
    </w:p>
    <w:p w14:paraId="07538060" w14:textId="77777777" w:rsidR="00AF630A" w:rsidRDefault="00AF630A" w:rsidP="00CA7F87">
      <w:pPr>
        <w:pStyle w:val="Default"/>
        <w:jc w:val="both"/>
        <w:rPr>
          <w:b/>
          <w:bCs/>
        </w:rPr>
      </w:pPr>
    </w:p>
    <w:p w14:paraId="647F5C69" w14:textId="7981E5A2" w:rsidR="00F133F4" w:rsidRPr="001D6E15" w:rsidRDefault="00F133F4" w:rsidP="00AF630A">
      <w:pPr>
        <w:pStyle w:val="Default"/>
        <w:numPr>
          <w:ilvl w:val="0"/>
          <w:numId w:val="35"/>
        </w:numPr>
        <w:ind w:left="284"/>
      </w:pPr>
      <w:r w:rsidRPr="001D6E15">
        <w:rPr>
          <w:b/>
          <w:bCs/>
        </w:rPr>
        <w:t xml:space="preserve">Factors Affecting Stock Market Volatility </w:t>
      </w:r>
    </w:p>
    <w:p w14:paraId="05090C8D" w14:textId="22935EDD" w:rsidR="00F133F4" w:rsidRDefault="00F133F4" w:rsidP="00B47A1A">
      <w:pPr>
        <w:pStyle w:val="Default"/>
      </w:pPr>
      <w:r>
        <w:t>Existing</w:t>
      </w:r>
      <w:r w:rsidRPr="001D6E15">
        <w:t xml:space="preserve"> literature has generally found that internal and external factors, such as dividend yield, exchange rate, inflation, interest rate, industrial production, the MSCI world index, financial liberalisation and market integration have had a collective cumulative effect on v</w:t>
      </w:r>
      <w:r>
        <w:t>olatility in the stock market</w:t>
      </w:r>
      <w:r w:rsidR="00F6672E">
        <w:t xml:space="preserve">, </w:t>
      </w:r>
      <w:r w:rsidR="00F6672E" w:rsidRPr="00794DFC">
        <w:t>Ajekwe, Yua</w:t>
      </w:r>
      <w:r w:rsidR="00F6672E">
        <w:t xml:space="preserve">, </w:t>
      </w:r>
      <w:r w:rsidR="00F6672E" w:rsidRPr="00794DFC">
        <w:t>Epor</w:t>
      </w:r>
      <w:r w:rsidR="00F6672E">
        <w:t>, &amp;</w:t>
      </w:r>
      <w:r w:rsidR="00F6672E" w:rsidRPr="00794DFC">
        <w:t>Victor</w:t>
      </w:r>
      <w:r w:rsidR="00F6672E">
        <w:t xml:space="preserve">, </w:t>
      </w:r>
      <w:r w:rsidR="00F6672E" w:rsidRPr="00794DFC">
        <w:t>2024</w:t>
      </w:r>
      <w:r w:rsidR="00026DB7" w:rsidRPr="00794DFC">
        <w:t xml:space="preserve">). </w:t>
      </w:r>
      <w:r>
        <w:t xml:space="preserve"> </w:t>
      </w:r>
    </w:p>
    <w:p w14:paraId="08487AB7" w14:textId="77777777" w:rsidR="00AF630A" w:rsidRDefault="00AF630A" w:rsidP="00CA7F87">
      <w:pPr>
        <w:autoSpaceDE w:val="0"/>
        <w:autoSpaceDN w:val="0"/>
        <w:adjustRightInd w:val="0"/>
        <w:spacing w:after="0" w:line="240" w:lineRule="auto"/>
        <w:jc w:val="both"/>
        <w:rPr>
          <w:rFonts w:ascii="Times New Roman" w:hAnsi="Times New Roman"/>
          <w:b/>
          <w:sz w:val="24"/>
          <w:szCs w:val="24"/>
        </w:rPr>
      </w:pPr>
    </w:p>
    <w:p w14:paraId="142A7A52" w14:textId="3A8B2CF5" w:rsidR="00F133F4" w:rsidRPr="00AF630A" w:rsidRDefault="00F133F4" w:rsidP="00AF630A">
      <w:pPr>
        <w:pStyle w:val="ListParagraph"/>
        <w:numPr>
          <w:ilvl w:val="0"/>
          <w:numId w:val="35"/>
        </w:numPr>
        <w:autoSpaceDE w:val="0"/>
        <w:autoSpaceDN w:val="0"/>
        <w:adjustRightInd w:val="0"/>
        <w:spacing w:after="0" w:line="240" w:lineRule="auto"/>
        <w:ind w:left="284"/>
        <w:jc w:val="both"/>
        <w:rPr>
          <w:rFonts w:ascii="Times New Roman" w:hAnsi="Times New Roman"/>
          <w:b/>
          <w:sz w:val="24"/>
          <w:szCs w:val="24"/>
        </w:rPr>
      </w:pPr>
      <w:r w:rsidRPr="00AF630A">
        <w:rPr>
          <w:rFonts w:ascii="Times New Roman" w:hAnsi="Times New Roman"/>
          <w:b/>
          <w:sz w:val="24"/>
          <w:szCs w:val="24"/>
        </w:rPr>
        <w:t>Economic Growth</w:t>
      </w:r>
    </w:p>
    <w:p w14:paraId="25E396C2" w14:textId="488E2997" w:rsidR="00855800" w:rsidRPr="00F53209" w:rsidRDefault="00F133F4" w:rsidP="00B47A1A">
      <w:pPr>
        <w:autoSpaceDE w:val="0"/>
        <w:autoSpaceDN w:val="0"/>
        <w:adjustRightInd w:val="0"/>
        <w:spacing w:after="0" w:line="240" w:lineRule="auto"/>
        <w:rPr>
          <w:rFonts w:ascii="Times New Roman" w:hAnsi="Times New Roman"/>
          <w:sz w:val="24"/>
          <w:szCs w:val="24"/>
        </w:rPr>
      </w:pPr>
      <w:r w:rsidRPr="005B4BF3">
        <w:rPr>
          <w:rFonts w:ascii="Times New Roman" w:hAnsi="Times New Roman"/>
          <w:sz w:val="24"/>
          <w:szCs w:val="24"/>
        </w:rPr>
        <w:t>Economic growth is simply the percentage or proportionate increase in real income during a given period, usually a year. It is the rate at which Gross Domestic Product (GDP)</w:t>
      </w:r>
      <w:r>
        <w:rPr>
          <w:rFonts w:ascii="Times New Roman" w:hAnsi="Times New Roman"/>
          <w:sz w:val="24"/>
          <w:szCs w:val="24"/>
        </w:rPr>
        <w:t xml:space="preserve"> of a country</w:t>
      </w:r>
      <w:r w:rsidRPr="005B4BF3">
        <w:rPr>
          <w:rFonts w:ascii="Times New Roman" w:hAnsi="Times New Roman"/>
          <w:sz w:val="24"/>
          <w:szCs w:val="24"/>
        </w:rPr>
        <w:t xml:space="preserve"> is increasing –positive growth, or decreasing-negative growth. According to Jhingan (2007), economic growth is related to a quantitative sustained increase in the country’s per capita output or income accompanied by expansion in its labour force, consumption, capital and the volume of trade.</w:t>
      </w:r>
      <w:r>
        <w:rPr>
          <w:rFonts w:ascii="Times New Roman" w:hAnsi="Times New Roman"/>
          <w:sz w:val="24"/>
          <w:szCs w:val="24"/>
        </w:rPr>
        <w:t xml:space="preserve"> </w:t>
      </w:r>
      <w:r w:rsidRPr="00F53209">
        <w:rPr>
          <w:rFonts w:ascii="Times New Roman" w:hAnsi="Times New Roman"/>
          <w:sz w:val="24"/>
          <w:szCs w:val="24"/>
        </w:rPr>
        <w:t xml:space="preserve">It is believed that economic growth is good for stock returns as well as it helps forecast the stability of international asset allocation </w:t>
      </w:r>
      <w:r w:rsidRPr="00F53209">
        <w:rPr>
          <w:rFonts w:ascii="Times New Roman" w:hAnsi="Times New Roman"/>
          <w:sz w:val="24"/>
          <w:szCs w:val="24"/>
        </w:rPr>
        <w:lastRenderedPageBreak/>
        <w:t>decisions (Ritter, 2005</w:t>
      </w:r>
      <w:r w:rsidR="00855800">
        <w:rPr>
          <w:rFonts w:ascii="Times New Roman" w:hAnsi="Times New Roman"/>
          <w:sz w:val="24"/>
          <w:szCs w:val="24"/>
        </w:rPr>
        <w:t xml:space="preserve"> </w:t>
      </w:r>
      <w:r w:rsidR="00855800" w:rsidRPr="002D602E">
        <w:rPr>
          <w:rFonts w:ascii="Times New Roman" w:hAnsi="Times New Roman"/>
          <w:sz w:val="24"/>
          <w:szCs w:val="24"/>
          <w:shd w:val="clear" w:color="auto" w:fill="FFFFFF"/>
        </w:rPr>
        <w:t>Yua , &amp; Temitope</w:t>
      </w:r>
      <w:r w:rsidR="00855800">
        <w:rPr>
          <w:rFonts w:ascii="Times New Roman" w:hAnsi="Times New Roman"/>
          <w:sz w:val="24"/>
          <w:szCs w:val="24"/>
          <w:shd w:val="clear" w:color="auto" w:fill="FFFFFF"/>
        </w:rPr>
        <w:t xml:space="preserve">, </w:t>
      </w:r>
      <w:r w:rsidR="00855800" w:rsidRPr="002D602E">
        <w:rPr>
          <w:rFonts w:ascii="Times New Roman" w:hAnsi="Times New Roman"/>
          <w:sz w:val="24"/>
          <w:szCs w:val="24"/>
          <w:shd w:val="clear" w:color="auto" w:fill="FFFFFF"/>
        </w:rPr>
        <w:t>2024).</w:t>
      </w:r>
      <w:r w:rsidRPr="00F53209">
        <w:rPr>
          <w:rFonts w:ascii="Times New Roman" w:hAnsi="Times New Roman"/>
          <w:sz w:val="24"/>
          <w:szCs w:val="24"/>
        </w:rPr>
        <w:t xml:space="preserve"> </w:t>
      </w:r>
    </w:p>
    <w:p w14:paraId="6091F075" w14:textId="77777777" w:rsidR="00F133F4" w:rsidRPr="005B4BF3" w:rsidRDefault="00F133F4" w:rsidP="00CA7F87">
      <w:pPr>
        <w:autoSpaceDE w:val="0"/>
        <w:autoSpaceDN w:val="0"/>
        <w:adjustRightInd w:val="0"/>
        <w:spacing w:after="0" w:line="240" w:lineRule="auto"/>
        <w:jc w:val="both"/>
        <w:rPr>
          <w:rFonts w:ascii="Times New Roman" w:hAnsi="Times New Roman"/>
          <w:b/>
          <w:sz w:val="24"/>
          <w:szCs w:val="24"/>
        </w:rPr>
      </w:pPr>
    </w:p>
    <w:p w14:paraId="1231F87D" w14:textId="48E7105C" w:rsidR="006C4E55" w:rsidRPr="00B47A1A" w:rsidRDefault="006C4E55" w:rsidP="00B47A1A">
      <w:pPr>
        <w:pStyle w:val="Default"/>
        <w:rPr>
          <w:b/>
          <w:bCs/>
          <w:color w:val="auto"/>
        </w:rPr>
      </w:pPr>
      <w:r w:rsidRPr="00B47A1A">
        <w:rPr>
          <w:b/>
          <w:bCs/>
          <w:color w:val="auto"/>
        </w:rPr>
        <w:t>THEORETICAL PERSPECTIVE</w:t>
      </w:r>
    </w:p>
    <w:p w14:paraId="1DAACFA3" w14:textId="1460B481" w:rsidR="00F133F4" w:rsidRPr="002D2C9F" w:rsidRDefault="00F133F4" w:rsidP="00AF630A">
      <w:pPr>
        <w:pStyle w:val="Default"/>
        <w:numPr>
          <w:ilvl w:val="0"/>
          <w:numId w:val="34"/>
        </w:numPr>
        <w:ind w:left="284"/>
        <w:jc w:val="both"/>
      </w:pPr>
      <w:r w:rsidRPr="002D2C9F">
        <w:rPr>
          <w:b/>
          <w:bCs/>
          <w:iCs/>
        </w:rPr>
        <w:t xml:space="preserve">Demand Following </w:t>
      </w:r>
      <w:r>
        <w:rPr>
          <w:b/>
          <w:bCs/>
          <w:iCs/>
        </w:rPr>
        <w:t>and Supply Leading Hypothese</w:t>
      </w:r>
      <w:r w:rsidRPr="002D2C9F">
        <w:rPr>
          <w:b/>
          <w:bCs/>
          <w:iCs/>
        </w:rPr>
        <w:t>s</w:t>
      </w:r>
      <w:r w:rsidRPr="002D2C9F">
        <w:rPr>
          <w:b/>
          <w:bCs/>
        </w:rPr>
        <w:t xml:space="preserve">: </w:t>
      </w:r>
    </w:p>
    <w:p w14:paraId="3CEC593C" w14:textId="77777777" w:rsidR="00F133F4" w:rsidRPr="0090759E" w:rsidRDefault="0028709F" w:rsidP="00B47A1A">
      <w:pPr>
        <w:spacing w:after="100" w:afterAutospacing="1" w:line="240" w:lineRule="auto"/>
        <w:rPr>
          <w:rFonts w:ascii="Times New Roman" w:eastAsia="Times New Roman" w:hAnsi="Times New Roman"/>
          <w:sz w:val="24"/>
          <w:szCs w:val="24"/>
        </w:rPr>
      </w:pPr>
      <w:r w:rsidRPr="0028709F">
        <w:rPr>
          <w:rFonts w:ascii="Times New Roman" w:eastAsia="Times New Roman" w:hAnsi="Times New Roman"/>
          <w:sz w:val="24"/>
          <w:szCs w:val="24"/>
        </w:rPr>
        <w:t xml:space="preserve">The </w:t>
      </w:r>
      <w:r w:rsidRPr="0028709F">
        <w:rPr>
          <w:rFonts w:ascii="Times New Roman" w:eastAsia="Times New Roman" w:hAnsi="Times New Roman"/>
          <w:bCs/>
          <w:sz w:val="24"/>
          <w:szCs w:val="24"/>
        </w:rPr>
        <w:t>Demand Following Hypothesis</w:t>
      </w:r>
      <w:r w:rsidRPr="0028709F">
        <w:rPr>
          <w:rFonts w:ascii="Times New Roman" w:eastAsia="Times New Roman" w:hAnsi="Times New Roman"/>
          <w:sz w:val="24"/>
          <w:szCs w:val="24"/>
        </w:rPr>
        <w:t xml:space="preserve"> suggests that </w:t>
      </w:r>
      <w:r w:rsidRPr="0028709F">
        <w:rPr>
          <w:rFonts w:ascii="Times New Roman" w:eastAsia="Times New Roman" w:hAnsi="Times New Roman"/>
          <w:bCs/>
          <w:sz w:val="24"/>
          <w:szCs w:val="24"/>
        </w:rPr>
        <w:t>eco</w:t>
      </w:r>
      <w:r>
        <w:rPr>
          <w:rFonts w:ascii="Times New Roman" w:eastAsia="Times New Roman" w:hAnsi="Times New Roman"/>
          <w:bCs/>
          <w:sz w:val="24"/>
          <w:szCs w:val="24"/>
        </w:rPr>
        <w:t xml:space="preserve">nomic growth leads to financial </w:t>
      </w:r>
      <w:r w:rsidRPr="0028709F">
        <w:rPr>
          <w:rFonts w:ascii="Times New Roman" w:eastAsia="Times New Roman" w:hAnsi="Times New Roman"/>
          <w:bCs/>
          <w:sz w:val="24"/>
          <w:szCs w:val="24"/>
        </w:rPr>
        <w:t>development</w:t>
      </w:r>
      <w:r>
        <w:rPr>
          <w:rFonts w:ascii="Times New Roman" w:eastAsia="Times New Roman" w:hAnsi="Times New Roman"/>
          <w:sz w:val="24"/>
          <w:szCs w:val="24"/>
        </w:rPr>
        <w:t xml:space="preserve">. </w:t>
      </w:r>
      <w:r w:rsidRPr="0028709F">
        <w:rPr>
          <w:rFonts w:ascii="Times New Roman" w:eastAsia="Times New Roman" w:hAnsi="Times New Roman"/>
          <w:sz w:val="24"/>
          <w:szCs w:val="24"/>
        </w:rPr>
        <w:t xml:space="preserve">In this view, as </w:t>
      </w:r>
      <w:r>
        <w:rPr>
          <w:rFonts w:ascii="Times New Roman" w:eastAsia="Times New Roman" w:hAnsi="Times New Roman"/>
          <w:sz w:val="24"/>
          <w:szCs w:val="24"/>
        </w:rPr>
        <w:t xml:space="preserve">the economy grows, </w:t>
      </w:r>
      <w:r w:rsidRPr="0028709F">
        <w:rPr>
          <w:rFonts w:ascii="Times New Roman" w:eastAsia="Times New Roman" w:hAnsi="Times New Roman"/>
          <w:sz w:val="24"/>
          <w:szCs w:val="24"/>
        </w:rPr>
        <w:t>businesses expand, incomes</w:t>
      </w:r>
      <w:r>
        <w:rPr>
          <w:rFonts w:ascii="Times New Roman" w:eastAsia="Times New Roman" w:hAnsi="Times New Roman"/>
          <w:sz w:val="24"/>
          <w:szCs w:val="24"/>
        </w:rPr>
        <w:t xml:space="preserve"> rise, and industries develop, </w:t>
      </w:r>
      <w:r w:rsidRPr="0028709F">
        <w:rPr>
          <w:rFonts w:ascii="Times New Roman" w:eastAsia="Times New Roman" w:hAnsi="Times New Roman"/>
          <w:sz w:val="24"/>
          <w:szCs w:val="24"/>
        </w:rPr>
        <w:t xml:space="preserve">there is </w:t>
      </w:r>
      <w:r w:rsidRPr="0028709F">
        <w:rPr>
          <w:rFonts w:ascii="Times New Roman" w:eastAsia="Times New Roman" w:hAnsi="Times New Roman"/>
          <w:bCs/>
          <w:sz w:val="24"/>
          <w:szCs w:val="24"/>
        </w:rPr>
        <w:t>increased demand for financial services</w:t>
      </w:r>
      <w:r w:rsidRPr="0028709F">
        <w:rPr>
          <w:rFonts w:ascii="Times New Roman" w:eastAsia="Times New Roman" w:hAnsi="Times New Roman"/>
          <w:sz w:val="24"/>
          <w:szCs w:val="24"/>
        </w:rPr>
        <w:t xml:space="preserve"> like banking, ins</w:t>
      </w:r>
      <w:r>
        <w:rPr>
          <w:rFonts w:ascii="Times New Roman" w:eastAsia="Times New Roman" w:hAnsi="Times New Roman"/>
          <w:sz w:val="24"/>
          <w:szCs w:val="24"/>
        </w:rPr>
        <w:t xml:space="preserve">urance, loans, and investments. </w:t>
      </w:r>
      <w:r w:rsidRPr="0028709F">
        <w:rPr>
          <w:rFonts w:ascii="Times New Roman" w:eastAsia="Times New Roman" w:hAnsi="Times New Roman"/>
          <w:sz w:val="24"/>
          <w:szCs w:val="24"/>
        </w:rPr>
        <w:t xml:space="preserve">Financial institutions, markets, and products </w:t>
      </w:r>
      <w:r w:rsidRPr="0028709F">
        <w:rPr>
          <w:rFonts w:ascii="Times New Roman" w:eastAsia="Times New Roman" w:hAnsi="Times New Roman"/>
          <w:bCs/>
          <w:sz w:val="24"/>
          <w:szCs w:val="24"/>
        </w:rPr>
        <w:t>develop in response to</w:t>
      </w:r>
      <w:r w:rsidRPr="0028709F">
        <w:rPr>
          <w:rFonts w:ascii="Times New Roman" w:eastAsia="Times New Roman" w:hAnsi="Times New Roman"/>
          <w:sz w:val="24"/>
          <w:szCs w:val="24"/>
        </w:rPr>
        <w:t xml:space="preserve"> this growing demand.</w:t>
      </w:r>
      <w:r>
        <w:rPr>
          <w:rFonts w:ascii="Times New Roman" w:eastAsia="Times New Roman" w:hAnsi="Times New Roman"/>
          <w:sz w:val="24"/>
          <w:szCs w:val="24"/>
        </w:rPr>
        <w:t xml:space="preserve"> </w:t>
      </w:r>
      <w:r w:rsidRPr="0028709F">
        <w:rPr>
          <w:rFonts w:ascii="Times New Roman" w:eastAsia="Times New Roman" w:hAnsi="Times New Roman"/>
          <w:bCs/>
          <w:sz w:val="24"/>
          <w:szCs w:val="24"/>
        </w:rPr>
        <w:t>Example:</w:t>
      </w:r>
      <w:r w:rsidRPr="0028709F">
        <w:rPr>
          <w:rFonts w:ascii="Times New Roman" w:eastAsia="Times New Roman" w:hAnsi="Times New Roman"/>
          <w:sz w:val="24"/>
          <w:szCs w:val="24"/>
        </w:rPr>
        <w:t xml:space="preserve"> When a country's industries and trade grow rapidly, banks expand to serve more customers and offer more sophisticated products.</w:t>
      </w:r>
      <w:r>
        <w:rPr>
          <w:rFonts w:ascii="Times New Roman" w:eastAsia="Times New Roman" w:hAnsi="Times New Roman"/>
          <w:sz w:val="24"/>
          <w:szCs w:val="24"/>
        </w:rPr>
        <w:t xml:space="preserve"> </w:t>
      </w:r>
      <w:r w:rsidRPr="0028709F">
        <w:rPr>
          <w:rFonts w:ascii="Times New Roman" w:eastAsia="Times New Roman" w:hAnsi="Times New Roman"/>
          <w:sz w:val="24"/>
          <w:szCs w:val="24"/>
        </w:rPr>
        <w:t xml:space="preserve">The </w:t>
      </w:r>
      <w:r w:rsidRPr="0028709F">
        <w:rPr>
          <w:rFonts w:ascii="Times New Roman" w:eastAsia="Times New Roman" w:hAnsi="Times New Roman"/>
          <w:bCs/>
          <w:sz w:val="24"/>
          <w:szCs w:val="24"/>
        </w:rPr>
        <w:t>Supply Leading Hypothesis</w:t>
      </w:r>
      <w:r w:rsidRPr="0028709F">
        <w:rPr>
          <w:rFonts w:ascii="Times New Roman" w:eastAsia="Times New Roman" w:hAnsi="Times New Roman"/>
          <w:sz w:val="24"/>
          <w:szCs w:val="24"/>
        </w:rPr>
        <w:t xml:space="preserve"> argues that </w:t>
      </w:r>
      <w:r w:rsidRPr="0028709F">
        <w:rPr>
          <w:rFonts w:ascii="Times New Roman" w:eastAsia="Times New Roman" w:hAnsi="Times New Roman"/>
          <w:bCs/>
          <w:sz w:val="24"/>
          <w:szCs w:val="24"/>
        </w:rPr>
        <w:t>financial development drives economic growth</w:t>
      </w:r>
      <w:r>
        <w:rPr>
          <w:rFonts w:ascii="Times New Roman" w:eastAsia="Times New Roman" w:hAnsi="Times New Roman"/>
          <w:sz w:val="24"/>
          <w:szCs w:val="24"/>
        </w:rPr>
        <w:t xml:space="preserve">. </w:t>
      </w:r>
      <w:r w:rsidRPr="0028709F">
        <w:rPr>
          <w:rFonts w:ascii="Times New Roman" w:eastAsia="Times New Roman" w:hAnsi="Times New Roman"/>
          <w:sz w:val="24"/>
          <w:szCs w:val="24"/>
        </w:rPr>
        <w:t xml:space="preserve">Here, the idea is that a strong </w:t>
      </w:r>
      <w:r>
        <w:rPr>
          <w:rFonts w:ascii="Times New Roman" w:eastAsia="Times New Roman" w:hAnsi="Times New Roman"/>
          <w:sz w:val="24"/>
          <w:szCs w:val="24"/>
        </w:rPr>
        <w:t xml:space="preserve">and advanced financial system, </w:t>
      </w:r>
      <w:r w:rsidRPr="0028709F">
        <w:rPr>
          <w:rFonts w:ascii="Times New Roman" w:eastAsia="Times New Roman" w:hAnsi="Times New Roman"/>
          <w:sz w:val="24"/>
          <w:szCs w:val="24"/>
        </w:rPr>
        <w:t>with banks, stock ma</w:t>
      </w:r>
      <w:r>
        <w:rPr>
          <w:rFonts w:ascii="Times New Roman" w:eastAsia="Times New Roman" w:hAnsi="Times New Roman"/>
          <w:sz w:val="24"/>
          <w:szCs w:val="24"/>
        </w:rPr>
        <w:t xml:space="preserve">rkets, and other institutions, </w:t>
      </w:r>
      <w:r w:rsidRPr="0028709F">
        <w:rPr>
          <w:rFonts w:ascii="Times New Roman" w:eastAsia="Times New Roman" w:hAnsi="Times New Roman"/>
          <w:sz w:val="24"/>
          <w:szCs w:val="24"/>
        </w:rPr>
        <w:t>provides the resources, services, and infrastructure needed for businesses to grow and investments to happen.</w:t>
      </w:r>
      <w:r w:rsidRPr="0028709F">
        <w:rPr>
          <w:rFonts w:ascii="Times New Roman" w:eastAsia="Times New Roman" w:hAnsi="Times New Roman"/>
          <w:sz w:val="24"/>
          <w:szCs w:val="24"/>
        </w:rPr>
        <w:br/>
      </w:r>
      <w:r w:rsidRPr="0028709F">
        <w:rPr>
          <w:rFonts w:ascii="Times New Roman" w:eastAsia="Times New Roman" w:hAnsi="Times New Roman"/>
          <w:sz w:val="24"/>
          <w:szCs w:val="24"/>
        </w:rPr>
        <w:t xml:space="preserve">Thus, </w:t>
      </w:r>
      <w:r w:rsidRPr="0028709F">
        <w:rPr>
          <w:rFonts w:ascii="Times New Roman" w:eastAsia="Times New Roman" w:hAnsi="Times New Roman"/>
          <w:bCs/>
          <w:sz w:val="24"/>
          <w:szCs w:val="24"/>
        </w:rPr>
        <w:t>developing financial institutions actually stimulates economic development</w:t>
      </w:r>
      <w:r w:rsidRPr="0028709F">
        <w:rPr>
          <w:rFonts w:ascii="Times New Roman" w:eastAsia="Times New Roman" w:hAnsi="Times New Roman"/>
          <w:sz w:val="24"/>
          <w:szCs w:val="24"/>
        </w:rPr>
        <w:t>.</w:t>
      </w:r>
      <w:r>
        <w:rPr>
          <w:rFonts w:ascii="Times New Roman" w:eastAsia="Times New Roman" w:hAnsi="Times New Roman"/>
          <w:sz w:val="24"/>
          <w:szCs w:val="24"/>
        </w:rPr>
        <w:t xml:space="preserve"> For instance, w</w:t>
      </w:r>
      <w:r w:rsidRPr="0028709F">
        <w:rPr>
          <w:rFonts w:ascii="Times New Roman" w:eastAsia="Times New Roman" w:hAnsi="Times New Roman"/>
          <w:sz w:val="24"/>
          <w:szCs w:val="24"/>
        </w:rPr>
        <w:t>hen governments focus on creating modern banking systems and financial regulations, it encourages entrepreneurship, trade, and industry expansion.</w:t>
      </w:r>
    </w:p>
    <w:p w14:paraId="52283567" w14:textId="4EFD40CD" w:rsidR="00F133F4" w:rsidRPr="006E1C5A" w:rsidRDefault="00F133F4" w:rsidP="00AF630A">
      <w:pPr>
        <w:pStyle w:val="Default"/>
        <w:numPr>
          <w:ilvl w:val="0"/>
          <w:numId w:val="34"/>
        </w:numPr>
        <w:ind w:left="142"/>
      </w:pPr>
      <w:r w:rsidRPr="00E04428">
        <w:rPr>
          <w:b/>
          <w:bCs/>
          <w:iCs/>
        </w:rPr>
        <w:t>Efficient Market Hypothesis (EMH)</w:t>
      </w:r>
      <w:r w:rsidRPr="006E1C5A">
        <w:rPr>
          <w:b/>
          <w:bCs/>
        </w:rPr>
        <w:t xml:space="preserve"> </w:t>
      </w:r>
    </w:p>
    <w:p w14:paraId="6B958BC1" w14:textId="64ABD096" w:rsidR="00BE5E40" w:rsidRPr="00FC2605" w:rsidRDefault="00F133F4" w:rsidP="00B47A1A">
      <w:pPr>
        <w:spacing w:after="0" w:line="240" w:lineRule="auto"/>
        <w:rPr>
          <w:rFonts w:ascii="Times New Roman" w:hAnsi="Times New Roman"/>
          <w:sz w:val="24"/>
          <w:szCs w:val="24"/>
        </w:rPr>
      </w:pPr>
      <w:r w:rsidRPr="00FC2605">
        <w:rPr>
          <w:rFonts w:ascii="Times New Roman" w:hAnsi="Times New Roman"/>
          <w:sz w:val="24"/>
          <w:szCs w:val="24"/>
        </w:rPr>
        <w:t>Developed by Fama (1965)</w:t>
      </w:r>
      <w:r w:rsidR="006C4E55">
        <w:rPr>
          <w:rFonts w:ascii="Times New Roman" w:hAnsi="Times New Roman"/>
          <w:sz w:val="24"/>
          <w:szCs w:val="24"/>
        </w:rPr>
        <w:t>,</w:t>
      </w:r>
      <w:r w:rsidRPr="00FC2605">
        <w:rPr>
          <w:rFonts w:ascii="Times New Roman" w:hAnsi="Times New Roman"/>
          <w:sz w:val="24"/>
          <w:szCs w:val="24"/>
        </w:rPr>
        <w:t xml:space="preserve"> EMH </w:t>
      </w:r>
      <w:r w:rsidR="00FC2605" w:rsidRPr="00FC2605">
        <w:rPr>
          <w:rFonts w:ascii="Times New Roman" w:hAnsi="Times New Roman"/>
          <w:sz w:val="24"/>
          <w:szCs w:val="24"/>
        </w:rPr>
        <w:t>suggests that financ</w:t>
      </w:r>
      <w:r w:rsidR="009C669D">
        <w:rPr>
          <w:rFonts w:ascii="Times New Roman" w:hAnsi="Times New Roman"/>
          <w:sz w:val="24"/>
          <w:szCs w:val="24"/>
        </w:rPr>
        <w:t>ial markets are "information</w:t>
      </w:r>
      <w:r w:rsidR="00E313AB">
        <w:rPr>
          <w:rFonts w:ascii="Times New Roman" w:hAnsi="Times New Roman"/>
          <w:sz w:val="24"/>
          <w:szCs w:val="24"/>
        </w:rPr>
        <w:t>ally</w:t>
      </w:r>
      <w:r w:rsidR="00FC2605" w:rsidRPr="00FC2605">
        <w:rPr>
          <w:rFonts w:ascii="Times New Roman" w:hAnsi="Times New Roman"/>
          <w:sz w:val="24"/>
          <w:szCs w:val="24"/>
        </w:rPr>
        <w:t xml:space="preserve"> efficient." This means that asset prices, such as stock prices, always reflect all available information at any given time. In an efficient market, it is impossible to consistently achieve returns that outperform the overall market through stock picking or market timing because any new information that could affect a stock’s value is already incorporated into its price almost immediately.</w:t>
      </w:r>
    </w:p>
    <w:p w14:paraId="631F550F" w14:textId="77777777" w:rsidR="00E313AB" w:rsidRDefault="00E313AB" w:rsidP="00CA7F87">
      <w:pPr>
        <w:autoSpaceDE w:val="0"/>
        <w:autoSpaceDN w:val="0"/>
        <w:adjustRightInd w:val="0"/>
        <w:spacing w:after="0" w:line="240" w:lineRule="auto"/>
        <w:jc w:val="both"/>
        <w:rPr>
          <w:rFonts w:ascii="Times New Roman" w:hAnsi="Times New Roman"/>
          <w:b/>
          <w:bCs/>
          <w:sz w:val="24"/>
          <w:szCs w:val="24"/>
        </w:rPr>
      </w:pPr>
    </w:p>
    <w:p w14:paraId="440F1AA8" w14:textId="502BA7C4" w:rsidR="0064082A" w:rsidRPr="00B47A1A" w:rsidRDefault="006C4E55" w:rsidP="00CA7F87">
      <w:pPr>
        <w:autoSpaceDE w:val="0"/>
        <w:autoSpaceDN w:val="0"/>
        <w:adjustRightInd w:val="0"/>
        <w:spacing w:after="0" w:line="240" w:lineRule="auto"/>
        <w:jc w:val="both"/>
        <w:rPr>
          <w:rFonts w:ascii="Times New Roman" w:hAnsi="Times New Roman"/>
          <w:b/>
          <w:bCs/>
          <w:sz w:val="24"/>
          <w:szCs w:val="24"/>
        </w:rPr>
      </w:pPr>
      <w:r w:rsidRPr="00B47A1A">
        <w:rPr>
          <w:rFonts w:ascii="Times New Roman" w:hAnsi="Times New Roman"/>
          <w:b/>
          <w:bCs/>
          <w:sz w:val="24"/>
          <w:szCs w:val="24"/>
        </w:rPr>
        <w:t xml:space="preserve">EMPIRICAL PERSPECTIVE </w:t>
      </w:r>
    </w:p>
    <w:p w14:paraId="666E97E4" w14:textId="48E2B0DA" w:rsidR="006C4E55" w:rsidRPr="00B47A1A" w:rsidRDefault="006C4E55" w:rsidP="00CA7F87">
      <w:pPr>
        <w:autoSpaceDE w:val="0"/>
        <w:autoSpaceDN w:val="0"/>
        <w:adjustRightInd w:val="0"/>
        <w:spacing w:after="0" w:line="240" w:lineRule="auto"/>
        <w:jc w:val="both"/>
        <w:rPr>
          <w:rFonts w:ascii="Times New Roman" w:hAnsi="Times New Roman"/>
          <w:sz w:val="24"/>
          <w:szCs w:val="24"/>
        </w:rPr>
      </w:pPr>
      <w:r w:rsidRPr="00B47A1A">
        <w:rPr>
          <w:rFonts w:ascii="Times New Roman" w:hAnsi="Times New Roman"/>
          <w:sz w:val="24"/>
          <w:szCs w:val="24"/>
        </w:rPr>
        <w:t>The empirical perspective to this study can best be illustrated by table 2 below;</w:t>
      </w:r>
    </w:p>
    <w:p w14:paraId="6A7032AE" w14:textId="77777777" w:rsidR="00B47A1A" w:rsidRDefault="00B47A1A" w:rsidP="00CA7F87">
      <w:pPr>
        <w:pStyle w:val="NormalWeb"/>
        <w:spacing w:before="240" w:beforeAutospacing="0" w:after="0" w:afterAutospacing="0"/>
        <w:ind w:firstLine="720"/>
        <w:jc w:val="both"/>
        <w:rPr>
          <w:b/>
        </w:rPr>
        <w:sectPr w:rsidR="00B47A1A" w:rsidSect="00B47A1A">
          <w:type w:val="continuous"/>
          <w:pgSz w:w="12240" w:h="15840"/>
          <w:pgMar w:top="1135" w:right="1183" w:bottom="1440" w:left="1440" w:header="720" w:footer="720" w:gutter="0"/>
          <w:cols w:num="2" w:space="720"/>
          <w:docGrid w:linePitch="360"/>
        </w:sectPr>
      </w:pPr>
    </w:p>
    <w:p w14:paraId="127E82B0" w14:textId="55F9319D" w:rsidR="0064082A" w:rsidRPr="00731E30" w:rsidRDefault="0064082A" w:rsidP="00CA7F87">
      <w:pPr>
        <w:pStyle w:val="NormalWeb"/>
        <w:spacing w:before="240" w:beforeAutospacing="0" w:after="0" w:afterAutospacing="0"/>
        <w:ind w:firstLine="720"/>
        <w:jc w:val="both"/>
        <w:rPr>
          <w:b/>
        </w:rPr>
      </w:pPr>
      <w:r w:rsidRPr="00731E30">
        <w:rPr>
          <w:b/>
        </w:rPr>
        <w:t>Table 2   Literature Exploration</w:t>
      </w:r>
    </w:p>
    <w:tbl>
      <w:tblPr>
        <w:tblW w:w="9049" w:type="dxa"/>
        <w:tblInd w:w="763" w:type="dxa"/>
        <w:tblLook w:val="04A0" w:firstRow="1" w:lastRow="0" w:firstColumn="1" w:lastColumn="0" w:noHBand="0" w:noVBand="1"/>
      </w:tblPr>
      <w:tblGrid>
        <w:gridCol w:w="1631"/>
        <w:gridCol w:w="1437"/>
        <w:gridCol w:w="1682"/>
        <w:gridCol w:w="2004"/>
        <w:gridCol w:w="2295"/>
      </w:tblGrid>
      <w:tr w:rsidR="0064082A" w:rsidRPr="00731E30" w14:paraId="37DB5A55" w14:textId="77777777" w:rsidTr="00303B4A">
        <w:trPr>
          <w:trHeight w:val="254"/>
        </w:trPr>
        <w:tc>
          <w:tcPr>
            <w:tcW w:w="1631" w:type="dxa"/>
            <w:tcBorders>
              <w:top w:val="single" w:sz="4" w:space="0" w:color="auto"/>
              <w:left w:val="nil"/>
              <w:bottom w:val="single" w:sz="4" w:space="0" w:color="auto"/>
            </w:tcBorders>
            <w:noWrap/>
            <w:vAlign w:val="bottom"/>
            <w:hideMark/>
          </w:tcPr>
          <w:p w14:paraId="1A6863BF"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Author/Year</w:t>
            </w:r>
          </w:p>
        </w:tc>
        <w:tc>
          <w:tcPr>
            <w:tcW w:w="1437" w:type="dxa"/>
            <w:tcBorders>
              <w:top w:val="single" w:sz="4" w:space="0" w:color="auto"/>
              <w:bottom w:val="single" w:sz="4" w:space="0" w:color="auto"/>
            </w:tcBorders>
            <w:noWrap/>
            <w:hideMark/>
          </w:tcPr>
          <w:p w14:paraId="31C746A4"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Study Area</w:t>
            </w:r>
          </w:p>
        </w:tc>
        <w:tc>
          <w:tcPr>
            <w:tcW w:w="1682" w:type="dxa"/>
            <w:tcBorders>
              <w:top w:val="single" w:sz="4" w:space="0" w:color="auto"/>
              <w:bottom w:val="single" w:sz="4" w:space="0" w:color="auto"/>
            </w:tcBorders>
            <w:noWrap/>
            <w:vAlign w:val="bottom"/>
            <w:hideMark/>
          </w:tcPr>
          <w:p w14:paraId="44EDDA85"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hAnsi="Times New Roman"/>
                <w:bCs/>
                <w:sz w:val="18"/>
                <w:szCs w:val="18"/>
              </w:rPr>
              <w:t>Title of the Study</w:t>
            </w:r>
          </w:p>
        </w:tc>
        <w:tc>
          <w:tcPr>
            <w:tcW w:w="2004" w:type="dxa"/>
            <w:tcBorders>
              <w:top w:val="single" w:sz="4" w:space="0" w:color="auto"/>
              <w:bottom w:val="single" w:sz="4" w:space="0" w:color="auto"/>
            </w:tcBorders>
            <w:noWrap/>
            <w:vAlign w:val="bottom"/>
            <w:hideMark/>
          </w:tcPr>
          <w:p w14:paraId="73E4EB18"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Methodology</w:t>
            </w:r>
          </w:p>
        </w:tc>
        <w:tc>
          <w:tcPr>
            <w:tcW w:w="2295" w:type="dxa"/>
            <w:tcBorders>
              <w:top w:val="single" w:sz="4" w:space="0" w:color="auto"/>
              <w:bottom w:val="single" w:sz="4" w:space="0" w:color="auto"/>
            </w:tcBorders>
            <w:noWrap/>
            <w:vAlign w:val="bottom"/>
            <w:hideMark/>
          </w:tcPr>
          <w:p w14:paraId="301BDC33"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Findings</w:t>
            </w:r>
          </w:p>
        </w:tc>
      </w:tr>
      <w:tr w:rsidR="0064082A" w:rsidRPr="00731E30" w14:paraId="31767A93" w14:textId="77777777" w:rsidTr="00303B4A">
        <w:trPr>
          <w:trHeight w:val="254"/>
        </w:trPr>
        <w:tc>
          <w:tcPr>
            <w:tcW w:w="1631" w:type="dxa"/>
            <w:tcBorders>
              <w:top w:val="single" w:sz="4" w:space="0" w:color="auto"/>
              <w:left w:val="nil"/>
              <w:bottom w:val="single" w:sz="4" w:space="0" w:color="auto"/>
            </w:tcBorders>
            <w:noWrap/>
            <w:hideMark/>
          </w:tcPr>
          <w:p w14:paraId="7525457E"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 King and Levine (1993)</w:t>
            </w:r>
          </w:p>
        </w:tc>
        <w:tc>
          <w:tcPr>
            <w:tcW w:w="1437" w:type="dxa"/>
            <w:tcBorders>
              <w:top w:val="single" w:sz="4" w:space="0" w:color="auto"/>
              <w:bottom w:val="single" w:sz="4" w:space="0" w:color="auto"/>
            </w:tcBorders>
            <w:noWrap/>
            <w:hideMark/>
          </w:tcPr>
          <w:p w14:paraId="31E7F214"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USA</w:t>
            </w:r>
          </w:p>
        </w:tc>
        <w:tc>
          <w:tcPr>
            <w:tcW w:w="1682" w:type="dxa"/>
            <w:tcBorders>
              <w:top w:val="single" w:sz="4" w:space="0" w:color="auto"/>
              <w:bottom w:val="single" w:sz="4" w:space="0" w:color="auto"/>
            </w:tcBorders>
            <w:noWrap/>
            <w:hideMark/>
          </w:tcPr>
          <w:p w14:paraId="2A3EB41F"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The relationship between financial development and economic growth</w:t>
            </w:r>
          </w:p>
        </w:tc>
        <w:tc>
          <w:tcPr>
            <w:tcW w:w="2004" w:type="dxa"/>
            <w:tcBorders>
              <w:top w:val="single" w:sz="4" w:space="0" w:color="auto"/>
              <w:bottom w:val="single" w:sz="4" w:space="0" w:color="auto"/>
            </w:tcBorders>
            <w:noWrap/>
            <w:hideMark/>
          </w:tcPr>
          <w:p w14:paraId="4290CE59"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 Three Stage Least Squares</w:t>
            </w:r>
          </w:p>
        </w:tc>
        <w:tc>
          <w:tcPr>
            <w:tcW w:w="2295" w:type="dxa"/>
            <w:tcBorders>
              <w:top w:val="single" w:sz="4" w:space="0" w:color="auto"/>
              <w:bottom w:val="single" w:sz="4" w:space="0" w:color="auto"/>
            </w:tcBorders>
            <w:noWrap/>
            <w:hideMark/>
          </w:tcPr>
          <w:p w14:paraId="4848F1F1"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 </w:t>
            </w:r>
            <w:r w:rsidRPr="00731E30">
              <w:rPr>
                <w:rFonts w:ascii="Times New Roman" w:hAnsi="Times New Roman"/>
                <w:sz w:val="18"/>
                <w:szCs w:val="18"/>
              </w:rPr>
              <w:t>The study found that, the level of financial development predicts future economic growth and future productive advances</w:t>
            </w:r>
          </w:p>
        </w:tc>
      </w:tr>
      <w:tr w:rsidR="0064082A" w:rsidRPr="00731E30" w14:paraId="369362BF" w14:textId="77777777" w:rsidTr="00303B4A">
        <w:trPr>
          <w:trHeight w:val="254"/>
        </w:trPr>
        <w:tc>
          <w:tcPr>
            <w:tcW w:w="1631" w:type="dxa"/>
            <w:tcBorders>
              <w:top w:val="single" w:sz="4" w:space="0" w:color="auto"/>
              <w:left w:val="nil"/>
              <w:bottom w:val="single" w:sz="4" w:space="0" w:color="auto"/>
            </w:tcBorders>
            <w:noWrap/>
            <w:hideMark/>
          </w:tcPr>
          <w:p w14:paraId="294932F2" w14:textId="77777777" w:rsidR="0064082A" w:rsidRPr="00731E30" w:rsidRDefault="00731E30" w:rsidP="00CA7F87">
            <w:pPr>
              <w:spacing w:after="0" w:line="240" w:lineRule="auto"/>
              <w:rPr>
                <w:rFonts w:ascii="Times New Roman" w:eastAsia="Times New Roman" w:hAnsi="Times New Roman"/>
                <w:sz w:val="18"/>
                <w:szCs w:val="18"/>
              </w:rPr>
            </w:pPr>
            <w:r>
              <w:rPr>
                <w:rFonts w:ascii="Times New Roman" w:eastAsia="Times New Roman" w:hAnsi="Times New Roman"/>
                <w:sz w:val="18"/>
                <w:szCs w:val="18"/>
              </w:rPr>
              <w:t> Hassan, Sanchez and Yu (202</w:t>
            </w:r>
            <w:r w:rsidR="0064082A" w:rsidRPr="00731E30">
              <w:rPr>
                <w:rFonts w:ascii="Times New Roman" w:eastAsia="Times New Roman" w:hAnsi="Times New Roman"/>
                <w:sz w:val="18"/>
                <w:szCs w:val="18"/>
              </w:rPr>
              <w:t>1)</w:t>
            </w:r>
          </w:p>
        </w:tc>
        <w:tc>
          <w:tcPr>
            <w:tcW w:w="1437" w:type="dxa"/>
            <w:tcBorders>
              <w:top w:val="single" w:sz="4" w:space="0" w:color="auto"/>
              <w:bottom w:val="single" w:sz="4" w:space="0" w:color="auto"/>
            </w:tcBorders>
            <w:noWrap/>
            <w:hideMark/>
          </w:tcPr>
          <w:p w14:paraId="783423B6"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168 Countries</w:t>
            </w:r>
          </w:p>
        </w:tc>
        <w:tc>
          <w:tcPr>
            <w:tcW w:w="1682" w:type="dxa"/>
            <w:tcBorders>
              <w:top w:val="single" w:sz="4" w:space="0" w:color="auto"/>
              <w:bottom w:val="single" w:sz="4" w:space="0" w:color="auto"/>
            </w:tcBorders>
            <w:noWrap/>
            <w:hideMark/>
          </w:tcPr>
          <w:p w14:paraId="034AE6FF"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Causal Relationship financial development and economic growth</w:t>
            </w:r>
          </w:p>
        </w:tc>
        <w:tc>
          <w:tcPr>
            <w:tcW w:w="2004" w:type="dxa"/>
            <w:tcBorders>
              <w:top w:val="single" w:sz="4" w:space="0" w:color="auto"/>
              <w:bottom w:val="single" w:sz="4" w:space="0" w:color="auto"/>
            </w:tcBorders>
            <w:noWrap/>
            <w:hideMark/>
          </w:tcPr>
          <w:p w14:paraId="6B8C6B13"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 Panel Regression Analysis</w:t>
            </w:r>
          </w:p>
        </w:tc>
        <w:tc>
          <w:tcPr>
            <w:tcW w:w="2295" w:type="dxa"/>
            <w:tcBorders>
              <w:top w:val="single" w:sz="4" w:space="0" w:color="auto"/>
              <w:bottom w:val="single" w:sz="4" w:space="0" w:color="auto"/>
            </w:tcBorders>
            <w:noWrap/>
            <w:hideMark/>
          </w:tcPr>
          <w:p w14:paraId="04F498B7"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The study found  </w:t>
            </w:r>
            <w:r w:rsidRPr="00731E30">
              <w:rPr>
                <w:rFonts w:ascii="Times New Roman" w:hAnsi="Times New Roman"/>
                <w:sz w:val="18"/>
                <w:szCs w:val="18"/>
              </w:rPr>
              <w:t>a two- way directional causality exist between financial development and economic growth</w:t>
            </w:r>
          </w:p>
        </w:tc>
      </w:tr>
      <w:tr w:rsidR="0064082A" w:rsidRPr="00731E30" w14:paraId="3C7C446E" w14:textId="77777777" w:rsidTr="00303B4A">
        <w:trPr>
          <w:trHeight w:val="254"/>
        </w:trPr>
        <w:tc>
          <w:tcPr>
            <w:tcW w:w="1631" w:type="dxa"/>
            <w:tcBorders>
              <w:top w:val="single" w:sz="4" w:space="0" w:color="auto"/>
              <w:left w:val="nil"/>
              <w:bottom w:val="single" w:sz="4" w:space="0" w:color="auto"/>
            </w:tcBorders>
            <w:noWrap/>
            <w:hideMark/>
          </w:tcPr>
          <w:p w14:paraId="4F40110D" w14:textId="77777777" w:rsidR="0064082A" w:rsidRPr="00731E30" w:rsidRDefault="00731E30" w:rsidP="00CA7F87">
            <w:pPr>
              <w:spacing w:after="0" w:line="240" w:lineRule="auto"/>
              <w:rPr>
                <w:rFonts w:ascii="Times New Roman" w:eastAsia="Times New Roman" w:hAnsi="Times New Roman"/>
                <w:sz w:val="18"/>
                <w:szCs w:val="18"/>
              </w:rPr>
            </w:pPr>
            <w:r>
              <w:rPr>
                <w:rFonts w:ascii="Times New Roman" w:eastAsia="Times New Roman" w:hAnsi="Times New Roman"/>
                <w:sz w:val="18"/>
                <w:szCs w:val="18"/>
              </w:rPr>
              <w:t> Zang and Kim (201</w:t>
            </w:r>
            <w:r w:rsidR="0064082A" w:rsidRPr="00731E30">
              <w:rPr>
                <w:rFonts w:ascii="Times New Roman" w:eastAsia="Times New Roman" w:hAnsi="Times New Roman"/>
                <w:sz w:val="18"/>
                <w:szCs w:val="18"/>
              </w:rPr>
              <w:t>7)</w:t>
            </w:r>
          </w:p>
        </w:tc>
        <w:tc>
          <w:tcPr>
            <w:tcW w:w="1437" w:type="dxa"/>
            <w:tcBorders>
              <w:top w:val="single" w:sz="4" w:space="0" w:color="auto"/>
              <w:bottom w:val="single" w:sz="4" w:space="0" w:color="auto"/>
            </w:tcBorders>
            <w:noWrap/>
            <w:hideMark/>
          </w:tcPr>
          <w:p w14:paraId="67DB0D7E"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74 Countries</w:t>
            </w:r>
          </w:p>
        </w:tc>
        <w:tc>
          <w:tcPr>
            <w:tcW w:w="1682" w:type="dxa"/>
            <w:tcBorders>
              <w:top w:val="single" w:sz="4" w:space="0" w:color="auto"/>
              <w:bottom w:val="single" w:sz="4" w:space="0" w:color="auto"/>
            </w:tcBorders>
            <w:noWrap/>
            <w:hideMark/>
          </w:tcPr>
          <w:p w14:paraId="59A17895"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 Financial development and economic growth</w:t>
            </w:r>
          </w:p>
        </w:tc>
        <w:tc>
          <w:tcPr>
            <w:tcW w:w="2004" w:type="dxa"/>
            <w:tcBorders>
              <w:top w:val="single" w:sz="4" w:space="0" w:color="auto"/>
              <w:bottom w:val="single" w:sz="4" w:space="0" w:color="auto"/>
            </w:tcBorders>
            <w:noWrap/>
            <w:hideMark/>
          </w:tcPr>
          <w:p w14:paraId="229BD5DB"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 Panel Estimator</w:t>
            </w:r>
          </w:p>
        </w:tc>
        <w:tc>
          <w:tcPr>
            <w:tcW w:w="2295" w:type="dxa"/>
            <w:tcBorders>
              <w:top w:val="single" w:sz="4" w:space="0" w:color="auto"/>
              <w:bottom w:val="single" w:sz="4" w:space="0" w:color="auto"/>
            </w:tcBorders>
            <w:noWrap/>
            <w:hideMark/>
          </w:tcPr>
          <w:p w14:paraId="4F67F159"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 The study found that economic growth precedes subsequent financial development.</w:t>
            </w:r>
          </w:p>
          <w:p w14:paraId="61A2C569" w14:textId="77777777" w:rsidR="0064082A" w:rsidRPr="00731E30" w:rsidRDefault="0064082A" w:rsidP="00CA7F87">
            <w:pPr>
              <w:spacing w:after="0" w:line="240" w:lineRule="auto"/>
              <w:rPr>
                <w:rFonts w:ascii="Times New Roman" w:eastAsia="Times New Roman" w:hAnsi="Times New Roman"/>
                <w:sz w:val="18"/>
                <w:szCs w:val="18"/>
              </w:rPr>
            </w:pPr>
          </w:p>
        </w:tc>
      </w:tr>
      <w:tr w:rsidR="0064082A" w:rsidRPr="00731E30" w14:paraId="7766938E" w14:textId="77777777" w:rsidTr="00303B4A">
        <w:trPr>
          <w:trHeight w:val="254"/>
        </w:trPr>
        <w:tc>
          <w:tcPr>
            <w:tcW w:w="1631" w:type="dxa"/>
            <w:tcBorders>
              <w:top w:val="single" w:sz="4" w:space="0" w:color="auto"/>
              <w:left w:val="nil"/>
              <w:bottom w:val="single" w:sz="4" w:space="0" w:color="auto"/>
            </w:tcBorders>
            <w:noWrap/>
            <w:hideMark/>
          </w:tcPr>
          <w:p w14:paraId="065A1066"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 </w:t>
            </w:r>
            <w:r w:rsidRPr="00731E30">
              <w:rPr>
                <w:rFonts w:ascii="Times New Roman" w:hAnsi="Times New Roman"/>
                <w:sz w:val="18"/>
                <w:szCs w:val="18"/>
              </w:rPr>
              <w:t xml:space="preserve">Ghirmay </w:t>
            </w:r>
            <w:r w:rsidR="00731E30">
              <w:rPr>
                <w:rFonts w:ascii="Times New Roman" w:hAnsi="Times New Roman"/>
                <w:sz w:val="18"/>
                <w:szCs w:val="18"/>
              </w:rPr>
              <w:t>(202</w:t>
            </w:r>
            <w:r w:rsidRPr="00731E30">
              <w:rPr>
                <w:rFonts w:ascii="Times New Roman" w:hAnsi="Times New Roman"/>
                <w:sz w:val="18"/>
                <w:szCs w:val="18"/>
              </w:rPr>
              <w:t>4)</w:t>
            </w:r>
          </w:p>
        </w:tc>
        <w:tc>
          <w:tcPr>
            <w:tcW w:w="1437" w:type="dxa"/>
            <w:tcBorders>
              <w:top w:val="single" w:sz="4" w:space="0" w:color="auto"/>
              <w:bottom w:val="single" w:sz="4" w:space="0" w:color="auto"/>
            </w:tcBorders>
            <w:noWrap/>
            <w:hideMark/>
          </w:tcPr>
          <w:p w14:paraId="4833C3C3"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hAnsi="Times New Roman"/>
                <w:sz w:val="18"/>
                <w:szCs w:val="18"/>
              </w:rPr>
              <w:t>13 sub-Saharan African countries</w:t>
            </w:r>
          </w:p>
        </w:tc>
        <w:tc>
          <w:tcPr>
            <w:tcW w:w="1682" w:type="dxa"/>
            <w:tcBorders>
              <w:top w:val="single" w:sz="4" w:space="0" w:color="auto"/>
              <w:bottom w:val="single" w:sz="4" w:space="0" w:color="auto"/>
            </w:tcBorders>
            <w:noWrap/>
            <w:hideMark/>
          </w:tcPr>
          <w:p w14:paraId="04E9FE37"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 </w:t>
            </w:r>
            <w:r w:rsidRPr="00731E30">
              <w:rPr>
                <w:rFonts w:ascii="Times New Roman" w:hAnsi="Times New Roman"/>
                <w:sz w:val="18"/>
                <w:szCs w:val="18"/>
              </w:rPr>
              <w:t>Causal relationship between financial development and economic growth</w:t>
            </w:r>
          </w:p>
        </w:tc>
        <w:tc>
          <w:tcPr>
            <w:tcW w:w="2004" w:type="dxa"/>
            <w:tcBorders>
              <w:top w:val="single" w:sz="4" w:space="0" w:color="auto"/>
              <w:bottom w:val="single" w:sz="4" w:space="0" w:color="auto"/>
            </w:tcBorders>
            <w:noWrap/>
            <w:hideMark/>
          </w:tcPr>
          <w:p w14:paraId="1FCA2673"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 </w:t>
            </w:r>
            <w:r w:rsidRPr="00731E30">
              <w:rPr>
                <w:rFonts w:ascii="Times New Roman" w:hAnsi="Times New Roman"/>
                <w:sz w:val="18"/>
                <w:szCs w:val="18"/>
              </w:rPr>
              <w:t>Bivariate VAR model</w:t>
            </w:r>
          </w:p>
        </w:tc>
        <w:tc>
          <w:tcPr>
            <w:tcW w:w="2295" w:type="dxa"/>
            <w:tcBorders>
              <w:top w:val="single" w:sz="4" w:space="0" w:color="auto"/>
              <w:bottom w:val="single" w:sz="4" w:space="0" w:color="auto"/>
            </w:tcBorders>
            <w:noWrap/>
            <w:hideMark/>
          </w:tcPr>
          <w:p w14:paraId="2931D289"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 </w:t>
            </w:r>
            <w:r w:rsidRPr="00731E30">
              <w:rPr>
                <w:rFonts w:ascii="Times New Roman" w:hAnsi="Times New Roman"/>
                <w:sz w:val="18"/>
                <w:szCs w:val="18"/>
              </w:rPr>
              <w:t>Financial development leads economic growth in eight countries while six countries depict a bidirectional causal relationship</w:t>
            </w:r>
          </w:p>
        </w:tc>
      </w:tr>
      <w:tr w:rsidR="0064082A" w:rsidRPr="00731E30" w14:paraId="4A37BAF6" w14:textId="77777777" w:rsidTr="00303B4A">
        <w:trPr>
          <w:trHeight w:val="254"/>
        </w:trPr>
        <w:tc>
          <w:tcPr>
            <w:tcW w:w="1631" w:type="dxa"/>
            <w:tcBorders>
              <w:top w:val="single" w:sz="4" w:space="0" w:color="auto"/>
              <w:left w:val="nil"/>
              <w:bottom w:val="single" w:sz="4" w:space="0" w:color="auto"/>
            </w:tcBorders>
            <w:noWrap/>
            <w:hideMark/>
          </w:tcPr>
          <w:p w14:paraId="35379ADC"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 </w:t>
            </w:r>
            <w:r w:rsidR="00731E30">
              <w:rPr>
                <w:rFonts w:ascii="Times New Roman" w:hAnsi="Times New Roman"/>
                <w:sz w:val="18"/>
                <w:szCs w:val="18"/>
              </w:rPr>
              <w:t>Odhiambo (201</w:t>
            </w:r>
            <w:r w:rsidRPr="00731E30">
              <w:rPr>
                <w:rFonts w:ascii="Times New Roman" w:hAnsi="Times New Roman"/>
                <w:sz w:val="18"/>
                <w:szCs w:val="18"/>
              </w:rPr>
              <w:t>7)</w:t>
            </w:r>
          </w:p>
        </w:tc>
        <w:tc>
          <w:tcPr>
            <w:tcW w:w="1437" w:type="dxa"/>
            <w:tcBorders>
              <w:top w:val="single" w:sz="4" w:space="0" w:color="auto"/>
              <w:bottom w:val="single" w:sz="4" w:space="0" w:color="auto"/>
            </w:tcBorders>
            <w:noWrap/>
            <w:hideMark/>
          </w:tcPr>
          <w:p w14:paraId="313CAF88"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hAnsi="Times New Roman"/>
                <w:sz w:val="18"/>
                <w:szCs w:val="18"/>
              </w:rPr>
              <w:t>Three Sub-Saharan African countries</w:t>
            </w:r>
          </w:p>
        </w:tc>
        <w:tc>
          <w:tcPr>
            <w:tcW w:w="1682" w:type="dxa"/>
            <w:tcBorders>
              <w:top w:val="single" w:sz="4" w:space="0" w:color="auto"/>
              <w:bottom w:val="single" w:sz="4" w:space="0" w:color="auto"/>
            </w:tcBorders>
            <w:noWrap/>
            <w:hideMark/>
          </w:tcPr>
          <w:p w14:paraId="0026C46F"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 </w:t>
            </w:r>
            <w:r w:rsidRPr="00731E30">
              <w:rPr>
                <w:rFonts w:ascii="Times New Roman" w:hAnsi="Times New Roman"/>
                <w:sz w:val="18"/>
                <w:szCs w:val="18"/>
              </w:rPr>
              <w:t>The causal relationship between financial development and economic growth</w:t>
            </w:r>
          </w:p>
        </w:tc>
        <w:tc>
          <w:tcPr>
            <w:tcW w:w="2004" w:type="dxa"/>
            <w:tcBorders>
              <w:top w:val="single" w:sz="4" w:space="0" w:color="auto"/>
              <w:bottom w:val="single" w:sz="4" w:space="0" w:color="auto"/>
            </w:tcBorders>
            <w:noWrap/>
            <w:hideMark/>
          </w:tcPr>
          <w:p w14:paraId="6A4A897F"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 Granger Causality</w:t>
            </w:r>
          </w:p>
          <w:p w14:paraId="4889CFAA" w14:textId="77777777" w:rsidR="0064082A" w:rsidRPr="00731E30" w:rsidRDefault="0064082A" w:rsidP="00CA7F87">
            <w:pPr>
              <w:spacing w:line="240" w:lineRule="auto"/>
              <w:rPr>
                <w:rFonts w:ascii="Times New Roman" w:eastAsia="Times New Roman" w:hAnsi="Times New Roman"/>
                <w:sz w:val="18"/>
                <w:szCs w:val="18"/>
              </w:rPr>
            </w:pPr>
          </w:p>
        </w:tc>
        <w:tc>
          <w:tcPr>
            <w:tcW w:w="2295" w:type="dxa"/>
            <w:tcBorders>
              <w:top w:val="single" w:sz="4" w:space="0" w:color="auto"/>
              <w:bottom w:val="single" w:sz="4" w:space="0" w:color="auto"/>
            </w:tcBorders>
            <w:noWrap/>
            <w:hideMark/>
          </w:tcPr>
          <w:p w14:paraId="69F07EA7"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 </w:t>
            </w:r>
            <w:r w:rsidRPr="00731E30">
              <w:rPr>
                <w:rFonts w:ascii="Times New Roman" w:hAnsi="Times New Roman"/>
                <w:sz w:val="18"/>
                <w:szCs w:val="18"/>
              </w:rPr>
              <w:t xml:space="preserve">Revealed that in both Kenya and South Africa, the direction of causality is from economic growth to financial development while </w:t>
            </w:r>
            <w:r w:rsidRPr="00731E30">
              <w:rPr>
                <w:rFonts w:ascii="Times New Roman" w:hAnsi="Times New Roman"/>
                <w:sz w:val="18"/>
                <w:szCs w:val="18"/>
              </w:rPr>
              <w:lastRenderedPageBreak/>
              <w:t>Tanzania also exhibits unidirectional causality</w:t>
            </w:r>
          </w:p>
        </w:tc>
      </w:tr>
      <w:tr w:rsidR="0064082A" w:rsidRPr="00731E30" w14:paraId="7D36D52E" w14:textId="77777777" w:rsidTr="00303B4A">
        <w:trPr>
          <w:trHeight w:val="254"/>
        </w:trPr>
        <w:tc>
          <w:tcPr>
            <w:tcW w:w="1631" w:type="dxa"/>
            <w:tcBorders>
              <w:top w:val="single" w:sz="4" w:space="0" w:color="auto"/>
              <w:left w:val="nil"/>
              <w:bottom w:val="single" w:sz="4" w:space="0" w:color="auto"/>
            </w:tcBorders>
            <w:noWrap/>
            <w:hideMark/>
          </w:tcPr>
          <w:p w14:paraId="570C5797"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lastRenderedPageBreak/>
              <w:t> </w:t>
            </w:r>
            <w:r w:rsidR="00731E30">
              <w:rPr>
                <w:rFonts w:ascii="Times New Roman" w:hAnsi="Times New Roman"/>
                <w:sz w:val="18"/>
                <w:szCs w:val="18"/>
              </w:rPr>
              <w:t>Ogiriki and Andabai (202</w:t>
            </w:r>
            <w:r w:rsidRPr="00731E30">
              <w:rPr>
                <w:rFonts w:ascii="Times New Roman" w:hAnsi="Times New Roman"/>
                <w:sz w:val="18"/>
                <w:szCs w:val="18"/>
              </w:rPr>
              <w:t>4)</w:t>
            </w:r>
          </w:p>
        </w:tc>
        <w:tc>
          <w:tcPr>
            <w:tcW w:w="1437" w:type="dxa"/>
            <w:tcBorders>
              <w:top w:val="single" w:sz="4" w:space="0" w:color="auto"/>
              <w:bottom w:val="single" w:sz="4" w:space="0" w:color="auto"/>
            </w:tcBorders>
            <w:noWrap/>
            <w:hideMark/>
          </w:tcPr>
          <w:p w14:paraId="0F892F19"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hAnsi="Times New Roman"/>
                <w:bCs/>
                <w:sz w:val="18"/>
                <w:szCs w:val="18"/>
              </w:rPr>
              <w:t>Nigeria</w:t>
            </w:r>
          </w:p>
        </w:tc>
        <w:tc>
          <w:tcPr>
            <w:tcW w:w="1682" w:type="dxa"/>
            <w:tcBorders>
              <w:top w:val="single" w:sz="4" w:space="0" w:color="auto"/>
              <w:bottom w:val="single" w:sz="4" w:space="0" w:color="auto"/>
            </w:tcBorders>
            <w:noWrap/>
            <w:hideMark/>
          </w:tcPr>
          <w:p w14:paraId="1CE0937F"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 </w:t>
            </w:r>
            <w:r w:rsidRPr="00731E30">
              <w:rPr>
                <w:rFonts w:ascii="Times New Roman" w:hAnsi="Times New Roman"/>
                <w:bCs/>
                <w:sz w:val="18"/>
                <w:szCs w:val="18"/>
              </w:rPr>
              <w:t>Financial development and economic growth</w:t>
            </w:r>
          </w:p>
        </w:tc>
        <w:tc>
          <w:tcPr>
            <w:tcW w:w="2004" w:type="dxa"/>
            <w:tcBorders>
              <w:top w:val="single" w:sz="4" w:space="0" w:color="auto"/>
              <w:bottom w:val="single" w:sz="4" w:space="0" w:color="auto"/>
            </w:tcBorders>
            <w:noWrap/>
            <w:hideMark/>
          </w:tcPr>
          <w:p w14:paraId="6E873890"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 </w:t>
            </w:r>
            <w:r w:rsidRPr="00731E30">
              <w:rPr>
                <w:rFonts w:ascii="Times New Roman" w:hAnsi="Times New Roman"/>
                <w:bCs/>
                <w:sz w:val="18"/>
                <w:szCs w:val="18"/>
              </w:rPr>
              <w:t>vector autoregressive (VAR)</w:t>
            </w:r>
          </w:p>
        </w:tc>
        <w:tc>
          <w:tcPr>
            <w:tcW w:w="2295" w:type="dxa"/>
            <w:tcBorders>
              <w:top w:val="single" w:sz="4" w:space="0" w:color="auto"/>
              <w:bottom w:val="single" w:sz="4" w:space="0" w:color="auto"/>
            </w:tcBorders>
            <w:noWrap/>
            <w:hideMark/>
          </w:tcPr>
          <w:p w14:paraId="5491ECD0"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 xml:space="preserve"> The study found </w:t>
            </w:r>
            <w:r w:rsidRPr="00731E30">
              <w:rPr>
                <w:rFonts w:ascii="Times New Roman" w:hAnsi="Times New Roman"/>
                <w:iCs/>
                <w:sz w:val="18"/>
                <w:szCs w:val="18"/>
              </w:rPr>
              <w:t>a long-run equilibrium relationship exist between economic growth and financial development and the result also confirmed  about 96% short-run adjustment speed</w:t>
            </w:r>
          </w:p>
        </w:tc>
      </w:tr>
      <w:tr w:rsidR="0064082A" w:rsidRPr="00731E30" w14:paraId="6C7A72D1" w14:textId="77777777" w:rsidTr="00303B4A">
        <w:trPr>
          <w:trHeight w:val="254"/>
        </w:trPr>
        <w:tc>
          <w:tcPr>
            <w:tcW w:w="1631" w:type="dxa"/>
            <w:tcBorders>
              <w:top w:val="single" w:sz="4" w:space="0" w:color="auto"/>
              <w:left w:val="nil"/>
              <w:bottom w:val="single" w:sz="4" w:space="0" w:color="auto"/>
            </w:tcBorders>
            <w:noWrap/>
            <w:hideMark/>
          </w:tcPr>
          <w:p w14:paraId="3B9D3BF3"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 </w:t>
            </w:r>
            <w:r w:rsidRPr="00731E30">
              <w:rPr>
                <w:rFonts w:ascii="Times New Roman" w:hAnsi="Times New Roman"/>
                <w:sz w:val="18"/>
                <w:szCs w:val="18"/>
              </w:rPr>
              <w:t>T</w:t>
            </w:r>
            <w:r w:rsidR="00731E30">
              <w:rPr>
                <w:rFonts w:ascii="Times New Roman" w:hAnsi="Times New Roman"/>
                <w:sz w:val="18"/>
                <w:szCs w:val="18"/>
              </w:rPr>
              <w:t>orruam, Chiawa and Abur (202</w:t>
            </w:r>
            <w:r w:rsidRPr="00731E30">
              <w:rPr>
                <w:rFonts w:ascii="Times New Roman" w:hAnsi="Times New Roman"/>
                <w:sz w:val="18"/>
                <w:szCs w:val="18"/>
              </w:rPr>
              <w:t>3)</w:t>
            </w:r>
          </w:p>
        </w:tc>
        <w:tc>
          <w:tcPr>
            <w:tcW w:w="1437" w:type="dxa"/>
            <w:tcBorders>
              <w:top w:val="single" w:sz="4" w:space="0" w:color="auto"/>
              <w:bottom w:val="single" w:sz="4" w:space="0" w:color="auto"/>
            </w:tcBorders>
            <w:noWrap/>
            <w:hideMark/>
          </w:tcPr>
          <w:p w14:paraId="1A11A508"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hAnsi="Times New Roman"/>
                <w:bCs/>
                <w:sz w:val="18"/>
                <w:szCs w:val="18"/>
              </w:rPr>
              <w:t>Nigeria</w:t>
            </w:r>
          </w:p>
        </w:tc>
        <w:tc>
          <w:tcPr>
            <w:tcW w:w="1682" w:type="dxa"/>
            <w:tcBorders>
              <w:top w:val="single" w:sz="4" w:space="0" w:color="auto"/>
              <w:bottom w:val="single" w:sz="4" w:space="0" w:color="auto"/>
            </w:tcBorders>
            <w:noWrap/>
            <w:hideMark/>
          </w:tcPr>
          <w:p w14:paraId="31F4EFE2"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 </w:t>
            </w:r>
            <w:r w:rsidRPr="00731E30">
              <w:rPr>
                <w:rFonts w:ascii="Times New Roman" w:hAnsi="Times New Roman"/>
                <w:bCs/>
                <w:sz w:val="18"/>
                <w:szCs w:val="18"/>
              </w:rPr>
              <w:t>Financial development and economic growth</w:t>
            </w:r>
          </w:p>
        </w:tc>
        <w:tc>
          <w:tcPr>
            <w:tcW w:w="2004" w:type="dxa"/>
            <w:tcBorders>
              <w:top w:val="single" w:sz="4" w:space="0" w:color="auto"/>
              <w:bottom w:val="single" w:sz="4" w:space="0" w:color="auto"/>
            </w:tcBorders>
            <w:noWrap/>
            <w:hideMark/>
          </w:tcPr>
          <w:p w14:paraId="1CA391FC"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 </w:t>
            </w:r>
          </w:p>
        </w:tc>
        <w:tc>
          <w:tcPr>
            <w:tcW w:w="2295" w:type="dxa"/>
            <w:tcBorders>
              <w:top w:val="single" w:sz="4" w:space="0" w:color="auto"/>
              <w:bottom w:val="single" w:sz="4" w:space="0" w:color="auto"/>
            </w:tcBorders>
            <w:noWrap/>
            <w:hideMark/>
          </w:tcPr>
          <w:p w14:paraId="4A244511"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 </w:t>
            </w:r>
            <w:r w:rsidRPr="00731E30">
              <w:rPr>
                <w:rFonts w:ascii="Times New Roman" w:hAnsi="Times New Roman"/>
                <w:sz w:val="18"/>
                <w:szCs w:val="18"/>
              </w:rPr>
              <w:t>Financial development has a positive impact on economic growth</w:t>
            </w:r>
          </w:p>
        </w:tc>
      </w:tr>
      <w:tr w:rsidR="0064082A" w:rsidRPr="00731E30" w14:paraId="6A478DB9" w14:textId="77777777" w:rsidTr="00303B4A">
        <w:trPr>
          <w:trHeight w:val="254"/>
        </w:trPr>
        <w:tc>
          <w:tcPr>
            <w:tcW w:w="1631" w:type="dxa"/>
            <w:tcBorders>
              <w:top w:val="single" w:sz="4" w:space="0" w:color="auto"/>
              <w:left w:val="nil"/>
              <w:bottom w:val="single" w:sz="4" w:space="0" w:color="auto"/>
            </w:tcBorders>
            <w:noWrap/>
            <w:hideMark/>
          </w:tcPr>
          <w:p w14:paraId="3093AD5E"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 </w:t>
            </w:r>
            <w:r w:rsidR="00731E30">
              <w:rPr>
                <w:rFonts w:ascii="Times New Roman" w:hAnsi="Times New Roman"/>
                <w:bCs/>
                <w:iCs/>
                <w:sz w:val="18"/>
                <w:szCs w:val="18"/>
              </w:rPr>
              <w:t>Omankhanlen (202</w:t>
            </w:r>
            <w:r w:rsidRPr="00731E30">
              <w:rPr>
                <w:rFonts w:ascii="Times New Roman" w:hAnsi="Times New Roman"/>
                <w:bCs/>
                <w:iCs/>
                <w:sz w:val="18"/>
                <w:szCs w:val="18"/>
              </w:rPr>
              <w:t>2)</w:t>
            </w:r>
          </w:p>
        </w:tc>
        <w:tc>
          <w:tcPr>
            <w:tcW w:w="1437" w:type="dxa"/>
            <w:tcBorders>
              <w:top w:val="single" w:sz="4" w:space="0" w:color="auto"/>
              <w:bottom w:val="single" w:sz="4" w:space="0" w:color="auto"/>
            </w:tcBorders>
            <w:noWrap/>
            <w:hideMark/>
          </w:tcPr>
          <w:p w14:paraId="2C6EC94A"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hAnsi="Times New Roman"/>
                <w:bCs/>
                <w:sz w:val="18"/>
                <w:szCs w:val="18"/>
              </w:rPr>
              <w:t>Nigeria</w:t>
            </w:r>
          </w:p>
        </w:tc>
        <w:tc>
          <w:tcPr>
            <w:tcW w:w="1682" w:type="dxa"/>
            <w:tcBorders>
              <w:top w:val="single" w:sz="4" w:space="0" w:color="auto"/>
              <w:bottom w:val="single" w:sz="4" w:space="0" w:color="auto"/>
            </w:tcBorders>
            <w:noWrap/>
            <w:hideMark/>
          </w:tcPr>
          <w:p w14:paraId="312CE311"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 </w:t>
            </w:r>
            <w:r w:rsidRPr="00731E30">
              <w:rPr>
                <w:rFonts w:ascii="Times New Roman" w:hAnsi="Times New Roman"/>
                <w:sz w:val="18"/>
                <w:szCs w:val="18"/>
              </w:rPr>
              <w:t>Financial sector reforms in the Nigerian economy and its impacts on economic growth</w:t>
            </w:r>
          </w:p>
        </w:tc>
        <w:tc>
          <w:tcPr>
            <w:tcW w:w="2004" w:type="dxa"/>
            <w:tcBorders>
              <w:top w:val="single" w:sz="4" w:space="0" w:color="auto"/>
              <w:bottom w:val="single" w:sz="4" w:space="0" w:color="auto"/>
            </w:tcBorders>
            <w:noWrap/>
            <w:hideMark/>
          </w:tcPr>
          <w:p w14:paraId="220FCC15"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 </w:t>
            </w:r>
          </w:p>
        </w:tc>
        <w:tc>
          <w:tcPr>
            <w:tcW w:w="2295" w:type="dxa"/>
            <w:tcBorders>
              <w:top w:val="single" w:sz="4" w:space="0" w:color="auto"/>
              <w:bottom w:val="single" w:sz="4" w:space="0" w:color="auto"/>
            </w:tcBorders>
            <w:noWrap/>
            <w:hideMark/>
          </w:tcPr>
          <w:p w14:paraId="5315115A"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 </w:t>
            </w:r>
            <w:r w:rsidRPr="00731E30">
              <w:rPr>
                <w:rFonts w:ascii="Times New Roman" w:hAnsi="Times New Roman"/>
                <w:sz w:val="18"/>
                <w:szCs w:val="18"/>
              </w:rPr>
              <w:t>Financial sector developments that were experienced in Nigeria had significant positive effect on the activities</w:t>
            </w:r>
          </w:p>
        </w:tc>
      </w:tr>
      <w:tr w:rsidR="0064082A" w:rsidRPr="00731E30" w14:paraId="0CE145A2" w14:textId="77777777" w:rsidTr="00303B4A">
        <w:trPr>
          <w:trHeight w:val="254"/>
        </w:trPr>
        <w:tc>
          <w:tcPr>
            <w:tcW w:w="1631" w:type="dxa"/>
            <w:tcBorders>
              <w:top w:val="single" w:sz="4" w:space="0" w:color="auto"/>
              <w:left w:val="nil"/>
              <w:bottom w:val="single" w:sz="4" w:space="0" w:color="auto"/>
            </w:tcBorders>
            <w:noWrap/>
            <w:hideMark/>
          </w:tcPr>
          <w:p w14:paraId="5614DEDA"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 </w:t>
            </w:r>
            <w:r w:rsidR="00731E30">
              <w:rPr>
                <w:rFonts w:ascii="Times New Roman" w:hAnsi="Times New Roman"/>
                <w:iCs/>
                <w:sz w:val="18"/>
                <w:szCs w:val="18"/>
              </w:rPr>
              <w:t>Odeniran and Udeaja (202</w:t>
            </w:r>
            <w:r w:rsidRPr="00731E30">
              <w:rPr>
                <w:rFonts w:ascii="Times New Roman" w:hAnsi="Times New Roman"/>
                <w:iCs/>
                <w:sz w:val="18"/>
                <w:szCs w:val="18"/>
              </w:rPr>
              <w:t>0)</w:t>
            </w:r>
          </w:p>
        </w:tc>
        <w:tc>
          <w:tcPr>
            <w:tcW w:w="1437" w:type="dxa"/>
            <w:tcBorders>
              <w:top w:val="single" w:sz="4" w:space="0" w:color="auto"/>
              <w:bottom w:val="single" w:sz="4" w:space="0" w:color="auto"/>
            </w:tcBorders>
            <w:noWrap/>
            <w:hideMark/>
          </w:tcPr>
          <w:p w14:paraId="79B63991"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hAnsi="Times New Roman"/>
                <w:iCs/>
                <w:sz w:val="18"/>
                <w:szCs w:val="18"/>
              </w:rPr>
              <w:t>Nigeria</w:t>
            </w:r>
          </w:p>
        </w:tc>
        <w:tc>
          <w:tcPr>
            <w:tcW w:w="1682" w:type="dxa"/>
            <w:tcBorders>
              <w:top w:val="single" w:sz="4" w:space="0" w:color="auto"/>
              <w:bottom w:val="single" w:sz="4" w:space="0" w:color="auto"/>
            </w:tcBorders>
            <w:noWrap/>
            <w:hideMark/>
          </w:tcPr>
          <w:p w14:paraId="5ECB70DA"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 </w:t>
            </w:r>
            <w:r w:rsidRPr="00731E30">
              <w:rPr>
                <w:rFonts w:ascii="Times New Roman" w:hAnsi="Times New Roman"/>
                <w:iCs/>
                <w:sz w:val="18"/>
                <w:szCs w:val="18"/>
              </w:rPr>
              <w:t>The relationship between financial sector development and economic growth</w:t>
            </w:r>
          </w:p>
        </w:tc>
        <w:tc>
          <w:tcPr>
            <w:tcW w:w="2004" w:type="dxa"/>
            <w:tcBorders>
              <w:top w:val="single" w:sz="4" w:space="0" w:color="auto"/>
              <w:bottom w:val="single" w:sz="4" w:space="0" w:color="auto"/>
            </w:tcBorders>
            <w:noWrap/>
            <w:hideMark/>
          </w:tcPr>
          <w:p w14:paraId="3DB53ABB"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 </w:t>
            </w:r>
            <w:r w:rsidRPr="00731E30">
              <w:rPr>
                <w:rFonts w:ascii="Times New Roman" w:hAnsi="Times New Roman"/>
                <w:iCs/>
                <w:sz w:val="18"/>
                <w:szCs w:val="18"/>
              </w:rPr>
              <w:t>Granger causality tests in a VAR framework</w:t>
            </w:r>
          </w:p>
        </w:tc>
        <w:tc>
          <w:tcPr>
            <w:tcW w:w="2295" w:type="dxa"/>
            <w:tcBorders>
              <w:top w:val="single" w:sz="4" w:space="0" w:color="auto"/>
              <w:bottom w:val="single" w:sz="4" w:space="0" w:color="auto"/>
            </w:tcBorders>
            <w:noWrap/>
            <w:hideMark/>
          </w:tcPr>
          <w:p w14:paraId="6C9AE21C"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 </w:t>
            </w:r>
            <w:r w:rsidRPr="00731E30">
              <w:rPr>
                <w:rFonts w:ascii="Times New Roman" w:hAnsi="Times New Roman"/>
                <w:iCs/>
                <w:sz w:val="18"/>
                <w:szCs w:val="18"/>
              </w:rPr>
              <w:t>Bi-directional causality between some of the proxies of financial development and economic growth variable</w:t>
            </w:r>
          </w:p>
        </w:tc>
      </w:tr>
      <w:tr w:rsidR="0064082A" w:rsidRPr="00731E30" w14:paraId="2CDC32A1" w14:textId="77777777" w:rsidTr="00303B4A">
        <w:trPr>
          <w:trHeight w:val="254"/>
        </w:trPr>
        <w:tc>
          <w:tcPr>
            <w:tcW w:w="1631" w:type="dxa"/>
            <w:tcBorders>
              <w:top w:val="single" w:sz="4" w:space="0" w:color="auto"/>
              <w:left w:val="nil"/>
              <w:bottom w:val="single" w:sz="4" w:space="0" w:color="auto"/>
            </w:tcBorders>
            <w:noWrap/>
            <w:hideMark/>
          </w:tcPr>
          <w:p w14:paraId="39391C43"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 </w:t>
            </w:r>
            <w:r w:rsidRPr="00731E30">
              <w:rPr>
                <w:rFonts w:ascii="Times New Roman" w:hAnsi="Times New Roman"/>
                <w:sz w:val="18"/>
                <w:szCs w:val="18"/>
              </w:rPr>
              <w:t>Akingunola, Olus</w:t>
            </w:r>
            <w:r w:rsidR="00731E30">
              <w:rPr>
                <w:rFonts w:ascii="Times New Roman" w:hAnsi="Times New Roman"/>
                <w:sz w:val="18"/>
                <w:szCs w:val="18"/>
              </w:rPr>
              <w:t>egun, Oluwaseyi and Olusoyi (202</w:t>
            </w:r>
            <w:r w:rsidRPr="00731E30">
              <w:rPr>
                <w:rFonts w:ascii="Times New Roman" w:hAnsi="Times New Roman"/>
                <w:sz w:val="18"/>
                <w:szCs w:val="18"/>
              </w:rPr>
              <w:t>3)</w:t>
            </w:r>
          </w:p>
        </w:tc>
        <w:tc>
          <w:tcPr>
            <w:tcW w:w="1437" w:type="dxa"/>
            <w:tcBorders>
              <w:top w:val="single" w:sz="4" w:space="0" w:color="auto"/>
              <w:bottom w:val="single" w:sz="4" w:space="0" w:color="auto"/>
            </w:tcBorders>
            <w:noWrap/>
            <w:hideMark/>
          </w:tcPr>
          <w:p w14:paraId="5EFE09F5"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hAnsi="Times New Roman"/>
                <w:iCs/>
                <w:sz w:val="18"/>
                <w:szCs w:val="18"/>
              </w:rPr>
              <w:t>Nigeria</w:t>
            </w:r>
          </w:p>
        </w:tc>
        <w:tc>
          <w:tcPr>
            <w:tcW w:w="1682" w:type="dxa"/>
            <w:tcBorders>
              <w:top w:val="single" w:sz="4" w:space="0" w:color="auto"/>
              <w:bottom w:val="single" w:sz="4" w:space="0" w:color="auto"/>
            </w:tcBorders>
            <w:noWrap/>
            <w:hideMark/>
          </w:tcPr>
          <w:p w14:paraId="52D0F11E"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 </w:t>
            </w:r>
            <w:r w:rsidRPr="00731E30">
              <w:rPr>
                <w:rFonts w:ascii="Times New Roman" w:hAnsi="Times New Roman"/>
                <w:sz w:val="18"/>
                <w:szCs w:val="18"/>
              </w:rPr>
              <w:t>The relationship between financial liberalization and economic growth</w:t>
            </w:r>
          </w:p>
        </w:tc>
        <w:tc>
          <w:tcPr>
            <w:tcW w:w="2004" w:type="dxa"/>
            <w:tcBorders>
              <w:top w:val="single" w:sz="4" w:space="0" w:color="auto"/>
              <w:bottom w:val="single" w:sz="4" w:space="0" w:color="auto"/>
            </w:tcBorders>
            <w:noWrap/>
            <w:hideMark/>
          </w:tcPr>
          <w:p w14:paraId="34BEE211"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 </w:t>
            </w:r>
          </w:p>
        </w:tc>
        <w:tc>
          <w:tcPr>
            <w:tcW w:w="2295" w:type="dxa"/>
            <w:tcBorders>
              <w:top w:val="single" w:sz="4" w:space="0" w:color="auto"/>
              <w:bottom w:val="single" w:sz="4" w:space="0" w:color="auto"/>
            </w:tcBorders>
            <w:noWrap/>
            <w:hideMark/>
          </w:tcPr>
          <w:p w14:paraId="19F37BAC"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 xml:space="preserve"> The study </w:t>
            </w:r>
            <w:r w:rsidRPr="00731E30">
              <w:rPr>
                <w:rFonts w:ascii="Times New Roman" w:hAnsi="Times New Roman"/>
                <w:sz w:val="18"/>
                <w:szCs w:val="18"/>
              </w:rPr>
              <w:t>found that financial development had insignificant impact on economic growth</w:t>
            </w:r>
          </w:p>
        </w:tc>
      </w:tr>
      <w:tr w:rsidR="0064082A" w:rsidRPr="00731E30" w14:paraId="43DDBC32" w14:textId="77777777" w:rsidTr="00303B4A">
        <w:trPr>
          <w:trHeight w:val="254"/>
        </w:trPr>
        <w:tc>
          <w:tcPr>
            <w:tcW w:w="1631" w:type="dxa"/>
            <w:tcBorders>
              <w:top w:val="single" w:sz="4" w:space="0" w:color="auto"/>
              <w:left w:val="nil"/>
              <w:bottom w:val="single" w:sz="4" w:space="0" w:color="auto"/>
            </w:tcBorders>
            <w:noWrap/>
            <w:hideMark/>
          </w:tcPr>
          <w:p w14:paraId="168F065C"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 </w:t>
            </w:r>
            <w:r w:rsidR="00731E30">
              <w:rPr>
                <w:rFonts w:ascii="Times New Roman" w:hAnsi="Times New Roman"/>
                <w:sz w:val="18"/>
                <w:szCs w:val="18"/>
              </w:rPr>
              <w:t>Nzotta and Okereke (201</w:t>
            </w:r>
            <w:r w:rsidRPr="00731E30">
              <w:rPr>
                <w:rFonts w:ascii="Times New Roman" w:hAnsi="Times New Roman"/>
                <w:sz w:val="18"/>
                <w:szCs w:val="18"/>
              </w:rPr>
              <w:t>9)</w:t>
            </w:r>
          </w:p>
        </w:tc>
        <w:tc>
          <w:tcPr>
            <w:tcW w:w="1437" w:type="dxa"/>
            <w:tcBorders>
              <w:top w:val="single" w:sz="4" w:space="0" w:color="auto"/>
              <w:bottom w:val="single" w:sz="4" w:space="0" w:color="auto"/>
            </w:tcBorders>
            <w:noWrap/>
            <w:hideMark/>
          </w:tcPr>
          <w:p w14:paraId="07F3AFEC"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hAnsi="Times New Roman"/>
                <w:iCs/>
                <w:sz w:val="18"/>
                <w:szCs w:val="18"/>
              </w:rPr>
              <w:t>Nigeria</w:t>
            </w:r>
          </w:p>
        </w:tc>
        <w:tc>
          <w:tcPr>
            <w:tcW w:w="1682" w:type="dxa"/>
            <w:tcBorders>
              <w:top w:val="single" w:sz="4" w:space="0" w:color="auto"/>
              <w:bottom w:val="single" w:sz="4" w:space="0" w:color="auto"/>
            </w:tcBorders>
            <w:noWrap/>
            <w:hideMark/>
          </w:tcPr>
          <w:p w14:paraId="2AB0A290"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 Financial development and economic growth</w:t>
            </w:r>
          </w:p>
        </w:tc>
        <w:tc>
          <w:tcPr>
            <w:tcW w:w="2004" w:type="dxa"/>
            <w:tcBorders>
              <w:top w:val="single" w:sz="4" w:space="0" w:color="auto"/>
              <w:bottom w:val="single" w:sz="4" w:space="0" w:color="auto"/>
            </w:tcBorders>
            <w:noWrap/>
            <w:hideMark/>
          </w:tcPr>
          <w:p w14:paraId="55594022"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 </w:t>
            </w:r>
            <w:r w:rsidRPr="00731E30">
              <w:rPr>
                <w:rFonts w:ascii="Times New Roman" w:hAnsi="Times New Roman"/>
                <w:sz w:val="18"/>
                <w:szCs w:val="18"/>
              </w:rPr>
              <w:t>Two stage least square</w:t>
            </w:r>
          </w:p>
        </w:tc>
        <w:tc>
          <w:tcPr>
            <w:tcW w:w="2295" w:type="dxa"/>
            <w:tcBorders>
              <w:top w:val="single" w:sz="4" w:space="0" w:color="auto"/>
              <w:bottom w:val="single" w:sz="4" w:space="0" w:color="auto"/>
            </w:tcBorders>
            <w:noWrap/>
            <w:hideMark/>
          </w:tcPr>
          <w:p w14:paraId="5BFE3FAD"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 </w:t>
            </w:r>
            <w:r w:rsidRPr="00731E30">
              <w:rPr>
                <w:rFonts w:ascii="Times New Roman" w:hAnsi="Times New Roman"/>
                <w:sz w:val="18"/>
                <w:szCs w:val="18"/>
              </w:rPr>
              <w:t>Financial development does not support economic growth in Nigeria</w:t>
            </w:r>
          </w:p>
        </w:tc>
      </w:tr>
      <w:tr w:rsidR="0064082A" w:rsidRPr="00731E30" w14:paraId="469C40DA" w14:textId="77777777" w:rsidTr="00303B4A">
        <w:trPr>
          <w:trHeight w:val="254"/>
        </w:trPr>
        <w:tc>
          <w:tcPr>
            <w:tcW w:w="1631" w:type="dxa"/>
            <w:tcBorders>
              <w:top w:val="single" w:sz="4" w:space="0" w:color="auto"/>
              <w:left w:val="nil"/>
              <w:bottom w:val="single" w:sz="4" w:space="0" w:color="auto"/>
            </w:tcBorders>
            <w:noWrap/>
            <w:hideMark/>
          </w:tcPr>
          <w:p w14:paraId="2C8996AB" w14:textId="77777777" w:rsidR="0064082A" w:rsidRPr="00731E30" w:rsidRDefault="00731E30" w:rsidP="00CA7F87">
            <w:pPr>
              <w:spacing w:after="0" w:line="240" w:lineRule="auto"/>
              <w:rPr>
                <w:rFonts w:ascii="Times New Roman" w:eastAsia="Times New Roman" w:hAnsi="Times New Roman"/>
                <w:sz w:val="18"/>
                <w:szCs w:val="18"/>
              </w:rPr>
            </w:pPr>
            <w:r>
              <w:rPr>
                <w:rFonts w:ascii="Times New Roman" w:hAnsi="Times New Roman"/>
                <w:sz w:val="18"/>
                <w:szCs w:val="18"/>
              </w:rPr>
              <w:t>Osisanwa and Atanda (202</w:t>
            </w:r>
            <w:r w:rsidR="0064082A" w:rsidRPr="00731E30">
              <w:rPr>
                <w:rFonts w:ascii="Times New Roman" w:hAnsi="Times New Roman"/>
                <w:sz w:val="18"/>
                <w:szCs w:val="18"/>
              </w:rPr>
              <w:t>2)</w:t>
            </w:r>
          </w:p>
        </w:tc>
        <w:tc>
          <w:tcPr>
            <w:tcW w:w="1437" w:type="dxa"/>
            <w:tcBorders>
              <w:top w:val="single" w:sz="4" w:space="0" w:color="auto"/>
              <w:bottom w:val="single" w:sz="4" w:space="0" w:color="auto"/>
            </w:tcBorders>
            <w:noWrap/>
            <w:hideMark/>
          </w:tcPr>
          <w:p w14:paraId="3565E30E"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hAnsi="Times New Roman"/>
                <w:sz w:val="18"/>
                <w:szCs w:val="18"/>
              </w:rPr>
              <w:t>Nigeria</w:t>
            </w:r>
          </w:p>
        </w:tc>
        <w:tc>
          <w:tcPr>
            <w:tcW w:w="1682" w:type="dxa"/>
            <w:tcBorders>
              <w:top w:val="single" w:sz="4" w:space="0" w:color="auto"/>
              <w:bottom w:val="single" w:sz="4" w:space="0" w:color="auto"/>
            </w:tcBorders>
            <w:noWrap/>
            <w:hideMark/>
          </w:tcPr>
          <w:p w14:paraId="20C46E20"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hAnsi="Times New Roman"/>
                <w:sz w:val="18"/>
                <w:szCs w:val="18"/>
              </w:rPr>
              <w:t>The determinants of the stock market returns in Nigeria</w:t>
            </w:r>
          </w:p>
        </w:tc>
        <w:tc>
          <w:tcPr>
            <w:tcW w:w="2004" w:type="dxa"/>
            <w:tcBorders>
              <w:top w:val="single" w:sz="4" w:space="0" w:color="auto"/>
              <w:bottom w:val="single" w:sz="4" w:space="0" w:color="auto"/>
            </w:tcBorders>
            <w:noWrap/>
            <w:hideMark/>
          </w:tcPr>
          <w:p w14:paraId="2AC17387"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hAnsi="Times New Roman"/>
                <w:sz w:val="18"/>
                <w:szCs w:val="18"/>
              </w:rPr>
              <w:t>OLS techniques</w:t>
            </w:r>
          </w:p>
        </w:tc>
        <w:tc>
          <w:tcPr>
            <w:tcW w:w="2295" w:type="dxa"/>
            <w:tcBorders>
              <w:top w:val="single" w:sz="4" w:space="0" w:color="auto"/>
              <w:bottom w:val="single" w:sz="4" w:space="0" w:color="auto"/>
            </w:tcBorders>
            <w:noWrap/>
            <w:hideMark/>
          </w:tcPr>
          <w:p w14:paraId="5A79DAD5"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sz w:val="18"/>
                <w:szCs w:val="18"/>
              </w:rPr>
              <w:t>showed that exchange rate, interest rate, money supply and previous stock return levels are the primary determinants of stock returns in Nigeria</w:t>
            </w:r>
          </w:p>
          <w:p w14:paraId="0FCD0096" w14:textId="77777777" w:rsidR="0064082A" w:rsidRPr="00731E30" w:rsidRDefault="0064082A" w:rsidP="00CA7F87">
            <w:pPr>
              <w:spacing w:after="0" w:line="240" w:lineRule="auto"/>
              <w:rPr>
                <w:rFonts w:ascii="Times New Roman" w:eastAsia="Times New Roman" w:hAnsi="Times New Roman"/>
                <w:sz w:val="18"/>
                <w:szCs w:val="18"/>
              </w:rPr>
            </w:pPr>
          </w:p>
        </w:tc>
      </w:tr>
      <w:tr w:rsidR="0064082A" w:rsidRPr="00731E30" w14:paraId="74FE8ABD" w14:textId="77777777" w:rsidTr="00303B4A">
        <w:trPr>
          <w:trHeight w:val="254"/>
        </w:trPr>
        <w:tc>
          <w:tcPr>
            <w:tcW w:w="1631" w:type="dxa"/>
            <w:tcBorders>
              <w:top w:val="single" w:sz="4" w:space="0" w:color="auto"/>
              <w:left w:val="nil"/>
              <w:bottom w:val="single" w:sz="4" w:space="0" w:color="auto"/>
            </w:tcBorders>
            <w:noWrap/>
            <w:hideMark/>
          </w:tcPr>
          <w:p w14:paraId="7370B42C"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hAnsi="Times New Roman"/>
                <w:sz w:val="18"/>
                <w:szCs w:val="18"/>
              </w:rPr>
              <w:t xml:space="preserve">Osamwonyi and </w:t>
            </w:r>
            <w:r w:rsidRPr="00731E30">
              <w:rPr>
                <w:rFonts w:ascii="Times New Roman" w:hAnsi="Times New Roman"/>
                <w:iCs/>
                <w:sz w:val="18"/>
                <w:szCs w:val="18"/>
              </w:rPr>
              <w:t>Evbayiro-Osagie</w:t>
            </w:r>
            <w:r w:rsidR="00731E30">
              <w:rPr>
                <w:rFonts w:ascii="Times New Roman" w:hAnsi="Times New Roman"/>
                <w:sz w:val="18"/>
                <w:szCs w:val="18"/>
              </w:rPr>
              <w:t xml:space="preserve"> (202</w:t>
            </w:r>
            <w:r w:rsidRPr="00731E30">
              <w:rPr>
                <w:rFonts w:ascii="Times New Roman" w:hAnsi="Times New Roman"/>
                <w:sz w:val="18"/>
                <w:szCs w:val="18"/>
              </w:rPr>
              <w:t>2)</w:t>
            </w:r>
          </w:p>
        </w:tc>
        <w:tc>
          <w:tcPr>
            <w:tcW w:w="1437" w:type="dxa"/>
            <w:tcBorders>
              <w:top w:val="single" w:sz="4" w:space="0" w:color="auto"/>
              <w:bottom w:val="single" w:sz="4" w:space="0" w:color="auto"/>
            </w:tcBorders>
            <w:noWrap/>
            <w:hideMark/>
          </w:tcPr>
          <w:p w14:paraId="45BCF90A"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hAnsi="Times New Roman"/>
                <w:sz w:val="18"/>
                <w:szCs w:val="18"/>
              </w:rPr>
              <w:t>Nigeria</w:t>
            </w:r>
          </w:p>
        </w:tc>
        <w:tc>
          <w:tcPr>
            <w:tcW w:w="1682" w:type="dxa"/>
            <w:tcBorders>
              <w:top w:val="single" w:sz="4" w:space="0" w:color="auto"/>
              <w:bottom w:val="single" w:sz="4" w:space="0" w:color="auto"/>
            </w:tcBorders>
            <w:noWrap/>
            <w:hideMark/>
          </w:tcPr>
          <w:p w14:paraId="7DAAD49D"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sz w:val="18"/>
                <w:szCs w:val="18"/>
              </w:rPr>
              <w:t>The relationship between macroeconomic variables and the stock market index</w:t>
            </w:r>
          </w:p>
          <w:p w14:paraId="1DAB7F07" w14:textId="77777777" w:rsidR="0064082A" w:rsidRPr="00731E30" w:rsidRDefault="0064082A" w:rsidP="00CA7F87">
            <w:pPr>
              <w:spacing w:after="0" w:line="240" w:lineRule="auto"/>
              <w:rPr>
                <w:rFonts w:ascii="Times New Roman" w:eastAsia="Times New Roman" w:hAnsi="Times New Roman"/>
                <w:sz w:val="18"/>
                <w:szCs w:val="18"/>
              </w:rPr>
            </w:pPr>
          </w:p>
        </w:tc>
        <w:tc>
          <w:tcPr>
            <w:tcW w:w="2004" w:type="dxa"/>
            <w:tcBorders>
              <w:top w:val="single" w:sz="4" w:space="0" w:color="auto"/>
              <w:bottom w:val="single" w:sz="4" w:space="0" w:color="auto"/>
            </w:tcBorders>
            <w:noWrap/>
            <w:hideMark/>
          </w:tcPr>
          <w:p w14:paraId="5734E9E9"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hAnsi="Times New Roman"/>
                <w:sz w:val="18"/>
                <w:szCs w:val="18"/>
              </w:rPr>
              <w:t>vector error correction model (VECM)</w:t>
            </w:r>
          </w:p>
        </w:tc>
        <w:tc>
          <w:tcPr>
            <w:tcW w:w="2295" w:type="dxa"/>
            <w:tcBorders>
              <w:top w:val="single" w:sz="4" w:space="0" w:color="auto"/>
              <w:bottom w:val="single" w:sz="4" w:space="0" w:color="auto"/>
            </w:tcBorders>
            <w:noWrap/>
            <w:hideMark/>
          </w:tcPr>
          <w:p w14:paraId="23FE7C98"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hAnsi="Times New Roman"/>
                <w:sz w:val="18"/>
                <w:szCs w:val="18"/>
              </w:rPr>
              <w:t>Macroeconomic variables influence the stock market in Nigeria</w:t>
            </w:r>
          </w:p>
        </w:tc>
      </w:tr>
      <w:tr w:rsidR="0064082A" w:rsidRPr="00731E30" w14:paraId="2EB0A1DB" w14:textId="77777777" w:rsidTr="00303B4A">
        <w:trPr>
          <w:trHeight w:val="254"/>
        </w:trPr>
        <w:tc>
          <w:tcPr>
            <w:tcW w:w="1631" w:type="dxa"/>
            <w:tcBorders>
              <w:top w:val="single" w:sz="4" w:space="0" w:color="auto"/>
              <w:left w:val="nil"/>
              <w:bottom w:val="single" w:sz="4" w:space="0" w:color="auto"/>
            </w:tcBorders>
            <w:noWrap/>
            <w:hideMark/>
          </w:tcPr>
          <w:p w14:paraId="641D655A"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sz w:val="18"/>
                <w:szCs w:val="18"/>
              </w:rPr>
              <w:t xml:space="preserve">Nkoro </w:t>
            </w:r>
            <w:r w:rsidRPr="00731E30">
              <w:rPr>
                <w:rFonts w:ascii="Times New Roman" w:hAnsi="Times New Roman"/>
                <w:iCs/>
                <w:sz w:val="18"/>
                <w:szCs w:val="18"/>
              </w:rPr>
              <w:t xml:space="preserve">&amp; Uko </w:t>
            </w:r>
            <w:r w:rsidR="00731E30">
              <w:rPr>
                <w:rFonts w:ascii="Times New Roman" w:hAnsi="Times New Roman"/>
                <w:sz w:val="18"/>
                <w:szCs w:val="18"/>
              </w:rPr>
              <w:t>(202</w:t>
            </w:r>
            <w:r w:rsidRPr="00731E30">
              <w:rPr>
                <w:rFonts w:ascii="Times New Roman" w:hAnsi="Times New Roman"/>
                <w:sz w:val="18"/>
                <w:szCs w:val="18"/>
              </w:rPr>
              <w:t>3)</w:t>
            </w:r>
          </w:p>
        </w:tc>
        <w:tc>
          <w:tcPr>
            <w:tcW w:w="1437" w:type="dxa"/>
            <w:tcBorders>
              <w:top w:val="single" w:sz="4" w:space="0" w:color="auto"/>
              <w:bottom w:val="single" w:sz="4" w:space="0" w:color="auto"/>
            </w:tcBorders>
            <w:noWrap/>
            <w:hideMark/>
          </w:tcPr>
          <w:p w14:paraId="56C60EBA"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sz w:val="18"/>
                <w:szCs w:val="18"/>
              </w:rPr>
              <w:t>Nigeria</w:t>
            </w:r>
          </w:p>
        </w:tc>
        <w:tc>
          <w:tcPr>
            <w:tcW w:w="1682" w:type="dxa"/>
            <w:tcBorders>
              <w:top w:val="single" w:sz="4" w:space="0" w:color="auto"/>
              <w:bottom w:val="single" w:sz="4" w:space="0" w:color="auto"/>
            </w:tcBorders>
            <w:noWrap/>
            <w:hideMark/>
          </w:tcPr>
          <w:p w14:paraId="072FD808"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sz w:val="18"/>
                <w:szCs w:val="18"/>
              </w:rPr>
              <w:t>The impact of domestic macroeconomic variables on the Nigerian stock market returns</w:t>
            </w:r>
          </w:p>
        </w:tc>
        <w:tc>
          <w:tcPr>
            <w:tcW w:w="2004" w:type="dxa"/>
            <w:tcBorders>
              <w:top w:val="single" w:sz="4" w:space="0" w:color="auto"/>
              <w:bottom w:val="single" w:sz="4" w:space="0" w:color="auto"/>
            </w:tcBorders>
            <w:noWrap/>
            <w:hideMark/>
          </w:tcPr>
          <w:p w14:paraId="517F51F1"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sz w:val="18"/>
                <w:szCs w:val="18"/>
              </w:rPr>
              <w:t>GARCH-Model</w:t>
            </w:r>
          </w:p>
        </w:tc>
        <w:tc>
          <w:tcPr>
            <w:tcW w:w="2295" w:type="dxa"/>
            <w:tcBorders>
              <w:top w:val="single" w:sz="4" w:space="0" w:color="auto"/>
              <w:bottom w:val="single" w:sz="4" w:space="0" w:color="auto"/>
            </w:tcBorders>
            <w:noWrap/>
            <w:hideMark/>
          </w:tcPr>
          <w:p w14:paraId="1C777CBE"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sz w:val="18"/>
                <w:szCs w:val="18"/>
              </w:rPr>
              <w:t>The study found that the inflation rate, index of manufacturing output, and interest rate exerted strong significant influence on stock return.</w:t>
            </w:r>
          </w:p>
          <w:p w14:paraId="2EF957F8" w14:textId="77777777" w:rsidR="0064082A" w:rsidRPr="00731E30" w:rsidRDefault="0064082A" w:rsidP="00CA7F87">
            <w:pPr>
              <w:spacing w:after="0" w:line="240" w:lineRule="auto"/>
              <w:rPr>
                <w:rFonts w:ascii="Times New Roman" w:hAnsi="Times New Roman"/>
                <w:sz w:val="18"/>
                <w:szCs w:val="18"/>
              </w:rPr>
            </w:pPr>
          </w:p>
        </w:tc>
      </w:tr>
      <w:tr w:rsidR="0064082A" w:rsidRPr="00731E30" w14:paraId="4EEF0A1B" w14:textId="77777777" w:rsidTr="00303B4A">
        <w:trPr>
          <w:trHeight w:val="254"/>
        </w:trPr>
        <w:tc>
          <w:tcPr>
            <w:tcW w:w="1631" w:type="dxa"/>
            <w:tcBorders>
              <w:top w:val="single" w:sz="4" w:space="0" w:color="auto"/>
              <w:left w:val="nil"/>
              <w:bottom w:val="single" w:sz="4" w:space="0" w:color="auto"/>
            </w:tcBorders>
            <w:noWrap/>
            <w:hideMark/>
          </w:tcPr>
          <w:p w14:paraId="493E2374"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sz w:val="18"/>
                <w:szCs w:val="18"/>
              </w:rPr>
              <w:t xml:space="preserve">Kibria, </w:t>
            </w:r>
            <w:r w:rsidRPr="00731E30">
              <w:rPr>
                <w:rFonts w:ascii="Times New Roman" w:hAnsi="Times New Roman"/>
                <w:iCs/>
                <w:sz w:val="18"/>
                <w:szCs w:val="18"/>
              </w:rPr>
              <w:t xml:space="preserve">Mehmood, Kamran, Arshad, Perveen, and Sajid, </w:t>
            </w:r>
            <w:r w:rsidRPr="00731E30">
              <w:rPr>
                <w:rFonts w:ascii="Times New Roman" w:hAnsi="Times New Roman"/>
                <w:sz w:val="18"/>
                <w:szCs w:val="18"/>
              </w:rPr>
              <w:t>(2014)</w:t>
            </w:r>
          </w:p>
        </w:tc>
        <w:tc>
          <w:tcPr>
            <w:tcW w:w="1437" w:type="dxa"/>
            <w:tcBorders>
              <w:top w:val="single" w:sz="4" w:space="0" w:color="auto"/>
              <w:bottom w:val="single" w:sz="4" w:space="0" w:color="auto"/>
            </w:tcBorders>
            <w:noWrap/>
            <w:hideMark/>
          </w:tcPr>
          <w:p w14:paraId="6FE2EB42"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sz w:val="18"/>
                <w:szCs w:val="18"/>
              </w:rPr>
              <w:t>Pakistan</w:t>
            </w:r>
          </w:p>
        </w:tc>
        <w:tc>
          <w:tcPr>
            <w:tcW w:w="1682" w:type="dxa"/>
            <w:tcBorders>
              <w:top w:val="single" w:sz="4" w:space="0" w:color="auto"/>
              <w:bottom w:val="single" w:sz="4" w:space="0" w:color="auto"/>
            </w:tcBorders>
            <w:noWrap/>
            <w:hideMark/>
          </w:tcPr>
          <w:p w14:paraId="6F68462C"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sz w:val="18"/>
                <w:szCs w:val="18"/>
              </w:rPr>
              <w:t>The impact of Macroeconomic variables</w:t>
            </w:r>
          </w:p>
        </w:tc>
        <w:tc>
          <w:tcPr>
            <w:tcW w:w="2004" w:type="dxa"/>
            <w:tcBorders>
              <w:top w:val="single" w:sz="4" w:space="0" w:color="auto"/>
              <w:bottom w:val="single" w:sz="4" w:space="0" w:color="auto"/>
            </w:tcBorders>
            <w:noWrap/>
            <w:hideMark/>
          </w:tcPr>
          <w:p w14:paraId="0E59084A"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sz w:val="18"/>
                <w:szCs w:val="18"/>
              </w:rPr>
              <w:t>Correlation Analysis, Descriptive Analysis, Regression analysis and Granger causality Test</w:t>
            </w:r>
          </w:p>
        </w:tc>
        <w:tc>
          <w:tcPr>
            <w:tcW w:w="2295" w:type="dxa"/>
            <w:tcBorders>
              <w:top w:val="single" w:sz="4" w:space="0" w:color="auto"/>
              <w:bottom w:val="single" w:sz="4" w:space="0" w:color="auto"/>
            </w:tcBorders>
            <w:noWrap/>
            <w:hideMark/>
          </w:tcPr>
          <w:p w14:paraId="089FAD91"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sz w:val="18"/>
                <w:szCs w:val="18"/>
              </w:rPr>
              <w:t>Revealed that exchange rate, inflation, GDP savings, money supply, and GDP per capita have a significant positive impact on the stock market returns.</w:t>
            </w:r>
          </w:p>
          <w:p w14:paraId="70D24D5E" w14:textId="77777777" w:rsidR="0064082A" w:rsidRPr="00731E30" w:rsidRDefault="0064082A" w:rsidP="00CA7F87">
            <w:pPr>
              <w:spacing w:after="0" w:line="240" w:lineRule="auto"/>
              <w:rPr>
                <w:rFonts w:ascii="Times New Roman" w:hAnsi="Times New Roman"/>
                <w:sz w:val="18"/>
                <w:szCs w:val="18"/>
              </w:rPr>
            </w:pPr>
          </w:p>
        </w:tc>
      </w:tr>
      <w:tr w:rsidR="0064082A" w:rsidRPr="00731E30" w14:paraId="25178D33" w14:textId="77777777" w:rsidTr="00303B4A">
        <w:trPr>
          <w:trHeight w:val="254"/>
        </w:trPr>
        <w:tc>
          <w:tcPr>
            <w:tcW w:w="1631" w:type="dxa"/>
            <w:tcBorders>
              <w:top w:val="single" w:sz="4" w:space="0" w:color="auto"/>
              <w:left w:val="nil"/>
              <w:bottom w:val="single" w:sz="4" w:space="0" w:color="auto"/>
            </w:tcBorders>
            <w:noWrap/>
            <w:hideMark/>
          </w:tcPr>
          <w:p w14:paraId="43638A7F"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sz w:val="18"/>
                <w:szCs w:val="18"/>
              </w:rPr>
              <w:t>Khan (2014)</w:t>
            </w:r>
          </w:p>
        </w:tc>
        <w:tc>
          <w:tcPr>
            <w:tcW w:w="1437" w:type="dxa"/>
            <w:tcBorders>
              <w:top w:val="single" w:sz="4" w:space="0" w:color="auto"/>
              <w:bottom w:val="single" w:sz="4" w:space="0" w:color="auto"/>
            </w:tcBorders>
            <w:noWrap/>
            <w:hideMark/>
          </w:tcPr>
          <w:p w14:paraId="5CC4F810"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sz w:val="18"/>
                <w:szCs w:val="18"/>
              </w:rPr>
              <w:t>Pakistan</w:t>
            </w:r>
          </w:p>
        </w:tc>
        <w:tc>
          <w:tcPr>
            <w:tcW w:w="1682" w:type="dxa"/>
            <w:tcBorders>
              <w:top w:val="single" w:sz="4" w:space="0" w:color="auto"/>
              <w:bottom w:val="single" w:sz="4" w:space="0" w:color="auto"/>
            </w:tcBorders>
            <w:noWrap/>
            <w:hideMark/>
          </w:tcPr>
          <w:p w14:paraId="0B6D540F"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sz w:val="18"/>
                <w:szCs w:val="18"/>
              </w:rPr>
              <w:t>The relationships between KSE-100 and the macroeconomic factors</w:t>
            </w:r>
          </w:p>
          <w:p w14:paraId="7C3E798B" w14:textId="77777777" w:rsidR="0064082A" w:rsidRPr="00731E30" w:rsidRDefault="0064082A" w:rsidP="00CA7F87">
            <w:pPr>
              <w:spacing w:after="0" w:line="240" w:lineRule="auto"/>
              <w:rPr>
                <w:rFonts w:ascii="Times New Roman" w:hAnsi="Times New Roman"/>
                <w:sz w:val="18"/>
                <w:szCs w:val="18"/>
              </w:rPr>
            </w:pPr>
          </w:p>
        </w:tc>
        <w:tc>
          <w:tcPr>
            <w:tcW w:w="2004" w:type="dxa"/>
            <w:tcBorders>
              <w:top w:val="single" w:sz="4" w:space="0" w:color="auto"/>
              <w:bottom w:val="single" w:sz="4" w:space="0" w:color="auto"/>
            </w:tcBorders>
            <w:noWrap/>
            <w:hideMark/>
          </w:tcPr>
          <w:p w14:paraId="03C9CF3F"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sz w:val="18"/>
                <w:szCs w:val="18"/>
              </w:rPr>
              <w:t>Multiple Regression and Pearson’s correlation</w:t>
            </w:r>
          </w:p>
        </w:tc>
        <w:tc>
          <w:tcPr>
            <w:tcW w:w="2295" w:type="dxa"/>
            <w:tcBorders>
              <w:top w:val="single" w:sz="4" w:space="0" w:color="auto"/>
              <w:bottom w:val="single" w:sz="4" w:space="0" w:color="auto"/>
            </w:tcBorders>
            <w:noWrap/>
            <w:hideMark/>
          </w:tcPr>
          <w:p w14:paraId="70206034"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sz w:val="18"/>
                <w:szCs w:val="18"/>
              </w:rPr>
              <w:t>found that gross domestic product, exchange rate, and inflation were positively related to the stock prices</w:t>
            </w:r>
          </w:p>
        </w:tc>
      </w:tr>
      <w:tr w:rsidR="0064082A" w:rsidRPr="00731E30" w14:paraId="24D77530" w14:textId="77777777" w:rsidTr="00303B4A">
        <w:trPr>
          <w:trHeight w:val="254"/>
        </w:trPr>
        <w:tc>
          <w:tcPr>
            <w:tcW w:w="1631" w:type="dxa"/>
            <w:tcBorders>
              <w:top w:val="single" w:sz="4" w:space="0" w:color="auto"/>
              <w:left w:val="nil"/>
              <w:bottom w:val="single" w:sz="4" w:space="0" w:color="auto"/>
            </w:tcBorders>
            <w:noWrap/>
            <w:hideMark/>
          </w:tcPr>
          <w:p w14:paraId="13909CFF"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sz w:val="18"/>
                <w:szCs w:val="18"/>
              </w:rPr>
              <w:t>Dritsaki and Dritsaki-Bargiota (2005)</w:t>
            </w:r>
          </w:p>
        </w:tc>
        <w:tc>
          <w:tcPr>
            <w:tcW w:w="1437" w:type="dxa"/>
            <w:tcBorders>
              <w:top w:val="single" w:sz="4" w:space="0" w:color="auto"/>
              <w:bottom w:val="single" w:sz="4" w:space="0" w:color="auto"/>
            </w:tcBorders>
            <w:noWrap/>
            <w:hideMark/>
          </w:tcPr>
          <w:p w14:paraId="2DE39058"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sz w:val="18"/>
                <w:szCs w:val="18"/>
              </w:rPr>
              <w:t>Greece</w:t>
            </w:r>
          </w:p>
        </w:tc>
        <w:tc>
          <w:tcPr>
            <w:tcW w:w="1682" w:type="dxa"/>
            <w:tcBorders>
              <w:top w:val="single" w:sz="4" w:space="0" w:color="auto"/>
              <w:bottom w:val="single" w:sz="4" w:space="0" w:color="auto"/>
            </w:tcBorders>
            <w:noWrap/>
            <w:hideMark/>
          </w:tcPr>
          <w:p w14:paraId="0E25522B"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sz w:val="18"/>
                <w:szCs w:val="18"/>
              </w:rPr>
              <w:t>the causal relationship between stock, credit market and economic growth</w:t>
            </w:r>
          </w:p>
        </w:tc>
        <w:tc>
          <w:tcPr>
            <w:tcW w:w="2004" w:type="dxa"/>
            <w:tcBorders>
              <w:top w:val="single" w:sz="4" w:space="0" w:color="auto"/>
              <w:bottom w:val="single" w:sz="4" w:space="0" w:color="auto"/>
            </w:tcBorders>
            <w:noWrap/>
            <w:hideMark/>
          </w:tcPr>
          <w:p w14:paraId="48CDF910"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sz w:val="18"/>
                <w:szCs w:val="18"/>
              </w:rPr>
              <w:t>trivariate VAR model</w:t>
            </w:r>
          </w:p>
          <w:p w14:paraId="20D8B28E" w14:textId="77777777" w:rsidR="0064082A" w:rsidRPr="00731E30" w:rsidRDefault="0064082A" w:rsidP="00CA7F87">
            <w:pPr>
              <w:spacing w:line="240" w:lineRule="auto"/>
              <w:rPr>
                <w:rFonts w:ascii="Times New Roman" w:hAnsi="Times New Roman"/>
                <w:sz w:val="18"/>
                <w:szCs w:val="18"/>
              </w:rPr>
            </w:pPr>
          </w:p>
        </w:tc>
        <w:tc>
          <w:tcPr>
            <w:tcW w:w="2295" w:type="dxa"/>
            <w:tcBorders>
              <w:top w:val="single" w:sz="4" w:space="0" w:color="auto"/>
              <w:bottom w:val="single" w:sz="4" w:space="0" w:color="auto"/>
            </w:tcBorders>
            <w:noWrap/>
            <w:hideMark/>
          </w:tcPr>
          <w:p w14:paraId="3446BFF6"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sz w:val="18"/>
                <w:szCs w:val="18"/>
              </w:rPr>
              <w:t xml:space="preserve">results revealed unidirectional causality from economic development to stock market and bidirectional causality between economic </w:t>
            </w:r>
            <w:r w:rsidRPr="00731E30">
              <w:rPr>
                <w:rFonts w:ascii="Times New Roman" w:hAnsi="Times New Roman"/>
                <w:sz w:val="18"/>
                <w:szCs w:val="18"/>
              </w:rPr>
              <w:lastRenderedPageBreak/>
              <w:t>developments and the banking sector</w:t>
            </w:r>
          </w:p>
          <w:p w14:paraId="193F1A0F" w14:textId="77777777" w:rsidR="0064082A" w:rsidRPr="00731E30" w:rsidRDefault="0064082A" w:rsidP="00CA7F87">
            <w:pPr>
              <w:spacing w:after="0" w:line="240" w:lineRule="auto"/>
              <w:rPr>
                <w:rFonts w:ascii="Times New Roman" w:hAnsi="Times New Roman"/>
                <w:sz w:val="18"/>
                <w:szCs w:val="18"/>
              </w:rPr>
            </w:pPr>
          </w:p>
        </w:tc>
      </w:tr>
      <w:tr w:rsidR="0064082A" w:rsidRPr="00731E30" w14:paraId="6D32B50D" w14:textId="77777777" w:rsidTr="00303B4A">
        <w:trPr>
          <w:trHeight w:val="254"/>
        </w:trPr>
        <w:tc>
          <w:tcPr>
            <w:tcW w:w="1631" w:type="dxa"/>
            <w:tcBorders>
              <w:top w:val="single" w:sz="4" w:space="0" w:color="auto"/>
              <w:left w:val="nil"/>
              <w:bottom w:val="single" w:sz="4" w:space="0" w:color="auto"/>
            </w:tcBorders>
            <w:noWrap/>
          </w:tcPr>
          <w:p w14:paraId="78B76DB4"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sz w:val="18"/>
                <w:szCs w:val="18"/>
              </w:rPr>
              <w:lastRenderedPageBreak/>
              <w:t>Nnachi, &amp; Nnamani (2017).</w:t>
            </w:r>
          </w:p>
        </w:tc>
        <w:tc>
          <w:tcPr>
            <w:tcW w:w="1437" w:type="dxa"/>
            <w:tcBorders>
              <w:top w:val="single" w:sz="4" w:space="0" w:color="auto"/>
              <w:bottom w:val="single" w:sz="4" w:space="0" w:color="auto"/>
            </w:tcBorders>
            <w:noWrap/>
          </w:tcPr>
          <w:p w14:paraId="2FF8863B"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sz w:val="18"/>
                <w:szCs w:val="18"/>
              </w:rPr>
              <w:t>Nigeria</w:t>
            </w:r>
          </w:p>
        </w:tc>
        <w:tc>
          <w:tcPr>
            <w:tcW w:w="1682" w:type="dxa"/>
            <w:tcBorders>
              <w:top w:val="single" w:sz="4" w:space="0" w:color="auto"/>
              <w:bottom w:val="single" w:sz="4" w:space="0" w:color="auto"/>
            </w:tcBorders>
            <w:noWrap/>
          </w:tcPr>
          <w:p w14:paraId="6C425860" w14:textId="77777777" w:rsidR="0064082A" w:rsidRPr="00731E30" w:rsidRDefault="0064082A" w:rsidP="00CA7F87">
            <w:pPr>
              <w:spacing w:after="0" w:line="240" w:lineRule="auto"/>
              <w:rPr>
                <w:rFonts w:ascii="Times New Roman" w:hAnsi="Times New Roman"/>
                <w:bCs/>
                <w:sz w:val="18"/>
                <w:szCs w:val="18"/>
              </w:rPr>
            </w:pPr>
            <w:r w:rsidRPr="00731E30">
              <w:rPr>
                <w:rFonts w:ascii="Times New Roman" w:hAnsi="Times New Roman"/>
                <w:bCs/>
                <w:sz w:val="18"/>
                <w:szCs w:val="18"/>
              </w:rPr>
              <w:t>Estimating the Causal Relationship between Financial Development and Economic Growth in Nigeria</w:t>
            </w:r>
          </w:p>
        </w:tc>
        <w:tc>
          <w:tcPr>
            <w:tcW w:w="2004" w:type="dxa"/>
            <w:tcBorders>
              <w:top w:val="single" w:sz="4" w:space="0" w:color="auto"/>
              <w:bottom w:val="single" w:sz="4" w:space="0" w:color="auto"/>
            </w:tcBorders>
            <w:noWrap/>
          </w:tcPr>
          <w:p w14:paraId="48455E00"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sz w:val="18"/>
                <w:szCs w:val="18"/>
              </w:rPr>
              <w:t xml:space="preserve"> </w:t>
            </w:r>
            <w:r w:rsidRPr="00731E30">
              <w:rPr>
                <w:rFonts w:ascii="Times New Roman" w:hAnsi="Times New Roman"/>
                <w:iCs/>
                <w:sz w:val="18"/>
                <w:szCs w:val="18"/>
              </w:rPr>
              <w:t>Johansen cointegration and Granger causality test</w:t>
            </w:r>
          </w:p>
        </w:tc>
        <w:tc>
          <w:tcPr>
            <w:tcW w:w="2295" w:type="dxa"/>
            <w:tcBorders>
              <w:top w:val="single" w:sz="4" w:space="0" w:color="auto"/>
              <w:bottom w:val="single" w:sz="4" w:space="0" w:color="auto"/>
            </w:tcBorders>
            <w:noWrap/>
          </w:tcPr>
          <w:p w14:paraId="2833FB0C"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iCs/>
                <w:sz w:val="18"/>
                <w:szCs w:val="18"/>
              </w:rPr>
              <w:t>The result found uni-directional causal relationship between financial development and economic growth.</w:t>
            </w:r>
          </w:p>
        </w:tc>
      </w:tr>
      <w:tr w:rsidR="0064082A" w:rsidRPr="00731E30" w14:paraId="72088A62" w14:textId="77777777" w:rsidTr="00303B4A">
        <w:trPr>
          <w:trHeight w:val="254"/>
        </w:trPr>
        <w:tc>
          <w:tcPr>
            <w:tcW w:w="1631" w:type="dxa"/>
            <w:tcBorders>
              <w:top w:val="single" w:sz="4" w:space="0" w:color="auto"/>
              <w:left w:val="nil"/>
              <w:bottom w:val="single" w:sz="4" w:space="0" w:color="auto"/>
            </w:tcBorders>
            <w:noWrap/>
          </w:tcPr>
          <w:p w14:paraId="4D58AEAE"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sz w:val="18"/>
                <w:szCs w:val="18"/>
              </w:rPr>
              <w:t>Odo, Ogbonna,, Agbi and Anoke, 2016).</w:t>
            </w:r>
          </w:p>
        </w:tc>
        <w:tc>
          <w:tcPr>
            <w:tcW w:w="1437" w:type="dxa"/>
            <w:tcBorders>
              <w:top w:val="single" w:sz="4" w:space="0" w:color="auto"/>
              <w:bottom w:val="single" w:sz="4" w:space="0" w:color="auto"/>
            </w:tcBorders>
            <w:noWrap/>
          </w:tcPr>
          <w:p w14:paraId="5E3225E5"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sz w:val="18"/>
                <w:szCs w:val="18"/>
              </w:rPr>
              <w:t>Nigeria and South Africa</w:t>
            </w:r>
          </w:p>
        </w:tc>
        <w:tc>
          <w:tcPr>
            <w:tcW w:w="1682" w:type="dxa"/>
            <w:tcBorders>
              <w:top w:val="single" w:sz="4" w:space="0" w:color="auto"/>
              <w:bottom w:val="single" w:sz="4" w:space="0" w:color="auto"/>
            </w:tcBorders>
            <w:noWrap/>
          </w:tcPr>
          <w:p w14:paraId="44E4B67B" w14:textId="77777777" w:rsidR="0064082A" w:rsidRPr="00731E30" w:rsidRDefault="0064082A" w:rsidP="00CA7F87">
            <w:pPr>
              <w:pStyle w:val="Default"/>
              <w:jc w:val="both"/>
              <w:rPr>
                <w:bCs/>
                <w:color w:val="auto"/>
                <w:sz w:val="18"/>
                <w:szCs w:val="18"/>
              </w:rPr>
            </w:pPr>
            <w:r w:rsidRPr="00731E30">
              <w:rPr>
                <w:bCs/>
                <w:color w:val="auto"/>
                <w:sz w:val="18"/>
                <w:szCs w:val="18"/>
              </w:rPr>
              <w:t xml:space="preserve">Financial Sector Development-Economic Growth </w:t>
            </w:r>
          </w:p>
          <w:p w14:paraId="153962EE"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bCs/>
                <w:sz w:val="18"/>
                <w:szCs w:val="18"/>
              </w:rPr>
              <w:t>Nexus: Empirical Evidence from Nigeria</w:t>
            </w:r>
          </w:p>
        </w:tc>
        <w:tc>
          <w:tcPr>
            <w:tcW w:w="2004" w:type="dxa"/>
            <w:tcBorders>
              <w:top w:val="single" w:sz="4" w:space="0" w:color="auto"/>
              <w:bottom w:val="single" w:sz="4" w:space="0" w:color="auto"/>
            </w:tcBorders>
            <w:noWrap/>
          </w:tcPr>
          <w:p w14:paraId="5594FA8F"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iCs/>
                <w:sz w:val="18"/>
                <w:szCs w:val="18"/>
              </w:rPr>
              <w:t>VECM and granger causality test</w:t>
            </w:r>
          </w:p>
        </w:tc>
        <w:tc>
          <w:tcPr>
            <w:tcW w:w="2295" w:type="dxa"/>
            <w:tcBorders>
              <w:top w:val="single" w:sz="4" w:space="0" w:color="auto"/>
              <w:bottom w:val="single" w:sz="4" w:space="0" w:color="auto"/>
            </w:tcBorders>
            <w:noWrap/>
          </w:tcPr>
          <w:p w14:paraId="4F5D1F55" w14:textId="77777777" w:rsidR="0064082A" w:rsidRPr="00731E30" w:rsidRDefault="0064082A" w:rsidP="00CA7F87">
            <w:pPr>
              <w:spacing w:after="0" w:line="240" w:lineRule="auto"/>
              <w:rPr>
                <w:rFonts w:ascii="Times New Roman" w:hAnsi="Times New Roman"/>
                <w:iCs/>
                <w:sz w:val="18"/>
                <w:szCs w:val="18"/>
              </w:rPr>
            </w:pPr>
            <w:r w:rsidRPr="00731E30">
              <w:rPr>
                <w:rFonts w:ascii="Times New Roman" w:hAnsi="Times New Roman"/>
                <w:iCs/>
                <w:sz w:val="18"/>
                <w:szCs w:val="18"/>
              </w:rPr>
              <w:t>This study therefore concludes that supply – leading phenomena (Finance – led growth) is evident in both Nigeria and South Africa economies</w:t>
            </w:r>
          </w:p>
          <w:p w14:paraId="4287E27C" w14:textId="77777777" w:rsidR="0064082A" w:rsidRPr="00731E30" w:rsidRDefault="0064082A" w:rsidP="00CA7F87">
            <w:pPr>
              <w:spacing w:after="0" w:line="240" w:lineRule="auto"/>
              <w:rPr>
                <w:rFonts w:ascii="Times New Roman" w:hAnsi="Times New Roman"/>
                <w:iCs/>
                <w:sz w:val="18"/>
                <w:szCs w:val="18"/>
              </w:rPr>
            </w:pPr>
          </w:p>
        </w:tc>
      </w:tr>
      <w:tr w:rsidR="0064082A" w:rsidRPr="00731E30" w14:paraId="6E7D1E63" w14:textId="77777777" w:rsidTr="00303B4A">
        <w:trPr>
          <w:trHeight w:val="254"/>
        </w:trPr>
        <w:tc>
          <w:tcPr>
            <w:tcW w:w="1631" w:type="dxa"/>
            <w:tcBorders>
              <w:top w:val="single" w:sz="4" w:space="0" w:color="auto"/>
              <w:left w:val="nil"/>
              <w:bottom w:val="single" w:sz="4" w:space="0" w:color="auto"/>
            </w:tcBorders>
            <w:noWrap/>
          </w:tcPr>
          <w:p w14:paraId="4CB1BB8D"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bCs/>
                <w:sz w:val="18"/>
                <w:szCs w:val="18"/>
              </w:rPr>
              <w:t>Nkoro and Aham, (2013).</w:t>
            </w:r>
          </w:p>
        </w:tc>
        <w:tc>
          <w:tcPr>
            <w:tcW w:w="1437" w:type="dxa"/>
            <w:tcBorders>
              <w:top w:val="single" w:sz="4" w:space="0" w:color="auto"/>
              <w:bottom w:val="single" w:sz="4" w:space="0" w:color="auto"/>
            </w:tcBorders>
            <w:noWrap/>
          </w:tcPr>
          <w:p w14:paraId="5974E411"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sz w:val="18"/>
                <w:szCs w:val="18"/>
              </w:rPr>
              <w:t>Nigeria</w:t>
            </w:r>
          </w:p>
        </w:tc>
        <w:tc>
          <w:tcPr>
            <w:tcW w:w="1682" w:type="dxa"/>
            <w:tcBorders>
              <w:top w:val="single" w:sz="4" w:space="0" w:color="auto"/>
              <w:bottom w:val="single" w:sz="4" w:space="0" w:color="auto"/>
            </w:tcBorders>
            <w:noWrap/>
          </w:tcPr>
          <w:p w14:paraId="745E43D4" w14:textId="77777777" w:rsidR="0064082A" w:rsidRPr="00731E30" w:rsidRDefault="0064082A" w:rsidP="00CA7F87">
            <w:pPr>
              <w:pStyle w:val="Default"/>
              <w:jc w:val="both"/>
              <w:rPr>
                <w:bCs/>
                <w:color w:val="auto"/>
                <w:sz w:val="18"/>
                <w:szCs w:val="18"/>
              </w:rPr>
            </w:pPr>
            <w:r w:rsidRPr="00731E30">
              <w:rPr>
                <w:bCs/>
                <w:color w:val="auto"/>
                <w:sz w:val="18"/>
                <w:szCs w:val="18"/>
              </w:rPr>
              <w:t xml:space="preserve">Financial Sector Development-Economic Growth </w:t>
            </w:r>
          </w:p>
          <w:p w14:paraId="5F5D0C2F" w14:textId="77777777" w:rsidR="0064082A" w:rsidRPr="00731E30" w:rsidRDefault="0064082A" w:rsidP="00CA7F87">
            <w:pPr>
              <w:spacing w:after="0" w:line="240" w:lineRule="auto"/>
              <w:rPr>
                <w:rFonts w:ascii="Times New Roman" w:hAnsi="Times New Roman"/>
                <w:bCs/>
                <w:sz w:val="18"/>
                <w:szCs w:val="18"/>
              </w:rPr>
            </w:pPr>
            <w:r w:rsidRPr="00731E30">
              <w:rPr>
                <w:rFonts w:ascii="Times New Roman" w:hAnsi="Times New Roman"/>
                <w:bCs/>
                <w:sz w:val="18"/>
                <w:szCs w:val="18"/>
              </w:rPr>
              <w:t>Nexus: Empirical Evidence from Nigeria</w:t>
            </w:r>
          </w:p>
        </w:tc>
        <w:tc>
          <w:tcPr>
            <w:tcW w:w="2004" w:type="dxa"/>
            <w:tcBorders>
              <w:top w:val="single" w:sz="4" w:space="0" w:color="auto"/>
              <w:bottom w:val="single" w:sz="4" w:space="0" w:color="auto"/>
            </w:tcBorders>
            <w:noWrap/>
          </w:tcPr>
          <w:p w14:paraId="0FA93DC5"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iCs/>
                <w:sz w:val="18"/>
                <w:szCs w:val="18"/>
              </w:rPr>
              <w:t>Cointegration and Error Correction Mechanism (ECM)</w:t>
            </w:r>
          </w:p>
        </w:tc>
        <w:tc>
          <w:tcPr>
            <w:tcW w:w="2295" w:type="dxa"/>
            <w:tcBorders>
              <w:top w:val="single" w:sz="4" w:space="0" w:color="auto"/>
              <w:bottom w:val="single" w:sz="4" w:space="0" w:color="auto"/>
            </w:tcBorders>
            <w:noWrap/>
          </w:tcPr>
          <w:p w14:paraId="6AB3681C" w14:textId="77777777" w:rsidR="0064082A" w:rsidRPr="00731E30" w:rsidRDefault="0064082A" w:rsidP="00CA7F87">
            <w:pPr>
              <w:spacing w:after="0" w:line="240" w:lineRule="auto"/>
              <w:rPr>
                <w:rFonts w:ascii="Times New Roman" w:hAnsi="Times New Roman"/>
                <w:iCs/>
                <w:sz w:val="18"/>
                <w:szCs w:val="18"/>
              </w:rPr>
            </w:pPr>
            <w:r w:rsidRPr="00731E30">
              <w:rPr>
                <w:rFonts w:ascii="Times New Roman" w:hAnsi="Times New Roman"/>
                <w:iCs/>
                <w:sz w:val="18"/>
                <w:szCs w:val="18"/>
              </w:rPr>
              <w:t>The empirical results show that there is a positive effect of financial sector development on economic growth in Nigeria</w:t>
            </w:r>
          </w:p>
          <w:p w14:paraId="7FADE730" w14:textId="77777777" w:rsidR="0064082A" w:rsidRPr="00731E30" w:rsidRDefault="0064082A" w:rsidP="00CA7F87">
            <w:pPr>
              <w:spacing w:after="0" w:line="240" w:lineRule="auto"/>
              <w:rPr>
                <w:rFonts w:ascii="Times New Roman" w:hAnsi="Times New Roman"/>
                <w:iCs/>
                <w:sz w:val="18"/>
                <w:szCs w:val="18"/>
              </w:rPr>
            </w:pPr>
          </w:p>
          <w:p w14:paraId="4D8B27A7" w14:textId="77777777" w:rsidR="0064082A" w:rsidRPr="00731E30" w:rsidRDefault="0064082A" w:rsidP="00CA7F87">
            <w:pPr>
              <w:spacing w:after="0" w:line="240" w:lineRule="auto"/>
              <w:rPr>
                <w:rFonts w:ascii="Times New Roman" w:hAnsi="Times New Roman"/>
                <w:iCs/>
                <w:sz w:val="18"/>
                <w:szCs w:val="18"/>
              </w:rPr>
            </w:pPr>
          </w:p>
        </w:tc>
      </w:tr>
      <w:tr w:rsidR="0064082A" w:rsidRPr="00731E30" w14:paraId="0B6C73CE" w14:textId="77777777" w:rsidTr="00303B4A">
        <w:trPr>
          <w:trHeight w:val="254"/>
        </w:trPr>
        <w:tc>
          <w:tcPr>
            <w:tcW w:w="1631" w:type="dxa"/>
            <w:tcBorders>
              <w:top w:val="single" w:sz="4" w:space="0" w:color="auto"/>
              <w:left w:val="nil"/>
              <w:bottom w:val="single" w:sz="4" w:space="0" w:color="auto"/>
            </w:tcBorders>
            <w:noWrap/>
          </w:tcPr>
          <w:p w14:paraId="5103AB4F"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eastAsia="Times New Roman" w:hAnsi="Times New Roman"/>
                <w:sz w:val="18"/>
                <w:szCs w:val="18"/>
              </w:rPr>
              <w:t>Ahmad, Adam, Ahmad, and Umar (2015)</w:t>
            </w:r>
          </w:p>
        </w:tc>
        <w:tc>
          <w:tcPr>
            <w:tcW w:w="1437" w:type="dxa"/>
            <w:tcBorders>
              <w:top w:val="single" w:sz="4" w:space="0" w:color="auto"/>
              <w:bottom w:val="single" w:sz="4" w:space="0" w:color="auto"/>
            </w:tcBorders>
            <w:noWrap/>
          </w:tcPr>
          <w:p w14:paraId="14CFCC8B"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sz w:val="18"/>
                <w:szCs w:val="18"/>
              </w:rPr>
              <w:t>Nigeria</w:t>
            </w:r>
          </w:p>
        </w:tc>
        <w:tc>
          <w:tcPr>
            <w:tcW w:w="1682" w:type="dxa"/>
            <w:tcBorders>
              <w:top w:val="single" w:sz="4" w:space="0" w:color="auto"/>
              <w:bottom w:val="single" w:sz="4" w:space="0" w:color="auto"/>
            </w:tcBorders>
            <w:noWrap/>
          </w:tcPr>
          <w:p w14:paraId="02E6B7FB" w14:textId="77777777" w:rsidR="0064082A" w:rsidRPr="00731E30" w:rsidRDefault="0064082A" w:rsidP="00CA7F87">
            <w:pPr>
              <w:spacing w:after="0" w:line="240" w:lineRule="auto"/>
              <w:rPr>
                <w:rFonts w:ascii="Times New Roman" w:eastAsia="Times New Roman" w:hAnsi="Times New Roman"/>
                <w:sz w:val="18"/>
                <w:szCs w:val="18"/>
              </w:rPr>
            </w:pPr>
            <w:r w:rsidRPr="00731E30">
              <w:rPr>
                <w:rFonts w:ascii="Times New Roman" w:eastAsia="Times New Roman" w:hAnsi="Times New Roman"/>
                <w:sz w:val="18"/>
                <w:szCs w:val="18"/>
              </w:rPr>
              <w:t>Stock Market Returns and</w:t>
            </w:r>
          </w:p>
          <w:p w14:paraId="682CD699" w14:textId="77777777" w:rsidR="0064082A" w:rsidRPr="00731E30" w:rsidRDefault="0064082A" w:rsidP="00CA7F87">
            <w:pPr>
              <w:spacing w:after="0" w:line="240" w:lineRule="auto"/>
              <w:rPr>
                <w:rFonts w:ascii="Times New Roman" w:hAnsi="Times New Roman"/>
                <w:bCs/>
                <w:sz w:val="18"/>
                <w:szCs w:val="18"/>
              </w:rPr>
            </w:pPr>
            <w:r w:rsidRPr="00731E30">
              <w:rPr>
                <w:rFonts w:ascii="Times New Roman" w:eastAsia="Times New Roman" w:hAnsi="Times New Roman"/>
                <w:sz w:val="18"/>
                <w:szCs w:val="18"/>
              </w:rPr>
              <w:t>Macroeconomic Variables in Nigeria: Testing for Dynamic Linkages with a Structural Break</w:t>
            </w:r>
          </w:p>
        </w:tc>
        <w:tc>
          <w:tcPr>
            <w:tcW w:w="2004" w:type="dxa"/>
            <w:tcBorders>
              <w:top w:val="single" w:sz="4" w:space="0" w:color="auto"/>
              <w:bottom w:val="single" w:sz="4" w:space="0" w:color="auto"/>
            </w:tcBorders>
            <w:noWrap/>
          </w:tcPr>
          <w:p w14:paraId="1B319131"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iCs/>
                <w:sz w:val="18"/>
                <w:szCs w:val="18"/>
              </w:rPr>
              <w:t>Bound Cointegration Autoregressive Distributive Lag (ARDL) and Vector Autoregressive Model (VAR).</w:t>
            </w:r>
          </w:p>
        </w:tc>
        <w:tc>
          <w:tcPr>
            <w:tcW w:w="2295" w:type="dxa"/>
            <w:tcBorders>
              <w:top w:val="single" w:sz="4" w:space="0" w:color="auto"/>
              <w:bottom w:val="single" w:sz="4" w:space="0" w:color="auto"/>
            </w:tcBorders>
            <w:noWrap/>
          </w:tcPr>
          <w:p w14:paraId="579BB49B" w14:textId="77777777" w:rsidR="0064082A" w:rsidRPr="00731E30" w:rsidRDefault="0064082A" w:rsidP="00CA7F87">
            <w:pPr>
              <w:spacing w:after="0" w:line="240" w:lineRule="auto"/>
              <w:rPr>
                <w:rFonts w:ascii="Times New Roman" w:hAnsi="Times New Roman"/>
                <w:iCs/>
                <w:sz w:val="18"/>
                <w:szCs w:val="18"/>
              </w:rPr>
            </w:pPr>
            <w:r w:rsidRPr="00731E30">
              <w:rPr>
                <w:rFonts w:ascii="Times New Roman" w:hAnsi="Times New Roman"/>
                <w:iCs/>
                <w:sz w:val="18"/>
                <w:szCs w:val="18"/>
              </w:rPr>
              <w:t>The Granger causality tests showed that some of the macroeconomic variables were having bidirectional causality with the stock market returns; while others have unidirectional causality</w:t>
            </w:r>
          </w:p>
        </w:tc>
      </w:tr>
      <w:tr w:rsidR="0064082A" w:rsidRPr="00731E30" w14:paraId="6A5C94FC" w14:textId="77777777" w:rsidTr="00303B4A">
        <w:trPr>
          <w:trHeight w:val="254"/>
        </w:trPr>
        <w:tc>
          <w:tcPr>
            <w:tcW w:w="1631" w:type="dxa"/>
            <w:tcBorders>
              <w:top w:val="single" w:sz="4" w:space="0" w:color="auto"/>
              <w:left w:val="nil"/>
              <w:bottom w:val="single" w:sz="4" w:space="0" w:color="auto"/>
            </w:tcBorders>
            <w:noWrap/>
          </w:tcPr>
          <w:p w14:paraId="5AA362FA"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sz w:val="18"/>
                <w:szCs w:val="18"/>
              </w:rPr>
              <w:t>Nzomo  and  Dombou-Tagne</w:t>
            </w:r>
          </w:p>
          <w:p w14:paraId="4918F30D"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sz w:val="18"/>
                <w:szCs w:val="18"/>
              </w:rPr>
              <w:t xml:space="preserve"> ( 2017).</w:t>
            </w:r>
          </w:p>
        </w:tc>
        <w:tc>
          <w:tcPr>
            <w:tcW w:w="1437" w:type="dxa"/>
            <w:tcBorders>
              <w:top w:val="single" w:sz="4" w:space="0" w:color="auto"/>
              <w:bottom w:val="single" w:sz="4" w:space="0" w:color="auto"/>
            </w:tcBorders>
            <w:noWrap/>
          </w:tcPr>
          <w:p w14:paraId="5D311895" w14:textId="77777777" w:rsidR="0064082A" w:rsidRPr="00731E30" w:rsidRDefault="0064082A" w:rsidP="00CA7F87">
            <w:pPr>
              <w:spacing w:after="0" w:line="240" w:lineRule="auto"/>
              <w:rPr>
                <w:rFonts w:ascii="Times New Roman" w:hAnsi="Times New Roman"/>
                <w:sz w:val="18"/>
                <w:szCs w:val="18"/>
              </w:rPr>
            </w:pPr>
          </w:p>
        </w:tc>
        <w:tc>
          <w:tcPr>
            <w:tcW w:w="1682" w:type="dxa"/>
            <w:tcBorders>
              <w:top w:val="single" w:sz="4" w:space="0" w:color="auto"/>
              <w:bottom w:val="single" w:sz="4" w:space="0" w:color="auto"/>
            </w:tcBorders>
            <w:noWrap/>
          </w:tcPr>
          <w:p w14:paraId="3F88E452" w14:textId="77777777" w:rsidR="0064082A" w:rsidRPr="00731E30" w:rsidRDefault="0064082A" w:rsidP="00CA7F87">
            <w:pPr>
              <w:spacing w:after="0" w:line="240" w:lineRule="auto"/>
              <w:rPr>
                <w:rFonts w:ascii="Times New Roman" w:hAnsi="Times New Roman"/>
                <w:kern w:val="36"/>
                <w:sz w:val="18"/>
                <w:szCs w:val="18"/>
              </w:rPr>
            </w:pPr>
            <w:r w:rsidRPr="00731E30">
              <w:rPr>
                <w:rFonts w:ascii="Times New Roman" w:hAnsi="Times New Roman"/>
                <w:kern w:val="36"/>
                <w:sz w:val="18"/>
                <w:szCs w:val="18"/>
              </w:rPr>
              <w:t>Stock markets, volatility and economic  growth: evidence from Cameroon, Ivory Coast and Nigeria</w:t>
            </w:r>
          </w:p>
        </w:tc>
        <w:tc>
          <w:tcPr>
            <w:tcW w:w="2004" w:type="dxa"/>
            <w:tcBorders>
              <w:top w:val="single" w:sz="4" w:space="0" w:color="auto"/>
              <w:bottom w:val="single" w:sz="4" w:space="0" w:color="auto"/>
            </w:tcBorders>
            <w:noWrap/>
          </w:tcPr>
          <w:p w14:paraId="01ABEF9D"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sz w:val="18"/>
                <w:szCs w:val="18"/>
              </w:rPr>
              <w:t>GARCH and VAR</w:t>
            </w:r>
          </w:p>
        </w:tc>
        <w:tc>
          <w:tcPr>
            <w:tcW w:w="2295" w:type="dxa"/>
            <w:tcBorders>
              <w:top w:val="single" w:sz="4" w:space="0" w:color="auto"/>
              <w:bottom w:val="single" w:sz="4" w:space="0" w:color="auto"/>
            </w:tcBorders>
            <w:noWrap/>
          </w:tcPr>
          <w:p w14:paraId="3C141B00" w14:textId="77777777" w:rsidR="0064082A" w:rsidRPr="00731E30" w:rsidRDefault="0064082A" w:rsidP="00CA7F87">
            <w:pPr>
              <w:spacing w:after="0" w:line="240" w:lineRule="auto"/>
              <w:rPr>
                <w:rFonts w:ascii="Times New Roman" w:hAnsi="Times New Roman"/>
                <w:iCs/>
                <w:sz w:val="18"/>
                <w:szCs w:val="18"/>
              </w:rPr>
            </w:pPr>
            <w:r w:rsidRPr="00731E30">
              <w:rPr>
                <w:rFonts w:ascii="Times New Roman" w:hAnsi="Times New Roman"/>
                <w:iCs/>
                <w:sz w:val="18"/>
                <w:szCs w:val="18"/>
              </w:rPr>
              <w:t>The study found that NSE is more volatile than BRVM or DSX.</w:t>
            </w:r>
          </w:p>
        </w:tc>
      </w:tr>
      <w:tr w:rsidR="0064082A" w:rsidRPr="00731E30" w14:paraId="5134D8CA" w14:textId="77777777" w:rsidTr="00303B4A">
        <w:trPr>
          <w:trHeight w:val="254"/>
        </w:trPr>
        <w:tc>
          <w:tcPr>
            <w:tcW w:w="1631" w:type="dxa"/>
            <w:tcBorders>
              <w:top w:val="single" w:sz="4" w:space="0" w:color="auto"/>
              <w:left w:val="nil"/>
              <w:bottom w:val="single" w:sz="4" w:space="0" w:color="auto"/>
            </w:tcBorders>
            <w:noWrap/>
          </w:tcPr>
          <w:p w14:paraId="7CCC6B0C"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sz w:val="18"/>
                <w:szCs w:val="18"/>
              </w:rPr>
              <w:t>Nwanna, (2017).</w:t>
            </w:r>
          </w:p>
        </w:tc>
        <w:tc>
          <w:tcPr>
            <w:tcW w:w="1437" w:type="dxa"/>
            <w:tcBorders>
              <w:top w:val="single" w:sz="4" w:space="0" w:color="auto"/>
              <w:bottom w:val="single" w:sz="4" w:space="0" w:color="auto"/>
            </w:tcBorders>
            <w:noWrap/>
          </w:tcPr>
          <w:p w14:paraId="4933B3F4"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sz w:val="18"/>
                <w:szCs w:val="18"/>
              </w:rPr>
              <w:t>Nigeria</w:t>
            </w:r>
          </w:p>
        </w:tc>
        <w:tc>
          <w:tcPr>
            <w:tcW w:w="1682" w:type="dxa"/>
            <w:tcBorders>
              <w:top w:val="single" w:sz="4" w:space="0" w:color="auto"/>
              <w:bottom w:val="single" w:sz="4" w:space="0" w:color="auto"/>
            </w:tcBorders>
            <w:noWrap/>
          </w:tcPr>
          <w:p w14:paraId="5F8B7693" w14:textId="77777777" w:rsidR="0064082A" w:rsidRPr="00731E30" w:rsidRDefault="0064082A" w:rsidP="00CA7F87">
            <w:pPr>
              <w:pStyle w:val="Default"/>
              <w:jc w:val="both"/>
              <w:rPr>
                <w:bCs/>
                <w:color w:val="auto"/>
                <w:sz w:val="18"/>
                <w:szCs w:val="18"/>
              </w:rPr>
            </w:pPr>
            <w:r w:rsidRPr="00731E30">
              <w:rPr>
                <w:bCs/>
                <w:color w:val="auto"/>
                <w:sz w:val="18"/>
                <w:szCs w:val="18"/>
              </w:rPr>
              <w:t>Impact of Capital Market Volatility on Economic Growth in Nigeria (1985 - 2016)</w:t>
            </w:r>
          </w:p>
        </w:tc>
        <w:tc>
          <w:tcPr>
            <w:tcW w:w="2004" w:type="dxa"/>
            <w:tcBorders>
              <w:top w:val="single" w:sz="4" w:space="0" w:color="auto"/>
              <w:bottom w:val="single" w:sz="4" w:space="0" w:color="auto"/>
            </w:tcBorders>
            <w:noWrap/>
          </w:tcPr>
          <w:p w14:paraId="0450C491"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iCs/>
                <w:sz w:val="18"/>
                <w:szCs w:val="18"/>
              </w:rPr>
              <w:t>Autoregressive Conditional Heteroskedasticity models</w:t>
            </w:r>
          </w:p>
        </w:tc>
        <w:tc>
          <w:tcPr>
            <w:tcW w:w="2295" w:type="dxa"/>
            <w:tcBorders>
              <w:top w:val="single" w:sz="4" w:space="0" w:color="auto"/>
              <w:bottom w:val="single" w:sz="4" w:space="0" w:color="auto"/>
            </w:tcBorders>
            <w:noWrap/>
          </w:tcPr>
          <w:p w14:paraId="29919604" w14:textId="77777777" w:rsidR="0064082A" w:rsidRPr="00731E30" w:rsidRDefault="0064082A" w:rsidP="00CA7F87">
            <w:pPr>
              <w:pStyle w:val="Default"/>
              <w:jc w:val="both"/>
              <w:rPr>
                <w:color w:val="auto"/>
                <w:sz w:val="18"/>
                <w:szCs w:val="18"/>
              </w:rPr>
            </w:pPr>
            <w:r w:rsidRPr="00731E30">
              <w:rPr>
                <w:iCs/>
                <w:color w:val="auto"/>
                <w:sz w:val="18"/>
                <w:szCs w:val="18"/>
              </w:rPr>
              <w:t>The study found evidence of a muted effect of capital market volatility on the Nigeria’s economic development</w:t>
            </w:r>
          </w:p>
        </w:tc>
      </w:tr>
      <w:tr w:rsidR="0064082A" w:rsidRPr="00731E30" w14:paraId="0D1F7636" w14:textId="77777777" w:rsidTr="00303B4A">
        <w:trPr>
          <w:trHeight w:val="254"/>
        </w:trPr>
        <w:tc>
          <w:tcPr>
            <w:tcW w:w="1631" w:type="dxa"/>
            <w:tcBorders>
              <w:top w:val="single" w:sz="4" w:space="0" w:color="auto"/>
              <w:left w:val="nil"/>
              <w:bottom w:val="single" w:sz="4" w:space="0" w:color="auto"/>
            </w:tcBorders>
            <w:noWrap/>
          </w:tcPr>
          <w:p w14:paraId="736DA634"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bCs/>
                <w:sz w:val="18"/>
                <w:szCs w:val="18"/>
              </w:rPr>
              <w:t>Asemota,  and Ekejiuba (</w:t>
            </w:r>
            <w:r w:rsidRPr="00731E30">
              <w:rPr>
                <w:rFonts w:ascii="Times New Roman" w:hAnsi="Times New Roman"/>
                <w:iCs/>
                <w:sz w:val="18"/>
                <w:szCs w:val="18"/>
              </w:rPr>
              <w:t>2017).</w:t>
            </w:r>
          </w:p>
        </w:tc>
        <w:tc>
          <w:tcPr>
            <w:tcW w:w="1437" w:type="dxa"/>
            <w:tcBorders>
              <w:top w:val="single" w:sz="4" w:space="0" w:color="auto"/>
              <w:bottom w:val="single" w:sz="4" w:space="0" w:color="auto"/>
            </w:tcBorders>
            <w:noWrap/>
          </w:tcPr>
          <w:p w14:paraId="508E1D83"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sz w:val="18"/>
                <w:szCs w:val="18"/>
              </w:rPr>
              <w:t>Nigeria</w:t>
            </w:r>
          </w:p>
        </w:tc>
        <w:tc>
          <w:tcPr>
            <w:tcW w:w="1682" w:type="dxa"/>
            <w:tcBorders>
              <w:top w:val="single" w:sz="4" w:space="0" w:color="auto"/>
              <w:bottom w:val="single" w:sz="4" w:space="0" w:color="auto"/>
            </w:tcBorders>
            <w:noWrap/>
          </w:tcPr>
          <w:p w14:paraId="770F17E8" w14:textId="77777777" w:rsidR="0064082A" w:rsidRPr="00731E30" w:rsidRDefault="0064082A" w:rsidP="00CA7F87">
            <w:pPr>
              <w:autoSpaceDE w:val="0"/>
              <w:autoSpaceDN w:val="0"/>
              <w:adjustRightInd w:val="0"/>
              <w:spacing w:after="0" w:line="240" w:lineRule="auto"/>
              <w:rPr>
                <w:rFonts w:ascii="Times New Roman" w:hAnsi="Times New Roman"/>
                <w:bCs/>
                <w:sz w:val="18"/>
                <w:szCs w:val="18"/>
              </w:rPr>
            </w:pPr>
            <w:r w:rsidRPr="00731E30">
              <w:rPr>
                <w:rFonts w:ascii="Times New Roman" w:hAnsi="Times New Roman"/>
                <w:bCs/>
                <w:sz w:val="18"/>
                <w:szCs w:val="18"/>
              </w:rPr>
              <w:t>An Application of Asymmetric GARCH  Models on Volatility of Banks Equity in Nigeria’s Stock Market.</w:t>
            </w:r>
          </w:p>
        </w:tc>
        <w:tc>
          <w:tcPr>
            <w:tcW w:w="2004" w:type="dxa"/>
            <w:tcBorders>
              <w:top w:val="single" w:sz="4" w:space="0" w:color="auto"/>
              <w:bottom w:val="single" w:sz="4" w:space="0" w:color="auto"/>
            </w:tcBorders>
            <w:noWrap/>
          </w:tcPr>
          <w:p w14:paraId="19152003"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iCs/>
                <w:sz w:val="18"/>
                <w:szCs w:val="18"/>
              </w:rPr>
              <w:t>EGARCH (1, 1) and CGARCH (1, 1) model</w:t>
            </w:r>
          </w:p>
        </w:tc>
        <w:tc>
          <w:tcPr>
            <w:tcW w:w="2295" w:type="dxa"/>
            <w:tcBorders>
              <w:top w:val="single" w:sz="4" w:space="0" w:color="auto"/>
              <w:bottom w:val="single" w:sz="4" w:space="0" w:color="auto"/>
            </w:tcBorders>
            <w:noWrap/>
          </w:tcPr>
          <w:p w14:paraId="5A79C8F6" w14:textId="77777777" w:rsidR="0064082A" w:rsidRPr="00731E30" w:rsidRDefault="0064082A" w:rsidP="00CA7F87">
            <w:pPr>
              <w:spacing w:after="0" w:line="240" w:lineRule="auto"/>
              <w:rPr>
                <w:rFonts w:ascii="Times New Roman" w:hAnsi="Times New Roman"/>
                <w:iCs/>
                <w:sz w:val="18"/>
                <w:szCs w:val="18"/>
              </w:rPr>
            </w:pPr>
            <w:r w:rsidRPr="00731E30">
              <w:rPr>
                <w:rFonts w:ascii="Times New Roman" w:hAnsi="Times New Roman"/>
                <w:sz w:val="18"/>
                <w:szCs w:val="18"/>
              </w:rPr>
              <w:t xml:space="preserve">The </w:t>
            </w:r>
            <w:r w:rsidRPr="00731E30">
              <w:rPr>
                <w:rFonts w:ascii="Times New Roman" w:hAnsi="Times New Roman"/>
                <w:iCs/>
                <w:sz w:val="18"/>
                <w:szCs w:val="18"/>
              </w:rPr>
              <w:t>results reveal the presence of ARCH effect in B2 and B3 equity returns. In addition, the estimated models could not find evidence of leverage effect.</w:t>
            </w:r>
          </w:p>
        </w:tc>
      </w:tr>
      <w:tr w:rsidR="0064082A" w:rsidRPr="00731E30" w14:paraId="3730B726" w14:textId="77777777" w:rsidTr="00303B4A">
        <w:trPr>
          <w:trHeight w:val="254"/>
        </w:trPr>
        <w:tc>
          <w:tcPr>
            <w:tcW w:w="1631" w:type="dxa"/>
            <w:tcBorders>
              <w:top w:val="single" w:sz="4" w:space="0" w:color="auto"/>
              <w:left w:val="nil"/>
              <w:bottom w:val="single" w:sz="4" w:space="0" w:color="auto"/>
            </w:tcBorders>
            <w:noWrap/>
          </w:tcPr>
          <w:p w14:paraId="0B06BE3A" w14:textId="77777777" w:rsidR="0064082A" w:rsidRPr="00731E30" w:rsidRDefault="0064082A" w:rsidP="00CA7F87">
            <w:pPr>
              <w:autoSpaceDE w:val="0"/>
              <w:autoSpaceDN w:val="0"/>
              <w:adjustRightInd w:val="0"/>
              <w:spacing w:after="0" w:line="240" w:lineRule="auto"/>
              <w:rPr>
                <w:rFonts w:ascii="Times New Roman" w:hAnsi="Times New Roman"/>
                <w:bCs/>
                <w:sz w:val="18"/>
                <w:szCs w:val="18"/>
              </w:rPr>
            </w:pPr>
            <w:r w:rsidRPr="00731E30">
              <w:rPr>
                <w:rFonts w:ascii="Times New Roman" w:hAnsi="Times New Roman"/>
                <w:bCs/>
                <w:sz w:val="18"/>
                <w:szCs w:val="18"/>
              </w:rPr>
              <w:t>Izunobi, Nzotta, Ebiringa, Akujuobi, Chigbu, (2017)</w:t>
            </w:r>
          </w:p>
        </w:tc>
        <w:tc>
          <w:tcPr>
            <w:tcW w:w="1437" w:type="dxa"/>
            <w:tcBorders>
              <w:top w:val="single" w:sz="4" w:space="0" w:color="auto"/>
              <w:bottom w:val="single" w:sz="4" w:space="0" w:color="auto"/>
            </w:tcBorders>
            <w:noWrap/>
          </w:tcPr>
          <w:p w14:paraId="1CBC6AEC"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sz w:val="18"/>
                <w:szCs w:val="18"/>
              </w:rPr>
              <w:t>Nigeria</w:t>
            </w:r>
          </w:p>
        </w:tc>
        <w:tc>
          <w:tcPr>
            <w:tcW w:w="1682" w:type="dxa"/>
            <w:tcBorders>
              <w:top w:val="single" w:sz="4" w:space="0" w:color="auto"/>
              <w:bottom w:val="single" w:sz="4" w:space="0" w:color="auto"/>
            </w:tcBorders>
            <w:noWrap/>
          </w:tcPr>
          <w:p w14:paraId="035EADE3" w14:textId="77777777" w:rsidR="0064082A" w:rsidRPr="00731E30" w:rsidRDefault="0064082A" w:rsidP="00CA7F87">
            <w:pPr>
              <w:autoSpaceDE w:val="0"/>
              <w:autoSpaceDN w:val="0"/>
              <w:adjustRightInd w:val="0"/>
              <w:spacing w:after="0" w:line="240" w:lineRule="auto"/>
              <w:rPr>
                <w:rFonts w:ascii="Times New Roman" w:hAnsi="Times New Roman"/>
                <w:bCs/>
                <w:sz w:val="18"/>
                <w:szCs w:val="18"/>
              </w:rPr>
            </w:pPr>
            <w:r w:rsidRPr="00731E30">
              <w:rPr>
                <w:rFonts w:ascii="Times New Roman" w:hAnsi="Times New Roman"/>
                <w:bCs/>
                <w:sz w:val="18"/>
                <w:szCs w:val="18"/>
              </w:rPr>
              <w:t xml:space="preserve">Macroeconomic Variables Volatility in the Nigerian Stock Market; An </w:t>
            </w:r>
          </w:p>
          <w:p w14:paraId="6241A23F" w14:textId="77777777" w:rsidR="0064082A" w:rsidRPr="00731E30" w:rsidRDefault="0064082A" w:rsidP="00CA7F87">
            <w:pPr>
              <w:spacing w:after="0" w:line="240" w:lineRule="auto"/>
              <w:rPr>
                <w:rFonts w:ascii="Times New Roman" w:hAnsi="Times New Roman"/>
                <w:bCs/>
                <w:sz w:val="18"/>
                <w:szCs w:val="18"/>
              </w:rPr>
            </w:pPr>
            <w:r w:rsidRPr="00731E30">
              <w:rPr>
                <w:rFonts w:ascii="Times New Roman" w:hAnsi="Times New Roman"/>
                <w:bCs/>
                <w:sz w:val="18"/>
                <w:szCs w:val="18"/>
              </w:rPr>
              <w:t>Empirical Analysis</w:t>
            </w:r>
          </w:p>
        </w:tc>
        <w:tc>
          <w:tcPr>
            <w:tcW w:w="2004" w:type="dxa"/>
            <w:tcBorders>
              <w:top w:val="single" w:sz="4" w:space="0" w:color="auto"/>
              <w:bottom w:val="single" w:sz="4" w:space="0" w:color="auto"/>
            </w:tcBorders>
            <w:noWrap/>
          </w:tcPr>
          <w:p w14:paraId="0AFA415A"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sz w:val="18"/>
                <w:szCs w:val="18"/>
              </w:rPr>
              <w:t>GARCH and EGARCH</w:t>
            </w:r>
          </w:p>
        </w:tc>
        <w:tc>
          <w:tcPr>
            <w:tcW w:w="2295" w:type="dxa"/>
            <w:tcBorders>
              <w:top w:val="single" w:sz="4" w:space="0" w:color="auto"/>
              <w:bottom w:val="single" w:sz="4" w:space="0" w:color="auto"/>
            </w:tcBorders>
            <w:noWrap/>
          </w:tcPr>
          <w:p w14:paraId="3DA9D3D7" w14:textId="77777777" w:rsidR="0064082A" w:rsidRPr="00731E30" w:rsidRDefault="0064082A" w:rsidP="00CA7F87">
            <w:pPr>
              <w:spacing w:after="0" w:line="240" w:lineRule="auto"/>
              <w:rPr>
                <w:rFonts w:ascii="Times New Roman" w:hAnsi="Times New Roman"/>
                <w:iCs/>
                <w:sz w:val="18"/>
                <w:szCs w:val="18"/>
              </w:rPr>
            </w:pPr>
            <w:r w:rsidRPr="00731E30">
              <w:rPr>
                <w:rFonts w:ascii="Times New Roman" w:hAnsi="Times New Roman"/>
                <w:iCs/>
                <w:sz w:val="18"/>
                <w:szCs w:val="18"/>
              </w:rPr>
              <w:t>The study concludes that there is high and persistent volatility in the stock market returns. Inflation and interest rate was also found to have significant impact on stock market returns volatility.</w:t>
            </w:r>
          </w:p>
        </w:tc>
      </w:tr>
      <w:tr w:rsidR="0064082A" w:rsidRPr="00731E30" w14:paraId="09D31ADE" w14:textId="77777777" w:rsidTr="00303B4A">
        <w:trPr>
          <w:trHeight w:val="254"/>
        </w:trPr>
        <w:tc>
          <w:tcPr>
            <w:tcW w:w="1631" w:type="dxa"/>
            <w:tcBorders>
              <w:top w:val="single" w:sz="4" w:space="0" w:color="auto"/>
              <w:left w:val="nil"/>
              <w:bottom w:val="single" w:sz="4" w:space="0" w:color="auto"/>
            </w:tcBorders>
            <w:noWrap/>
          </w:tcPr>
          <w:p w14:paraId="62EEF0B0" w14:textId="77777777" w:rsidR="0064082A" w:rsidRPr="00731E30" w:rsidRDefault="0064082A" w:rsidP="00CA7F87">
            <w:pPr>
              <w:autoSpaceDE w:val="0"/>
              <w:autoSpaceDN w:val="0"/>
              <w:adjustRightInd w:val="0"/>
              <w:spacing w:after="0" w:line="240" w:lineRule="auto"/>
              <w:rPr>
                <w:rFonts w:ascii="Times New Roman" w:hAnsi="Times New Roman"/>
                <w:bCs/>
                <w:sz w:val="18"/>
                <w:szCs w:val="18"/>
              </w:rPr>
            </w:pPr>
            <w:r w:rsidRPr="00731E30">
              <w:rPr>
                <w:rFonts w:ascii="Times New Roman" w:hAnsi="Times New Roman"/>
                <w:bCs/>
                <w:sz w:val="18"/>
                <w:szCs w:val="18"/>
              </w:rPr>
              <w:t xml:space="preserve">Ndako (2010)       </w:t>
            </w:r>
          </w:p>
        </w:tc>
        <w:tc>
          <w:tcPr>
            <w:tcW w:w="1437" w:type="dxa"/>
            <w:tcBorders>
              <w:top w:val="single" w:sz="4" w:space="0" w:color="auto"/>
              <w:bottom w:val="single" w:sz="4" w:space="0" w:color="auto"/>
            </w:tcBorders>
            <w:noWrap/>
          </w:tcPr>
          <w:p w14:paraId="03947F82"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sz w:val="18"/>
                <w:szCs w:val="18"/>
              </w:rPr>
              <w:t xml:space="preserve">Nigeria and South Africa    </w:t>
            </w:r>
          </w:p>
        </w:tc>
        <w:tc>
          <w:tcPr>
            <w:tcW w:w="1682" w:type="dxa"/>
            <w:tcBorders>
              <w:top w:val="single" w:sz="4" w:space="0" w:color="auto"/>
              <w:bottom w:val="single" w:sz="4" w:space="0" w:color="auto"/>
            </w:tcBorders>
            <w:noWrap/>
          </w:tcPr>
          <w:p w14:paraId="72EC6375" w14:textId="77777777" w:rsidR="0064082A" w:rsidRPr="00731E30" w:rsidRDefault="0064082A" w:rsidP="00CA7F87">
            <w:pPr>
              <w:autoSpaceDE w:val="0"/>
              <w:autoSpaceDN w:val="0"/>
              <w:adjustRightInd w:val="0"/>
              <w:spacing w:after="0" w:line="240" w:lineRule="auto"/>
              <w:rPr>
                <w:rFonts w:ascii="Times New Roman" w:hAnsi="Times New Roman"/>
                <w:bCs/>
                <w:sz w:val="18"/>
                <w:szCs w:val="18"/>
              </w:rPr>
            </w:pPr>
            <w:r w:rsidRPr="00731E30">
              <w:rPr>
                <w:rFonts w:ascii="Times New Roman" w:hAnsi="Times New Roman"/>
                <w:bCs/>
                <w:sz w:val="18"/>
                <w:szCs w:val="18"/>
              </w:rPr>
              <w:t xml:space="preserve">Financial Development, Economic Growth and Stock </w:t>
            </w:r>
          </w:p>
          <w:p w14:paraId="71B07969" w14:textId="77777777" w:rsidR="0064082A" w:rsidRPr="00731E30" w:rsidRDefault="0064082A" w:rsidP="00CA7F87">
            <w:pPr>
              <w:autoSpaceDE w:val="0"/>
              <w:autoSpaceDN w:val="0"/>
              <w:adjustRightInd w:val="0"/>
              <w:spacing w:after="0" w:line="240" w:lineRule="auto"/>
              <w:rPr>
                <w:rFonts w:ascii="Times New Roman" w:hAnsi="Times New Roman"/>
                <w:bCs/>
                <w:sz w:val="18"/>
                <w:szCs w:val="18"/>
              </w:rPr>
            </w:pPr>
            <w:r w:rsidRPr="00731E30">
              <w:rPr>
                <w:rFonts w:ascii="Times New Roman" w:hAnsi="Times New Roman"/>
                <w:bCs/>
                <w:sz w:val="18"/>
                <w:szCs w:val="18"/>
              </w:rPr>
              <w:t>Volatility: Evidence from Nigeria and South Africa</w:t>
            </w:r>
          </w:p>
        </w:tc>
        <w:tc>
          <w:tcPr>
            <w:tcW w:w="2004" w:type="dxa"/>
            <w:tcBorders>
              <w:top w:val="single" w:sz="4" w:space="0" w:color="auto"/>
              <w:bottom w:val="single" w:sz="4" w:space="0" w:color="auto"/>
            </w:tcBorders>
            <w:noWrap/>
          </w:tcPr>
          <w:p w14:paraId="1A2E9F5E" w14:textId="77777777" w:rsidR="0064082A" w:rsidRPr="00731E30" w:rsidRDefault="0064082A" w:rsidP="00CA7F87">
            <w:pPr>
              <w:spacing w:after="0" w:line="240" w:lineRule="auto"/>
              <w:rPr>
                <w:rFonts w:ascii="Times New Roman" w:hAnsi="Times New Roman"/>
                <w:sz w:val="18"/>
                <w:szCs w:val="18"/>
              </w:rPr>
            </w:pPr>
            <w:r w:rsidRPr="00731E30">
              <w:rPr>
                <w:rFonts w:ascii="Times New Roman" w:hAnsi="Times New Roman"/>
                <w:sz w:val="18"/>
                <w:szCs w:val="18"/>
              </w:rPr>
              <w:t xml:space="preserve">Multivariate vector autoregressive (VAR) and Vector Error Correction Model (VECM). Generalised Impulse Response Function (GIRF) and </w:t>
            </w:r>
            <w:r w:rsidRPr="00731E30">
              <w:rPr>
                <w:rFonts w:ascii="Times New Roman" w:hAnsi="Times New Roman"/>
                <w:sz w:val="18"/>
                <w:szCs w:val="18"/>
              </w:rPr>
              <w:lastRenderedPageBreak/>
              <w:t>Variance Decomposition (VDC).</w:t>
            </w:r>
          </w:p>
        </w:tc>
        <w:tc>
          <w:tcPr>
            <w:tcW w:w="2295" w:type="dxa"/>
            <w:tcBorders>
              <w:top w:val="single" w:sz="4" w:space="0" w:color="auto"/>
              <w:bottom w:val="single" w:sz="4" w:space="0" w:color="auto"/>
            </w:tcBorders>
            <w:noWrap/>
          </w:tcPr>
          <w:p w14:paraId="09A4941F" w14:textId="77777777" w:rsidR="0064082A" w:rsidRPr="00731E30" w:rsidRDefault="0064082A" w:rsidP="00CA7F87">
            <w:pPr>
              <w:spacing w:after="0" w:line="240" w:lineRule="auto"/>
              <w:rPr>
                <w:rFonts w:ascii="Times New Roman" w:hAnsi="Times New Roman"/>
                <w:iCs/>
                <w:sz w:val="18"/>
                <w:szCs w:val="18"/>
              </w:rPr>
            </w:pPr>
            <w:r w:rsidRPr="00731E30">
              <w:rPr>
                <w:rFonts w:ascii="Times New Roman" w:hAnsi="Times New Roman"/>
                <w:iCs/>
                <w:sz w:val="18"/>
                <w:szCs w:val="18"/>
              </w:rPr>
              <w:lastRenderedPageBreak/>
              <w:t xml:space="preserve">The results for Nigeria suggest the existence of unidirectional causality from economic growth to financial development using bank credit to private sector. While using liquid </w:t>
            </w:r>
            <w:r w:rsidRPr="00731E30">
              <w:rPr>
                <w:rFonts w:ascii="Times New Roman" w:hAnsi="Times New Roman"/>
                <w:iCs/>
                <w:sz w:val="18"/>
                <w:szCs w:val="18"/>
              </w:rPr>
              <w:lastRenderedPageBreak/>
              <w:t>liabilities, it indicates bidirectional causality between financial development and economic growth. In the case of South Africa, the findings suggest the existence of bidirectional causality between financial development and economic growth using the banking system. However, when the stock market variables are used, the results indicate unidirectional causality from economic growth to stock market system</w:t>
            </w:r>
          </w:p>
        </w:tc>
      </w:tr>
    </w:tbl>
    <w:p w14:paraId="02BA7392" w14:textId="77777777" w:rsidR="009633F3" w:rsidRDefault="009633F3" w:rsidP="00CA7F87">
      <w:pPr>
        <w:spacing w:after="0" w:line="240" w:lineRule="auto"/>
        <w:jc w:val="both"/>
        <w:rPr>
          <w:rFonts w:ascii="Times New Roman" w:hAnsi="Times New Roman"/>
          <w:b/>
          <w:sz w:val="24"/>
          <w:szCs w:val="24"/>
        </w:rPr>
      </w:pPr>
    </w:p>
    <w:p w14:paraId="76C9E3E4" w14:textId="77777777" w:rsidR="006C4E55" w:rsidRDefault="006C4E55" w:rsidP="00CA7F87">
      <w:pPr>
        <w:spacing w:after="0" w:line="240" w:lineRule="auto"/>
        <w:jc w:val="both"/>
        <w:rPr>
          <w:rFonts w:ascii="Times New Roman" w:hAnsi="Times New Roman"/>
          <w:b/>
          <w:sz w:val="24"/>
          <w:szCs w:val="24"/>
        </w:rPr>
      </w:pPr>
    </w:p>
    <w:p w14:paraId="14D3A63D" w14:textId="77777777" w:rsidR="00AF630A" w:rsidRDefault="00AF630A" w:rsidP="00CA7F87">
      <w:pPr>
        <w:spacing w:after="0" w:line="240" w:lineRule="auto"/>
        <w:jc w:val="both"/>
        <w:rPr>
          <w:rFonts w:ascii="Times New Roman" w:hAnsi="Times New Roman"/>
          <w:b/>
          <w:sz w:val="24"/>
          <w:szCs w:val="24"/>
        </w:rPr>
        <w:sectPr w:rsidR="00AF630A" w:rsidSect="004267E7">
          <w:type w:val="continuous"/>
          <w:pgSz w:w="12240" w:h="15840"/>
          <w:pgMar w:top="1135" w:right="1440" w:bottom="1440" w:left="1440" w:header="720" w:footer="720" w:gutter="0"/>
          <w:cols w:space="720"/>
          <w:docGrid w:linePitch="360"/>
        </w:sectPr>
      </w:pPr>
    </w:p>
    <w:p w14:paraId="45F04F00" w14:textId="154D2656" w:rsidR="00921751" w:rsidRPr="00DA3900" w:rsidRDefault="00921751" w:rsidP="00CA7F87">
      <w:pPr>
        <w:spacing w:after="0" w:line="240" w:lineRule="auto"/>
        <w:jc w:val="both"/>
        <w:rPr>
          <w:rFonts w:ascii="Times New Roman" w:hAnsi="Times New Roman"/>
          <w:b/>
          <w:sz w:val="24"/>
          <w:szCs w:val="24"/>
        </w:rPr>
      </w:pPr>
      <w:r w:rsidRPr="00DA3900">
        <w:rPr>
          <w:rFonts w:ascii="Times New Roman" w:hAnsi="Times New Roman"/>
          <w:b/>
          <w:sz w:val="24"/>
          <w:szCs w:val="24"/>
        </w:rPr>
        <w:t>RESEARCH METHODOLOGY</w:t>
      </w:r>
    </w:p>
    <w:p w14:paraId="2F139E3A" w14:textId="555FAC80" w:rsidR="00921751" w:rsidRPr="00AF630A" w:rsidRDefault="00921751" w:rsidP="00AF630A">
      <w:pPr>
        <w:pStyle w:val="ListParagraph"/>
        <w:numPr>
          <w:ilvl w:val="0"/>
          <w:numId w:val="34"/>
        </w:numPr>
        <w:spacing w:after="0" w:line="240" w:lineRule="auto"/>
        <w:ind w:left="426"/>
        <w:jc w:val="both"/>
        <w:rPr>
          <w:rFonts w:ascii="Times New Roman" w:hAnsi="Times New Roman"/>
          <w:b/>
          <w:kern w:val="16"/>
          <w:sz w:val="24"/>
          <w:szCs w:val="24"/>
        </w:rPr>
      </w:pPr>
      <w:r w:rsidRPr="00AF630A">
        <w:rPr>
          <w:rFonts w:ascii="Times New Roman" w:hAnsi="Times New Roman"/>
          <w:b/>
          <w:kern w:val="16"/>
          <w:sz w:val="24"/>
          <w:szCs w:val="24"/>
        </w:rPr>
        <w:t>Research   Design</w:t>
      </w:r>
    </w:p>
    <w:p w14:paraId="1EA9DEC7" w14:textId="3670BAD2" w:rsidR="000E1ABB" w:rsidRPr="000E1ABB" w:rsidRDefault="000E1ABB" w:rsidP="00AF630A">
      <w:pPr>
        <w:spacing w:after="0" w:line="240" w:lineRule="auto"/>
        <w:rPr>
          <w:rFonts w:ascii="Times New Roman" w:eastAsia="Times New Roman" w:hAnsi="Times New Roman"/>
          <w:sz w:val="24"/>
          <w:szCs w:val="24"/>
        </w:rPr>
      </w:pPr>
      <w:r w:rsidRPr="000E1ABB">
        <w:rPr>
          <w:rFonts w:ascii="Times New Roman" w:eastAsia="Times New Roman" w:hAnsi="Times New Roman"/>
          <w:sz w:val="24"/>
          <w:szCs w:val="24"/>
        </w:rPr>
        <w:t>The study used ex-post facto</w:t>
      </w:r>
      <w:r w:rsidR="00AF630A">
        <w:rPr>
          <w:rFonts w:ascii="Times New Roman" w:eastAsia="Times New Roman" w:hAnsi="Times New Roman"/>
          <w:sz w:val="24"/>
          <w:szCs w:val="24"/>
        </w:rPr>
        <w:t>r</w:t>
      </w:r>
      <w:r w:rsidRPr="000E1ABB">
        <w:rPr>
          <w:rFonts w:ascii="Times New Roman" w:eastAsia="Times New Roman" w:hAnsi="Times New Roman"/>
          <w:sz w:val="24"/>
          <w:szCs w:val="24"/>
        </w:rPr>
        <w:t xml:space="preserve"> and causal research design, relying on historical data from the Central Bank of Nigeria. Ex-post factor research involves events that cannot be manipulated, while causal research design determines cause-effect relationships between independent and dependent variables.</w:t>
      </w:r>
    </w:p>
    <w:p w14:paraId="75D44B9C" w14:textId="77777777" w:rsidR="000E1ABB" w:rsidRPr="000E1ABB" w:rsidRDefault="000E1ABB" w:rsidP="00CA7F87">
      <w:pPr>
        <w:autoSpaceDE w:val="0"/>
        <w:autoSpaceDN w:val="0"/>
        <w:adjustRightInd w:val="0"/>
        <w:spacing w:after="0" w:line="240" w:lineRule="auto"/>
        <w:jc w:val="both"/>
        <w:rPr>
          <w:rFonts w:ascii="Times New Roman" w:hAnsi="Times New Roman"/>
          <w:b/>
          <w:sz w:val="12"/>
          <w:szCs w:val="24"/>
        </w:rPr>
      </w:pPr>
    </w:p>
    <w:p w14:paraId="6C659F46" w14:textId="526983BD" w:rsidR="00921751" w:rsidRPr="00AF630A" w:rsidRDefault="00921751" w:rsidP="00AF630A">
      <w:pPr>
        <w:pStyle w:val="ListParagraph"/>
        <w:numPr>
          <w:ilvl w:val="0"/>
          <w:numId w:val="34"/>
        </w:numPr>
        <w:autoSpaceDE w:val="0"/>
        <w:autoSpaceDN w:val="0"/>
        <w:adjustRightInd w:val="0"/>
        <w:spacing w:after="0" w:line="240" w:lineRule="auto"/>
        <w:ind w:left="426"/>
        <w:jc w:val="both"/>
        <w:rPr>
          <w:rFonts w:ascii="Times New Roman" w:hAnsi="Times New Roman"/>
          <w:b/>
          <w:sz w:val="24"/>
          <w:szCs w:val="24"/>
        </w:rPr>
      </w:pPr>
      <w:r w:rsidRPr="00AF630A">
        <w:rPr>
          <w:rFonts w:ascii="Times New Roman" w:hAnsi="Times New Roman"/>
          <w:b/>
          <w:sz w:val="24"/>
          <w:szCs w:val="24"/>
        </w:rPr>
        <w:t>Model Specification</w:t>
      </w:r>
    </w:p>
    <w:p w14:paraId="119C2729" w14:textId="77777777" w:rsidR="00921751" w:rsidRDefault="00921751" w:rsidP="00AF630A">
      <w:pPr>
        <w:autoSpaceDE w:val="0"/>
        <w:autoSpaceDN w:val="0"/>
        <w:adjustRightInd w:val="0"/>
        <w:spacing w:after="0" w:line="240" w:lineRule="auto"/>
        <w:rPr>
          <w:rFonts w:ascii="Times New Roman" w:hAnsi="Times New Roman"/>
          <w:sz w:val="24"/>
          <w:szCs w:val="24"/>
        </w:rPr>
      </w:pPr>
      <w:r w:rsidRPr="00DB7081">
        <w:rPr>
          <w:rFonts w:ascii="Times New Roman" w:hAnsi="Times New Roman"/>
          <w:sz w:val="24"/>
          <w:szCs w:val="24"/>
        </w:rPr>
        <w:t>The</w:t>
      </w:r>
      <w:r>
        <w:rPr>
          <w:rFonts w:ascii="Times New Roman" w:hAnsi="Times New Roman"/>
          <w:sz w:val="24"/>
          <w:szCs w:val="24"/>
        </w:rPr>
        <w:t xml:space="preserve"> </w:t>
      </w:r>
      <w:r w:rsidRPr="00DB7081">
        <w:rPr>
          <w:rFonts w:ascii="Times New Roman" w:hAnsi="Times New Roman"/>
          <w:sz w:val="24"/>
          <w:szCs w:val="24"/>
        </w:rPr>
        <w:t xml:space="preserve">basic structure of the econometric model </w:t>
      </w:r>
      <w:r>
        <w:rPr>
          <w:rFonts w:ascii="Times New Roman" w:hAnsi="Times New Roman"/>
          <w:sz w:val="24"/>
          <w:szCs w:val="24"/>
        </w:rPr>
        <w:t xml:space="preserve">for this study </w:t>
      </w:r>
      <w:r w:rsidRPr="00DB7081">
        <w:rPr>
          <w:rFonts w:ascii="Times New Roman" w:hAnsi="Times New Roman"/>
          <w:sz w:val="24"/>
          <w:szCs w:val="24"/>
        </w:rPr>
        <w:t xml:space="preserve">closely follows </w:t>
      </w:r>
      <w:r>
        <w:rPr>
          <w:rFonts w:ascii="Times New Roman" w:hAnsi="Times New Roman"/>
          <w:sz w:val="24"/>
          <w:szCs w:val="24"/>
        </w:rPr>
        <w:t xml:space="preserve">King and Levin (1993) </w:t>
      </w:r>
      <w:r w:rsidRPr="00DB7081">
        <w:rPr>
          <w:rFonts w:ascii="Times New Roman" w:hAnsi="Times New Roman"/>
          <w:sz w:val="24"/>
          <w:szCs w:val="24"/>
        </w:rPr>
        <w:t>empirical model tested in the</w:t>
      </w:r>
      <w:r>
        <w:rPr>
          <w:rFonts w:ascii="Times New Roman" w:hAnsi="Times New Roman"/>
          <w:sz w:val="24"/>
          <w:szCs w:val="24"/>
        </w:rPr>
        <w:t xml:space="preserve"> </w:t>
      </w:r>
      <w:r w:rsidRPr="00DB7081">
        <w:rPr>
          <w:rFonts w:ascii="Times New Roman" w:hAnsi="Times New Roman"/>
          <w:sz w:val="24"/>
          <w:szCs w:val="24"/>
        </w:rPr>
        <w:t>literature</w:t>
      </w:r>
      <w:r>
        <w:rPr>
          <w:rFonts w:ascii="Times New Roman" w:hAnsi="Times New Roman"/>
          <w:sz w:val="24"/>
          <w:szCs w:val="24"/>
        </w:rPr>
        <w:t xml:space="preserve"> where;</w:t>
      </w:r>
    </w:p>
    <w:p w14:paraId="2E970492" w14:textId="5E91CF6D" w:rsidR="00921751" w:rsidRDefault="00921751" w:rsidP="00CA7F87">
      <w:pPr>
        <w:autoSpaceDE w:val="0"/>
        <w:autoSpaceDN w:val="0"/>
        <w:adjustRightInd w:val="0"/>
        <w:spacing w:after="0" w:line="240" w:lineRule="auto"/>
        <w:jc w:val="both"/>
        <w:rPr>
          <w:rFonts w:ascii="Times New Roman" w:hAnsi="Times New Roman"/>
          <w:sz w:val="24"/>
          <w:szCs w:val="24"/>
        </w:rPr>
      </w:pPr>
      <w:r w:rsidRPr="00DB7081">
        <w:rPr>
          <w:rFonts w:ascii="Times New Roman" w:hAnsi="Times New Roman"/>
          <w:position w:val="-12"/>
          <w:sz w:val="24"/>
          <w:szCs w:val="24"/>
        </w:rPr>
        <w:object w:dxaOrig="3480" w:dyaOrig="360" w14:anchorId="6C85DB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4pt;height:18pt" o:ole="">
            <v:imagedata r:id="rId5" o:title=""/>
          </v:shape>
          <o:OLEObject Type="Embed" ProgID="Equation.3" ShapeID="_x0000_i1025" DrawAspect="Content" ObjectID="_1817953496" r:id="rId6"/>
        </w:object>
      </w:r>
      <w:r w:rsidRPr="00DB7081">
        <w:rPr>
          <w:rFonts w:ascii="Times New Roman" w:hAnsi="Times New Roman"/>
          <w:sz w:val="24"/>
          <w:szCs w:val="24"/>
        </w:rPr>
        <w:t xml:space="preserve"> </w:t>
      </w:r>
      <w:r>
        <w:rPr>
          <w:rFonts w:ascii="Times New Roman" w:hAnsi="Times New Roman"/>
          <w:sz w:val="24"/>
          <w:szCs w:val="24"/>
        </w:rPr>
        <w:t>----------------------------------------------------</w:t>
      </w:r>
      <w:r w:rsidR="00AF630A">
        <w:rPr>
          <w:rFonts w:ascii="Times New Roman" w:hAnsi="Times New Roman"/>
          <w:sz w:val="24"/>
          <w:szCs w:val="24"/>
        </w:rPr>
        <w:t xml:space="preserve"> </w:t>
      </w:r>
      <w:r>
        <w:rPr>
          <w:rFonts w:ascii="Times New Roman" w:hAnsi="Times New Roman"/>
          <w:sz w:val="24"/>
          <w:szCs w:val="24"/>
        </w:rPr>
        <w:t>3.1</w:t>
      </w:r>
    </w:p>
    <w:p w14:paraId="7297231D" w14:textId="74EE8846" w:rsidR="00921751" w:rsidRDefault="00921751" w:rsidP="00CA7F87">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Where </w:t>
      </w:r>
      <w:r w:rsidRPr="006F1EF4">
        <w:rPr>
          <w:rFonts w:ascii="Times New Roman" w:hAnsi="Times New Roman"/>
          <w:i/>
          <w:sz w:val="24"/>
          <w:szCs w:val="24"/>
        </w:rPr>
        <w:t>FD</w:t>
      </w:r>
      <w:r>
        <w:rPr>
          <w:rFonts w:ascii="Times New Roman" w:hAnsi="Times New Roman"/>
          <w:sz w:val="24"/>
          <w:szCs w:val="24"/>
        </w:rPr>
        <w:t xml:space="preserve"> stands for a number of financial development variables, </w:t>
      </w:r>
      <w:r w:rsidRPr="006F1EF4">
        <w:rPr>
          <w:rFonts w:ascii="Times New Roman" w:hAnsi="Times New Roman"/>
          <w:i/>
          <w:sz w:val="24"/>
          <w:szCs w:val="24"/>
        </w:rPr>
        <w:t>others</w:t>
      </w:r>
      <w:r>
        <w:rPr>
          <w:rFonts w:ascii="Times New Roman" w:hAnsi="Times New Roman"/>
          <w:sz w:val="24"/>
          <w:szCs w:val="24"/>
        </w:rPr>
        <w:t xml:space="preserve"> </w:t>
      </w:r>
      <w:r w:rsidR="001B57A8">
        <w:rPr>
          <w:rFonts w:ascii="Times New Roman" w:hAnsi="Times New Roman"/>
          <w:sz w:val="24"/>
          <w:szCs w:val="24"/>
        </w:rPr>
        <w:t>stand</w:t>
      </w:r>
      <w:r>
        <w:rPr>
          <w:rFonts w:ascii="Times New Roman" w:hAnsi="Times New Roman"/>
          <w:sz w:val="24"/>
          <w:szCs w:val="24"/>
        </w:rPr>
        <w:t xml:space="preserve"> for non-financial development (control) variables and</w:t>
      </w:r>
      <w:r w:rsidRPr="006F1EF4">
        <w:rPr>
          <w:rFonts w:ascii="Times New Roman" w:hAnsi="Times New Roman"/>
          <w:i/>
          <w:sz w:val="24"/>
          <w:szCs w:val="24"/>
        </w:rPr>
        <w:t xml:space="preserve"> X</w:t>
      </w:r>
      <w:r>
        <w:rPr>
          <w:rFonts w:ascii="Times New Roman" w:hAnsi="Times New Roman"/>
          <w:sz w:val="24"/>
          <w:szCs w:val="24"/>
        </w:rPr>
        <w:t xml:space="preserve"> stands for economic growth. </w:t>
      </w:r>
    </w:p>
    <w:p w14:paraId="2B2AF3B7" w14:textId="77777777" w:rsidR="00921751" w:rsidRDefault="00921751" w:rsidP="00CA7F87">
      <w:pPr>
        <w:autoSpaceDE w:val="0"/>
        <w:autoSpaceDN w:val="0"/>
        <w:adjustRightInd w:val="0"/>
        <w:spacing w:after="0" w:line="240" w:lineRule="auto"/>
        <w:jc w:val="both"/>
        <w:rPr>
          <w:rFonts w:ascii="Times New Roman" w:hAnsi="Times New Roman"/>
          <w:sz w:val="24"/>
          <w:szCs w:val="24"/>
        </w:rPr>
      </w:pPr>
    </w:p>
    <w:p w14:paraId="29D487C7" w14:textId="4BC465D7" w:rsidR="00921751" w:rsidRDefault="00921751" w:rsidP="00AF630A">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Therefore, following the propositions of McKinnon and Shaw (1973) complementarity hypothesis that (i) </w:t>
      </w:r>
      <w:r w:rsidRPr="00EC2026">
        <w:rPr>
          <w:rFonts w:ascii="Times New Roman" w:hAnsi="Times New Roman"/>
          <w:sz w:val="24"/>
          <w:szCs w:val="24"/>
        </w:rPr>
        <w:t xml:space="preserve">an innovation in financial development will results to </w:t>
      </w:r>
      <w:r>
        <w:rPr>
          <w:rFonts w:ascii="Times New Roman" w:hAnsi="Times New Roman"/>
          <w:sz w:val="24"/>
          <w:szCs w:val="24"/>
        </w:rPr>
        <w:t>increase</w:t>
      </w:r>
      <w:r w:rsidRPr="00EC2026">
        <w:rPr>
          <w:rFonts w:ascii="Times New Roman" w:hAnsi="Times New Roman"/>
          <w:sz w:val="24"/>
          <w:szCs w:val="24"/>
        </w:rPr>
        <w:t xml:space="preserve"> in total investment and improvements </w:t>
      </w:r>
      <w:r>
        <w:rPr>
          <w:rFonts w:ascii="Times New Roman" w:hAnsi="Times New Roman"/>
          <w:sz w:val="24"/>
          <w:szCs w:val="24"/>
        </w:rPr>
        <w:t xml:space="preserve">in the allocation of investment, </w:t>
      </w:r>
      <w:r w:rsidRPr="00EC2026">
        <w:rPr>
          <w:rFonts w:ascii="Times New Roman" w:hAnsi="Times New Roman"/>
          <w:sz w:val="24"/>
          <w:szCs w:val="24"/>
        </w:rPr>
        <w:t xml:space="preserve">with a given state of technology, </w:t>
      </w:r>
      <w:r>
        <w:rPr>
          <w:rFonts w:ascii="Times New Roman" w:hAnsi="Times New Roman"/>
          <w:sz w:val="24"/>
          <w:szCs w:val="24"/>
        </w:rPr>
        <w:t xml:space="preserve">thus </w:t>
      </w:r>
      <w:r w:rsidRPr="00EC2026">
        <w:rPr>
          <w:rFonts w:ascii="Times New Roman" w:hAnsi="Times New Roman"/>
          <w:sz w:val="24"/>
          <w:szCs w:val="24"/>
        </w:rPr>
        <w:t>result in a boost to the rate of economic growth</w:t>
      </w:r>
      <w:r>
        <w:rPr>
          <w:rFonts w:ascii="Times New Roman" w:hAnsi="Times New Roman"/>
          <w:sz w:val="24"/>
          <w:szCs w:val="24"/>
        </w:rPr>
        <w:t xml:space="preserve"> (ii) </w:t>
      </w:r>
      <w:r w:rsidRPr="00EC2026">
        <w:rPr>
          <w:rFonts w:ascii="Times New Roman" w:hAnsi="Times New Roman"/>
          <w:sz w:val="24"/>
          <w:szCs w:val="24"/>
        </w:rPr>
        <w:t xml:space="preserve">financial intermediaries and financial markets are two important </w:t>
      </w:r>
      <w:r w:rsidRPr="00EC2026">
        <w:rPr>
          <w:rFonts w:ascii="Times New Roman" w:hAnsi="Times New Roman"/>
          <w:sz w:val="24"/>
          <w:szCs w:val="24"/>
        </w:rPr>
        <w:t xml:space="preserve">institutions, which contribute to the optimal allocation of resources in an economy and by extension boost economic growth and </w:t>
      </w:r>
      <w:r>
        <w:rPr>
          <w:rFonts w:ascii="Times New Roman" w:hAnsi="Times New Roman"/>
          <w:sz w:val="24"/>
          <w:szCs w:val="24"/>
        </w:rPr>
        <w:t xml:space="preserve">(iii) </w:t>
      </w:r>
      <w:r w:rsidRPr="00EC2026">
        <w:rPr>
          <w:rFonts w:ascii="Times New Roman" w:hAnsi="Times New Roman"/>
          <w:sz w:val="24"/>
          <w:szCs w:val="24"/>
        </w:rPr>
        <w:t>alleviating financial restrictions in developing countries by allowing market forces to determine real interest rates can exert positive effect of growth rates as interest rates rise to its competitive equilibrium</w:t>
      </w:r>
      <w:r>
        <w:rPr>
          <w:rFonts w:ascii="Times New Roman" w:hAnsi="Times New Roman"/>
          <w:sz w:val="24"/>
          <w:szCs w:val="24"/>
        </w:rPr>
        <w:t xml:space="preserve"> respectively. Hence, this study</w:t>
      </w:r>
      <w:r w:rsidRPr="00643675">
        <w:rPr>
          <w:rFonts w:ascii="Times New Roman" w:hAnsi="Times New Roman"/>
          <w:sz w:val="24"/>
          <w:szCs w:val="24"/>
        </w:rPr>
        <w:t xml:space="preserve"> specif</w:t>
      </w:r>
      <w:r>
        <w:rPr>
          <w:rFonts w:ascii="Times New Roman" w:hAnsi="Times New Roman"/>
          <w:sz w:val="24"/>
          <w:szCs w:val="24"/>
        </w:rPr>
        <w:t>ied</w:t>
      </w:r>
      <w:r w:rsidRPr="00643675">
        <w:rPr>
          <w:rFonts w:ascii="Times New Roman" w:hAnsi="Times New Roman"/>
          <w:sz w:val="24"/>
          <w:szCs w:val="24"/>
        </w:rPr>
        <w:t xml:space="preserve"> an eclectic model inspired by King and Levine (1993)</w:t>
      </w:r>
      <w:r>
        <w:rPr>
          <w:rFonts w:ascii="Times New Roman" w:hAnsi="Times New Roman"/>
          <w:sz w:val="24"/>
          <w:szCs w:val="24"/>
        </w:rPr>
        <w:t>.</w:t>
      </w:r>
    </w:p>
    <w:p w14:paraId="59699E08" w14:textId="77777777" w:rsidR="00921751" w:rsidRDefault="00921751" w:rsidP="00CA7F87">
      <w:pPr>
        <w:autoSpaceDE w:val="0"/>
        <w:autoSpaceDN w:val="0"/>
        <w:adjustRightInd w:val="0"/>
        <w:spacing w:after="0" w:line="240" w:lineRule="auto"/>
        <w:jc w:val="both"/>
        <w:rPr>
          <w:rFonts w:ascii="Times New Roman" w:hAnsi="Times New Roman"/>
          <w:sz w:val="24"/>
          <w:szCs w:val="24"/>
        </w:rPr>
      </w:pPr>
    </w:p>
    <w:p w14:paraId="43E07059" w14:textId="77777777" w:rsidR="00921751" w:rsidRDefault="00921751" w:rsidP="00AF630A">
      <w:pPr>
        <w:autoSpaceDE w:val="0"/>
        <w:autoSpaceDN w:val="0"/>
        <w:adjustRightInd w:val="0"/>
        <w:spacing w:after="0" w:line="240" w:lineRule="auto"/>
        <w:rPr>
          <w:rFonts w:ascii="Times New Roman" w:hAnsi="Times New Roman"/>
          <w:sz w:val="24"/>
          <w:szCs w:val="24"/>
        </w:rPr>
      </w:pPr>
      <w:r w:rsidRPr="00643675">
        <w:rPr>
          <w:rFonts w:ascii="Times New Roman" w:hAnsi="Times New Roman"/>
          <w:sz w:val="24"/>
          <w:szCs w:val="24"/>
        </w:rPr>
        <w:t>The model</w:t>
      </w:r>
      <w:r>
        <w:rPr>
          <w:rFonts w:ascii="Times New Roman" w:hAnsi="Times New Roman"/>
          <w:sz w:val="24"/>
          <w:szCs w:val="24"/>
        </w:rPr>
        <w:t xml:space="preserve"> </w:t>
      </w:r>
      <w:r w:rsidRPr="00643675">
        <w:rPr>
          <w:rFonts w:ascii="Times New Roman" w:hAnsi="Times New Roman"/>
          <w:sz w:val="24"/>
          <w:szCs w:val="24"/>
        </w:rPr>
        <w:t>predicts that economic growth (prox</w:t>
      </w:r>
      <w:r>
        <w:rPr>
          <w:rFonts w:ascii="Times New Roman" w:hAnsi="Times New Roman"/>
          <w:sz w:val="24"/>
          <w:szCs w:val="24"/>
        </w:rPr>
        <w:t>y</w:t>
      </w:r>
      <w:r w:rsidRPr="00643675">
        <w:rPr>
          <w:rFonts w:ascii="Times New Roman" w:hAnsi="Times New Roman"/>
          <w:sz w:val="24"/>
          <w:szCs w:val="24"/>
        </w:rPr>
        <w:t xml:space="preserve"> by real GDP) is determined by indicators of</w:t>
      </w:r>
      <w:r>
        <w:rPr>
          <w:rFonts w:ascii="Times New Roman" w:hAnsi="Times New Roman"/>
          <w:sz w:val="24"/>
          <w:szCs w:val="24"/>
        </w:rPr>
        <w:t xml:space="preserve"> </w:t>
      </w:r>
      <w:r w:rsidRPr="00643675">
        <w:rPr>
          <w:rFonts w:ascii="Times New Roman" w:hAnsi="Times New Roman"/>
          <w:sz w:val="24"/>
          <w:szCs w:val="24"/>
        </w:rPr>
        <w:t>financial development</w:t>
      </w:r>
      <w:r>
        <w:rPr>
          <w:rFonts w:ascii="Times New Roman" w:hAnsi="Times New Roman"/>
          <w:sz w:val="24"/>
          <w:szCs w:val="24"/>
        </w:rPr>
        <w:t xml:space="preserve"> </w:t>
      </w:r>
      <w:r w:rsidRPr="00643675">
        <w:rPr>
          <w:rFonts w:ascii="Times New Roman" w:hAnsi="Times New Roman"/>
          <w:sz w:val="24"/>
          <w:szCs w:val="24"/>
        </w:rPr>
        <w:t>(prox</w:t>
      </w:r>
      <w:r>
        <w:rPr>
          <w:rFonts w:ascii="Times New Roman" w:hAnsi="Times New Roman"/>
          <w:sz w:val="24"/>
          <w:szCs w:val="24"/>
        </w:rPr>
        <w:t>y by ratio of money supply to GDP, ratio of private to total debt security, lending deposit spread and liquidity ratio), stock market returns (proxy by All Shares Index), exchange rate and inflation rate</w:t>
      </w:r>
      <w:r w:rsidRPr="00643675">
        <w:rPr>
          <w:rFonts w:ascii="Times New Roman" w:hAnsi="Times New Roman"/>
          <w:sz w:val="24"/>
          <w:szCs w:val="24"/>
        </w:rPr>
        <w:t xml:space="preserve"> (measured using CPI),</w:t>
      </w:r>
      <w:r>
        <w:rPr>
          <w:rFonts w:ascii="Times New Roman" w:hAnsi="Times New Roman"/>
          <w:sz w:val="24"/>
          <w:szCs w:val="24"/>
        </w:rPr>
        <w:t xml:space="preserve"> </w:t>
      </w:r>
      <w:r w:rsidRPr="00643675">
        <w:rPr>
          <w:rFonts w:ascii="Times New Roman" w:hAnsi="Times New Roman"/>
          <w:sz w:val="24"/>
          <w:szCs w:val="24"/>
        </w:rPr>
        <w:t>such that:</w:t>
      </w:r>
    </w:p>
    <w:p w14:paraId="1442DF33" w14:textId="77777777" w:rsidR="00921751" w:rsidRDefault="00921751" w:rsidP="00CA7F87">
      <w:pPr>
        <w:autoSpaceDE w:val="0"/>
        <w:autoSpaceDN w:val="0"/>
        <w:adjustRightInd w:val="0"/>
        <w:spacing w:after="0" w:line="240" w:lineRule="auto"/>
        <w:ind w:firstLine="720"/>
        <w:jc w:val="both"/>
        <w:rPr>
          <w:rFonts w:ascii="Times New Roman" w:hAnsi="Times New Roman"/>
          <w:sz w:val="24"/>
          <w:szCs w:val="24"/>
        </w:rPr>
      </w:pPr>
      <w:r w:rsidRPr="00394A5F">
        <w:rPr>
          <w:rFonts w:ascii="Times New Roman" w:hAnsi="Times New Roman"/>
          <w:position w:val="-32"/>
          <w:sz w:val="24"/>
          <w:szCs w:val="24"/>
        </w:rPr>
        <w:object w:dxaOrig="2960" w:dyaOrig="760" w14:anchorId="6631F2D7">
          <v:shape id="_x0000_i1026" type="#_x0000_t75" style="width:147.75pt;height:37.5pt" o:ole="">
            <v:imagedata r:id="rId7" o:title=""/>
          </v:shape>
          <o:OLEObject Type="Embed" ProgID="Equation.3" ShapeID="_x0000_i1026" DrawAspect="Content" ObjectID="_1817953497" r:id="rId8"/>
        </w:object>
      </w:r>
      <w:r>
        <w:rPr>
          <w:rFonts w:ascii="Times New Roman" w:hAnsi="Times New Roman"/>
          <w:sz w:val="24"/>
          <w:szCs w:val="24"/>
        </w:rPr>
        <w:t>---------------------------------------------- 3.2</w:t>
      </w:r>
    </w:p>
    <w:p w14:paraId="64796B56" w14:textId="77777777" w:rsidR="00921751" w:rsidRDefault="00921751" w:rsidP="00CA7F87">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ab/>
      </w:r>
      <w:r w:rsidRPr="0082742F">
        <w:rPr>
          <w:rFonts w:ascii="Times New Roman" w:hAnsi="Times New Roman"/>
          <w:position w:val="-32"/>
          <w:sz w:val="24"/>
          <w:szCs w:val="24"/>
        </w:rPr>
        <w:object w:dxaOrig="2920" w:dyaOrig="760" w14:anchorId="253E1007">
          <v:shape id="_x0000_i1027" type="#_x0000_t75" style="width:145.5pt;height:37.5pt" o:ole="">
            <v:imagedata r:id="rId9" o:title=""/>
          </v:shape>
          <o:OLEObject Type="Embed" ProgID="Equation.3" ShapeID="_x0000_i1027" DrawAspect="Content" ObjectID="_1817953498" r:id="rId10"/>
        </w:object>
      </w:r>
      <w:r>
        <w:rPr>
          <w:rFonts w:ascii="Times New Roman" w:hAnsi="Times New Roman"/>
          <w:sz w:val="24"/>
          <w:szCs w:val="24"/>
        </w:rPr>
        <w:t>----------------------------------------------- 3.3</w:t>
      </w:r>
    </w:p>
    <w:p w14:paraId="2117AAD8" w14:textId="03ECFD07" w:rsidR="00921751" w:rsidRDefault="00921751" w:rsidP="00AF630A">
      <w:pPr>
        <w:autoSpaceDE w:val="0"/>
        <w:autoSpaceDN w:val="0"/>
        <w:adjustRightInd w:val="0"/>
        <w:spacing w:after="0" w:line="240" w:lineRule="auto"/>
        <w:rPr>
          <w:rFonts w:ascii="Times New Roman" w:hAnsi="Times New Roman"/>
          <w:i/>
          <w:sz w:val="24"/>
          <w:szCs w:val="24"/>
        </w:rPr>
      </w:pPr>
      <w:r w:rsidRPr="00394A5F">
        <w:rPr>
          <w:rFonts w:ascii="Times New Roman" w:hAnsi="Times New Roman"/>
          <w:sz w:val="24"/>
          <w:szCs w:val="24"/>
        </w:rPr>
        <w:t xml:space="preserve">Where, </w:t>
      </w:r>
      <w:r w:rsidRPr="00394A5F">
        <w:rPr>
          <w:rFonts w:ascii="Times New Roman" w:hAnsi="Times New Roman"/>
          <w:position w:val="-12"/>
          <w:sz w:val="24"/>
          <w:szCs w:val="24"/>
        </w:rPr>
        <w:object w:dxaOrig="580" w:dyaOrig="360" w14:anchorId="58F9A1ED">
          <v:shape id="_x0000_i1028" type="#_x0000_t75" style="width:29.25pt;height:18pt" o:ole="">
            <v:imagedata r:id="rId11" o:title=""/>
          </v:shape>
          <o:OLEObject Type="Embed" ProgID="Equation.3" ShapeID="_x0000_i1028" DrawAspect="Content" ObjectID="_1817953499" r:id="rId12"/>
        </w:object>
      </w:r>
      <w:r w:rsidR="00AF630A">
        <w:rPr>
          <w:rFonts w:ascii="Times New Roman" w:hAnsi="Times New Roman"/>
          <w:sz w:val="24"/>
          <w:szCs w:val="24"/>
        </w:rPr>
        <w:t xml:space="preserve"> </w:t>
      </w:r>
      <w:r w:rsidRPr="00394A5F">
        <w:rPr>
          <w:rFonts w:ascii="Times New Roman" w:hAnsi="Times New Roman"/>
          <w:sz w:val="24"/>
          <w:szCs w:val="24"/>
        </w:rPr>
        <w:t xml:space="preserve">stands for stock market returns in period </w:t>
      </w:r>
      <w:r w:rsidRPr="00394A5F">
        <w:rPr>
          <w:rFonts w:ascii="Times New Roman" w:hAnsi="Times New Roman"/>
          <w:i/>
          <w:sz w:val="24"/>
          <w:szCs w:val="24"/>
        </w:rPr>
        <w:t>t</w:t>
      </w:r>
      <w:r w:rsidRPr="00394A5F">
        <w:rPr>
          <w:rFonts w:ascii="Times New Roman" w:hAnsi="Times New Roman"/>
          <w:sz w:val="24"/>
          <w:szCs w:val="24"/>
        </w:rPr>
        <w:t xml:space="preserve">, </w:t>
      </w:r>
      <w:r w:rsidRPr="00394A5F">
        <w:rPr>
          <w:rFonts w:ascii="Times New Roman" w:hAnsi="Times New Roman"/>
          <w:position w:val="-12"/>
          <w:sz w:val="24"/>
          <w:szCs w:val="24"/>
        </w:rPr>
        <w:object w:dxaOrig="499" w:dyaOrig="360" w14:anchorId="7BC5E293">
          <v:shape id="_x0000_i1029" type="#_x0000_t75" style="width:24.75pt;height:18pt" o:ole="">
            <v:imagedata r:id="rId13" o:title=""/>
          </v:shape>
          <o:OLEObject Type="Embed" ProgID="Equation.3" ShapeID="_x0000_i1029" DrawAspect="Content" ObjectID="_1817953500" r:id="rId14"/>
        </w:object>
      </w:r>
      <w:r w:rsidRPr="00394A5F">
        <w:rPr>
          <w:rFonts w:ascii="Times New Roman" w:hAnsi="Times New Roman"/>
          <w:sz w:val="24"/>
          <w:szCs w:val="24"/>
        </w:rPr>
        <w:t xml:space="preserve"> denotes All shares index in period </w:t>
      </w:r>
      <w:r w:rsidRPr="00394A5F">
        <w:rPr>
          <w:rFonts w:ascii="Times New Roman" w:hAnsi="Times New Roman"/>
          <w:i/>
          <w:sz w:val="24"/>
          <w:szCs w:val="24"/>
        </w:rPr>
        <w:t xml:space="preserve">t </w:t>
      </w:r>
      <w:r w:rsidRPr="00394A5F">
        <w:rPr>
          <w:rFonts w:ascii="Times New Roman" w:hAnsi="Times New Roman"/>
          <w:sz w:val="24"/>
          <w:szCs w:val="24"/>
        </w:rPr>
        <w:t xml:space="preserve">and </w:t>
      </w:r>
      <w:r w:rsidRPr="00394A5F">
        <w:rPr>
          <w:rFonts w:ascii="Times New Roman" w:hAnsi="Times New Roman"/>
          <w:position w:val="-12"/>
          <w:sz w:val="24"/>
          <w:szCs w:val="24"/>
        </w:rPr>
        <w:object w:dxaOrig="639" w:dyaOrig="360" w14:anchorId="71922DAA">
          <v:shape id="_x0000_i1030" type="#_x0000_t75" style="width:31.5pt;height:18pt" o:ole="">
            <v:imagedata r:id="rId15" o:title=""/>
          </v:shape>
          <o:OLEObject Type="Embed" ProgID="Equation.3" ShapeID="_x0000_i1030" DrawAspect="Content" ObjectID="_1817953501" r:id="rId16"/>
        </w:object>
      </w:r>
      <w:r w:rsidRPr="00394A5F">
        <w:rPr>
          <w:rFonts w:ascii="Times New Roman" w:hAnsi="Times New Roman"/>
          <w:sz w:val="24"/>
          <w:szCs w:val="24"/>
        </w:rPr>
        <w:t xml:space="preserve">is All shares </w:t>
      </w:r>
      <w:r w:rsidRPr="00394A5F">
        <w:rPr>
          <w:rFonts w:ascii="Times New Roman" w:hAnsi="Times New Roman"/>
          <w:sz w:val="24"/>
          <w:szCs w:val="24"/>
        </w:rPr>
        <w:lastRenderedPageBreak/>
        <w:t xml:space="preserve">index for the previous period </w:t>
      </w:r>
      <w:r w:rsidRPr="00394A5F">
        <w:rPr>
          <w:rFonts w:ascii="Times New Roman" w:hAnsi="Times New Roman"/>
          <w:i/>
          <w:sz w:val="24"/>
          <w:szCs w:val="24"/>
        </w:rPr>
        <w:t>(</w:t>
      </w:r>
      <w:r w:rsidRPr="00F20C12">
        <w:rPr>
          <w:rFonts w:ascii="Times New Roman" w:hAnsi="Times New Roman"/>
          <w:i/>
          <w:sz w:val="24"/>
          <w:szCs w:val="24"/>
          <w:vertAlign w:val="subscript"/>
        </w:rPr>
        <w:t>t-1</w:t>
      </w:r>
      <w:r w:rsidRPr="00394A5F">
        <w:rPr>
          <w:rFonts w:ascii="Times New Roman" w:hAnsi="Times New Roman"/>
          <w:i/>
          <w:sz w:val="24"/>
          <w:szCs w:val="24"/>
        </w:rPr>
        <w:t>).</w:t>
      </w:r>
      <w:r>
        <w:rPr>
          <w:rFonts w:ascii="Times New Roman" w:hAnsi="Times New Roman"/>
          <w:sz w:val="24"/>
          <w:szCs w:val="24"/>
        </w:rPr>
        <w:t xml:space="preserve"> </w:t>
      </w:r>
      <w:r>
        <w:rPr>
          <w:rFonts w:ascii="Times New Roman" w:hAnsi="Times New Roman"/>
          <w:i/>
          <w:sz w:val="24"/>
          <w:szCs w:val="24"/>
        </w:rPr>
        <w:t>INF</w:t>
      </w:r>
      <w:r w:rsidRPr="0082742F">
        <w:rPr>
          <w:rFonts w:ascii="Times New Roman" w:hAnsi="Times New Roman"/>
          <w:i/>
          <w:sz w:val="24"/>
          <w:szCs w:val="24"/>
          <w:vertAlign w:val="subscript"/>
        </w:rPr>
        <w:t>t</w:t>
      </w:r>
      <w:r>
        <w:rPr>
          <w:rFonts w:ascii="Times New Roman" w:hAnsi="Times New Roman"/>
          <w:i/>
          <w:sz w:val="24"/>
          <w:szCs w:val="24"/>
        </w:rPr>
        <w:t xml:space="preserve"> </w:t>
      </w:r>
      <w:r>
        <w:rPr>
          <w:rFonts w:ascii="Times New Roman" w:hAnsi="Times New Roman"/>
          <w:sz w:val="24"/>
          <w:szCs w:val="24"/>
        </w:rPr>
        <w:t xml:space="preserve">denotes inflation rate in period </w:t>
      </w:r>
      <w:r w:rsidRPr="0082742F">
        <w:rPr>
          <w:rFonts w:ascii="Times New Roman" w:hAnsi="Times New Roman"/>
          <w:i/>
          <w:sz w:val="24"/>
          <w:szCs w:val="24"/>
        </w:rPr>
        <w:t>t</w:t>
      </w:r>
      <w:r>
        <w:rPr>
          <w:rFonts w:ascii="Times New Roman" w:hAnsi="Times New Roman"/>
          <w:sz w:val="24"/>
          <w:szCs w:val="24"/>
        </w:rPr>
        <w:t xml:space="preserve">, </w:t>
      </w:r>
      <w:r w:rsidRPr="0082742F">
        <w:rPr>
          <w:rFonts w:ascii="Times New Roman" w:hAnsi="Times New Roman"/>
          <w:i/>
          <w:iCs/>
          <w:sz w:val="24"/>
          <w:szCs w:val="24"/>
        </w:rPr>
        <w:t>CPI</w:t>
      </w:r>
      <w:r w:rsidRPr="0082742F">
        <w:rPr>
          <w:rFonts w:ascii="Times New Roman" w:hAnsi="Times New Roman"/>
          <w:i/>
          <w:iCs/>
          <w:sz w:val="24"/>
          <w:szCs w:val="24"/>
          <w:vertAlign w:val="subscript"/>
        </w:rPr>
        <w:t>t</w:t>
      </w:r>
      <w:r w:rsidRPr="0082742F">
        <w:rPr>
          <w:rFonts w:ascii="Times New Roman" w:hAnsi="Times New Roman"/>
          <w:i/>
          <w:iCs/>
          <w:sz w:val="24"/>
          <w:szCs w:val="24"/>
        </w:rPr>
        <w:t xml:space="preserve"> </w:t>
      </w:r>
      <w:r>
        <w:rPr>
          <w:rFonts w:ascii="Times New Roman" w:hAnsi="Times New Roman"/>
          <w:sz w:val="24"/>
          <w:szCs w:val="24"/>
        </w:rPr>
        <w:t>denotes</w:t>
      </w:r>
      <w:r w:rsidRPr="0082742F">
        <w:rPr>
          <w:rFonts w:ascii="Times New Roman" w:hAnsi="Times New Roman"/>
          <w:sz w:val="24"/>
          <w:szCs w:val="24"/>
        </w:rPr>
        <w:t xml:space="preserve"> Consumer price index in period </w:t>
      </w:r>
      <w:r w:rsidRPr="0082742F">
        <w:rPr>
          <w:rFonts w:ascii="Times New Roman" w:hAnsi="Times New Roman"/>
          <w:i/>
          <w:sz w:val="24"/>
          <w:szCs w:val="24"/>
        </w:rPr>
        <w:t>t</w:t>
      </w:r>
      <w:r w:rsidRPr="0082742F">
        <w:rPr>
          <w:rFonts w:ascii="Times New Roman" w:hAnsi="Times New Roman"/>
          <w:sz w:val="24"/>
          <w:szCs w:val="24"/>
        </w:rPr>
        <w:t xml:space="preserve">; and </w:t>
      </w:r>
      <w:r>
        <w:rPr>
          <w:rFonts w:ascii="Times New Roman" w:hAnsi="Times New Roman"/>
          <w:i/>
          <w:iCs/>
          <w:sz w:val="24"/>
          <w:szCs w:val="24"/>
        </w:rPr>
        <w:t>CPI</w:t>
      </w:r>
      <w:r w:rsidRPr="0082742F">
        <w:rPr>
          <w:rFonts w:ascii="Times New Roman" w:hAnsi="Times New Roman"/>
          <w:i/>
          <w:iCs/>
          <w:sz w:val="24"/>
          <w:szCs w:val="24"/>
          <w:vertAlign w:val="subscript"/>
        </w:rPr>
        <w:t>t</w:t>
      </w:r>
      <w:r w:rsidRPr="0082742F">
        <w:rPr>
          <w:rFonts w:ascii="Times New Roman" w:hAnsi="Times New Roman"/>
          <w:sz w:val="24"/>
          <w:szCs w:val="24"/>
          <w:vertAlign w:val="subscript"/>
        </w:rPr>
        <w:t>-1</w:t>
      </w:r>
      <w:r w:rsidRPr="0082742F">
        <w:rPr>
          <w:rFonts w:ascii="Times New Roman" w:hAnsi="Times New Roman"/>
          <w:sz w:val="24"/>
          <w:szCs w:val="24"/>
        </w:rPr>
        <w:t xml:space="preserve"> </w:t>
      </w:r>
      <w:r w:rsidRPr="00596D2A">
        <w:rPr>
          <w:rFonts w:ascii="Times New Roman" w:hAnsi="Times New Roman"/>
          <w:iCs/>
          <w:sz w:val="24"/>
          <w:szCs w:val="24"/>
        </w:rPr>
        <w:t>denotes</w:t>
      </w:r>
      <w:r>
        <w:rPr>
          <w:rFonts w:ascii="Times New Roman" w:hAnsi="Times New Roman"/>
          <w:i/>
          <w:iCs/>
          <w:sz w:val="24"/>
          <w:szCs w:val="24"/>
        </w:rPr>
        <w:t xml:space="preserve"> </w:t>
      </w:r>
      <w:r w:rsidRPr="0082742F">
        <w:rPr>
          <w:rFonts w:ascii="Times New Roman" w:hAnsi="Times New Roman"/>
          <w:sz w:val="24"/>
          <w:szCs w:val="24"/>
        </w:rPr>
        <w:t>Consumer price index for</w:t>
      </w:r>
      <w:r>
        <w:rPr>
          <w:rFonts w:ascii="Times New Roman" w:hAnsi="Times New Roman"/>
          <w:sz w:val="24"/>
          <w:szCs w:val="24"/>
        </w:rPr>
        <w:t xml:space="preserve"> </w:t>
      </w:r>
      <w:r w:rsidRPr="0082742F">
        <w:rPr>
          <w:rFonts w:ascii="Times New Roman" w:hAnsi="Times New Roman"/>
          <w:sz w:val="24"/>
          <w:szCs w:val="24"/>
        </w:rPr>
        <w:t xml:space="preserve">the previous period </w:t>
      </w:r>
      <w:r w:rsidRPr="00596D2A">
        <w:rPr>
          <w:rFonts w:ascii="Times New Roman" w:hAnsi="Times New Roman"/>
          <w:i/>
          <w:sz w:val="24"/>
          <w:szCs w:val="24"/>
        </w:rPr>
        <w:t>(</w:t>
      </w:r>
      <w:r w:rsidRPr="00F20C12">
        <w:rPr>
          <w:rFonts w:ascii="Times New Roman" w:hAnsi="Times New Roman"/>
          <w:i/>
          <w:sz w:val="24"/>
          <w:szCs w:val="24"/>
          <w:vertAlign w:val="subscript"/>
        </w:rPr>
        <w:t>t-1</w:t>
      </w:r>
      <w:r w:rsidRPr="00596D2A">
        <w:rPr>
          <w:rFonts w:ascii="Times New Roman" w:hAnsi="Times New Roman"/>
          <w:i/>
          <w:sz w:val="24"/>
          <w:szCs w:val="24"/>
        </w:rPr>
        <w:t>).</w:t>
      </w:r>
      <w:r>
        <w:rPr>
          <w:rFonts w:ascii="Times New Roman" w:hAnsi="Times New Roman"/>
          <w:i/>
          <w:sz w:val="24"/>
          <w:szCs w:val="24"/>
        </w:rPr>
        <w:t xml:space="preserve"> </w:t>
      </w:r>
    </w:p>
    <w:p w14:paraId="2401E9D3" w14:textId="77777777" w:rsidR="00921751" w:rsidRPr="00DC0FF6" w:rsidRDefault="00921751" w:rsidP="00CA7F87">
      <w:pPr>
        <w:autoSpaceDE w:val="0"/>
        <w:autoSpaceDN w:val="0"/>
        <w:adjustRightInd w:val="0"/>
        <w:spacing w:after="0" w:line="240" w:lineRule="auto"/>
        <w:ind w:left="720" w:firstLine="720"/>
        <w:jc w:val="both"/>
        <w:rPr>
          <w:rFonts w:ascii="Times New Roman" w:hAnsi="Times New Roman"/>
          <w:i/>
          <w:sz w:val="24"/>
          <w:szCs w:val="24"/>
        </w:rPr>
      </w:pPr>
      <w:r>
        <w:rPr>
          <w:rFonts w:ascii="Times New Roman" w:hAnsi="Times New Roman"/>
          <w:sz w:val="24"/>
          <w:szCs w:val="24"/>
        </w:rPr>
        <w:t>Substituting into equation 3.1, the stochastic model for the study is therefore expressed as;</w:t>
      </w:r>
    </w:p>
    <w:p w14:paraId="787416D2" w14:textId="77777777" w:rsidR="00921751" w:rsidRDefault="00921751" w:rsidP="00CA7F87">
      <w:pPr>
        <w:autoSpaceDE w:val="0"/>
        <w:autoSpaceDN w:val="0"/>
        <w:adjustRightInd w:val="0"/>
        <w:spacing w:after="0" w:line="240" w:lineRule="auto"/>
        <w:ind w:firstLine="720"/>
        <w:jc w:val="both"/>
        <w:rPr>
          <w:rFonts w:ascii="Times New Roman" w:hAnsi="Times New Roman"/>
          <w:sz w:val="24"/>
          <w:szCs w:val="24"/>
        </w:rPr>
      </w:pPr>
      <w:r w:rsidRPr="00907BFA">
        <w:rPr>
          <w:rFonts w:ascii="Times New Roman" w:hAnsi="Times New Roman"/>
          <w:position w:val="-30"/>
          <w:sz w:val="24"/>
          <w:szCs w:val="24"/>
        </w:rPr>
        <w:object w:dxaOrig="6440" w:dyaOrig="720" w14:anchorId="0FEED42A">
          <v:shape id="_x0000_i1031" type="#_x0000_t75" style="width:322.5pt;height:36.75pt" o:ole="">
            <v:imagedata r:id="rId17" o:title=""/>
          </v:shape>
          <o:OLEObject Type="Embed" ProgID="Equation.3" ShapeID="_x0000_i1031" DrawAspect="Content" ObjectID="_1817953502" r:id="rId18"/>
        </w:object>
      </w:r>
      <w:r>
        <w:rPr>
          <w:rFonts w:ascii="Times New Roman" w:hAnsi="Times New Roman"/>
          <w:sz w:val="24"/>
          <w:szCs w:val="24"/>
        </w:rPr>
        <w:t xml:space="preserve"> </w:t>
      </w:r>
      <w:r w:rsidRPr="00F20C12">
        <w:rPr>
          <w:rFonts w:ascii="Times New Roman" w:hAnsi="Times New Roman"/>
          <w:sz w:val="24"/>
          <w:szCs w:val="24"/>
        </w:rPr>
        <w:t>---------------------3.4</w:t>
      </w:r>
    </w:p>
    <w:p w14:paraId="75316B44" w14:textId="77777777" w:rsidR="00AF630A" w:rsidRDefault="00AF630A" w:rsidP="00CA7F87">
      <w:pPr>
        <w:spacing w:after="0" w:line="240" w:lineRule="auto"/>
        <w:jc w:val="both"/>
        <w:rPr>
          <w:rFonts w:ascii="Times New Roman" w:hAnsi="Times New Roman"/>
          <w:b/>
          <w:sz w:val="24"/>
          <w:szCs w:val="24"/>
        </w:rPr>
      </w:pPr>
    </w:p>
    <w:p w14:paraId="189C67F5" w14:textId="2DCB8EC8" w:rsidR="00921751" w:rsidRPr="00026472" w:rsidRDefault="00921751" w:rsidP="00CA7F87">
      <w:pPr>
        <w:spacing w:after="0" w:line="240" w:lineRule="auto"/>
        <w:jc w:val="both"/>
        <w:rPr>
          <w:rFonts w:ascii="Times New Roman" w:hAnsi="Times New Roman"/>
          <w:b/>
          <w:sz w:val="24"/>
          <w:szCs w:val="24"/>
        </w:rPr>
      </w:pPr>
      <w:r w:rsidRPr="00026472">
        <w:rPr>
          <w:rFonts w:ascii="Times New Roman" w:hAnsi="Times New Roman"/>
          <w:b/>
          <w:sz w:val="24"/>
          <w:szCs w:val="24"/>
        </w:rPr>
        <w:t>Where:</w:t>
      </w:r>
    </w:p>
    <w:p w14:paraId="4B739FF0" w14:textId="77777777" w:rsidR="00AF630A" w:rsidRDefault="00AF630A" w:rsidP="00CA7F87">
      <w:pPr>
        <w:autoSpaceDE w:val="0"/>
        <w:autoSpaceDN w:val="0"/>
        <w:adjustRightInd w:val="0"/>
        <w:spacing w:after="0" w:line="240" w:lineRule="auto"/>
        <w:jc w:val="both"/>
        <w:rPr>
          <w:rFonts w:ascii="Times New Roman" w:hAnsi="Times New Roman"/>
          <w:b/>
          <w:i/>
          <w:sz w:val="24"/>
          <w:szCs w:val="24"/>
        </w:rPr>
      </w:pPr>
    </w:p>
    <w:p w14:paraId="6CA28FFF" w14:textId="77777777" w:rsidR="00F15AD2" w:rsidRDefault="00921751" w:rsidP="00AF630A">
      <w:pPr>
        <w:autoSpaceDE w:val="0"/>
        <w:autoSpaceDN w:val="0"/>
        <w:adjustRightInd w:val="0"/>
        <w:spacing w:after="0" w:line="240" w:lineRule="auto"/>
        <w:rPr>
          <w:rFonts w:ascii="Times New Roman" w:hAnsi="Times New Roman"/>
          <w:b/>
          <w:sz w:val="24"/>
          <w:szCs w:val="24"/>
        </w:rPr>
      </w:pPr>
      <w:r w:rsidRPr="00C0775A">
        <w:rPr>
          <w:rFonts w:ascii="Times New Roman" w:hAnsi="Times New Roman"/>
          <w:b/>
          <w:i/>
          <w:sz w:val="24"/>
          <w:szCs w:val="24"/>
        </w:rPr>
        <w:t>RGDP</w:t>
      </w:r>
      <w:r w:rsidRPr="00C0775A">
        <w:rPr>
          <w:rFonts w:ascii="Times New Roman" w:hAnsi="Times New Roman"/>
          <w:b/>
          <w:sz w:val="24"/>
          <w:szCs w:val="24"/>
        </w:rPr>
        <w:t xml:space="preserve"> =</w:t>
      </w:r>
      <w:r w:rsidRPr="00C0775A">
        <w:rPr>
          <w:rFonts w:ascii="Times New Roman" w:hAnsi="Times New Roman"/>
          <w:sz w:val="24"/>
          <w:szCs w:val="24"/>
        </w:rPr>
        <w:t xml:space="preserve"> (Economic Growth): </w:t>
      </w:r>
      <w:r w:rsidRPr="00C0775A">
        <w:rPr>
          <w:rFonts w:ascii="Times New Roman" w:hAnsi="Times New Roman"/>
          <w:color w:val="000000"/>
          <w:sz w:val="24"/>
          <w:szCs w:val="24"/>
        </w:rPr>
        <w:t xml:space="preserve">is an inflation-adjusted measure that reflects the value of all goods and services produced by an economy in a given year, expressed in base-year prices. </w:t>
      </w:r>
      <w:r w:rsidRPr="00C0775A">
        <w:rPr>
          <w:rFonts w:ascii="Source Sans Pro" w:hAnsi="Source Sans Pro"/>
          <w:color w:val="000000"/>
          <w:sz w:val="24"/>
          <w:szCs w:val="24"/>
        </w:rPr>
        <w:br/>
      </w:r>
    </w:p>
    <w:p w14:paraId="434CEA9C" w14:textId="04F2AB4E" w:rsidR="00921751" w:rsidRPr="00C0775A" w:rsidRDefault="00921751" w:rsidP="00AF630A">
      <w:pPr>
        <w:autoSpaceDE w:val="0"/>
        <w:autoSpaceDN w:val="0"/>
        <w:adjustRightInd w:val="0"/>
        <w:spacing w:after="0" w:line="240" w:lineRule="auto"/>
        <w:rPr>
          <w:rFonts w:ascii="Times New Roman" w:hAnsi="Times New Roman"/>
          <w:sz w:val="24"/>
          <w:szCs w:val="24"/>
        </w:rPr>
      </w:pPr>
      <w:r w:rsidRPr="00C0775A">
        <w:rPr>
          <w:rFonts w:ascii="Times New Roman" w:hAnsi="Times New Roman"/>
          <w:b/>
          <w:sz w:val="24"/>
          <w:szCs w:val="24"/>
        </w:rPr>
        <w:t>M</w:t>
      </w:r>
      <w:r w:rsidRPr="00F20C12">
        <w:rPr>
          <w:rFonts w:ascii="Times New Roman" w:hAnsi="Times New Roman"/>
          <w:b/>
          <w:sz w:val="24"/>
          <w:szCs w:val="24"/>
          <w:vertAlign w:val="subscript"/>
        </w:rPr>
        <w:t>2</w:t>
      </w:r>
      <w:r w:rsidRPr="00C0775A">
        <w:rPr>
          <w:rFonts w:ascii="Times New Roman" w:hAnsi="Times New Roman"/>
          <w:b/>
          <w:sz w:val="24"/>
          <w:szCs w:val="24"/>
        </w:rPr>
        <w:t>/GDP</w:t>
      </w:r>
      <w:r w:rsidRPr="00C0775A">
        <w:rPr>
          <w:rFonts w:ascii="Times New Roman" w:hAnsi="Times New Roman"/>
          <w:sz w:val="24"/>
          <w:szCs w:val="24"/>
        </w:rPr>
        <w:t xml:space="preserve"> = Ratio of money supply to GDP (financial depth variable):  is the ratio of M</w:t>
      </w:r>
      <w:r w:rsidRPr="00F20C12">
        <w:rPr>
          <w:rFonts w:ascii="Times New Roman" w:hAnsi="Times New Roman"/>
          <w:sz w:val="24"/>
          <w:szCs w:val="24"/>
          <w:vertAlign w:val="subscript"/>
        </w:rPr>
        <w:t>2</w:t>
      </w:r>
      <w:r w:rsidRPr="00C0775A">
        <w:rPr>
          <w:rFonts w:ascii="Times New Roman" w:hAnsi="Times New Roman"/>
          <w:sz w:val="24"/>
          <w:szCs w:val="24"/>
        </w:rPr>
        <w:t xml:space="preserve"> to nominal GDP and is often called the monetization ratio as used by King and Levine (1993). It reflects the depth of the financial market relative to the overall economy. Increases in this ratio indicate further expansion in the financial sector relative to the rest of the economy.</w:t>
      </w:r>
    </w:p>
    <w:p w14:paraId="78D13CE2" w14:textId="77777777" w:rsidR="00921751" w:rsidRPr="00C0775A" w:rsidRDefault="00921751" w:rsidP="00CA7F87">
      <w:pPr>
        <w:autoSpaceDE w:val="0"/>
        <w:autoSpaceDN w:val="0"/>
        <w:adjustRightInd w:val="0"/>
        <w:spacing w:after="0" w:line="240" w:lineRule="auto"/>
        <w:jc w:val="both"/>
        <w:rPr>
          <w:rFonts w:ascii="Times New Roman" w:hAnsi="Times New Roman"/>
          <w:sz w:val="24"/>
          <w:szCs w:val="24"/>
        </w:rPr>
      </w:pPr>
      <w:r w:rsidRPr="00C0775A">
        <w:rPr>
          <w:rFonts w:ascii="Times New Roman" w:hAnsi="Times New Roman"/>
          <w:b/>
          <w:sz w:val="24"/>
          <w:szCs w:val="24"/>
        </w:rPr>
        <w:t>P/TDS =</w:t>
      </w:r>
      <w:r w:rsidRPr="00C0775A">
        <w:rPr>
          <w:rFonts w:ascii="Times New Roman" w:hAnsi="Times New Roman"/>
          <w:sz w:val="24"/>
          <w:szCs w:val="24"/>
        </w:rPr>
        <w:t xml:space="preserve"> Ratio of private debt to total debt securities (Financial access variable): is the</w:t>
      </w:r>
    </w:p>
    <w:p w14:paraId="0E199E9E" w14:textId="77777777" w:rsidR="00921751" w:rsidRPr="00C0775A" w:rsidRDefault="00921751" w:rsidP="00AF630A">
      <w:pPr>
        <w:autoSpaceDE w:val="0"/>
        <w:autoSpaceDN w:val="0"/>
        <w:adjustRightInd w:val="0"/>
        <w:spacing w:after="0" w:line="240" w:lineRule="auto"/>
        <w:rPr>
          <w:rFonts w:ascii="Times New Roman" w:hAnsi="Times New Roman"/>
          <w:sz w:val="24"/>
          <w:szCs w:val="24"/>
        </w:rPr>
      </w:pPr>
      <w:r w:rsidRPr="00C0775A">
        <w:rPr>
          <w:rFonts w:ascii="Times New Roman" w:hAnsi="Times New Roman"/>
          <w:sz w:val="24"/>
          <w:szCs w:val="24"/>
        </w:rPr>
        <w:t xml:space="preserve"> proportion of private sector debt to the entire total debt portfolio.</w:t>
      </w:r>
    </w:p>
    <w:p w14:paraId="5CA94040" w14:textId="77777777" w:rsidR="00F15AD2" w:rsidRDefault="00F15AD2" w:rsidP="00AF630A">
      <w:pPr>
        <w:autoSpaceDE w:val="0"/>
        <w:autoSpaceDN w:val="0"/>
        <w:adjustRightInd w:val="0"/>
        <w:spacing w:after="0" w:line="240" w:lineRule="auto"/>
        <w:rPr>
          <w:rFonts w:ascii="Times New Roman" w:hAnsi="Times New Roman"/>
          <w:b/>
          <w:sz w:val="24"/>
          <w:szCs w:val="24"/>
        </w:rPr>
      </w:pPr>
    </w:p>
    <w:p w14:paraId="07E6D843" w14:textId="0EA14A3A" w:rsidR="00921751" w:rsidRPr="00C0775A" w:rsidRDefault="00921751" w:rsidP="00AF630A">
      <w:pPr>
        <w:autoSpaceDE w:val="0"/>
        <w:autoSpaceDN w:val="0"/>
        <w:adjustRightInd w:val="0"/>
        <w:spacing w:after="0" w:line="240" w:lineRule="auto"/>
        <w:rPr>
          <w:rFonts w:ascii="Times New Roman" w:hAnsi="Times New Roman"/>
          <w:sz w:val="24"/>
          <w:szCs w:val="24"/>
        </w:rPr>
      </w:pPr>
      <w:r w:rsidRPr="00C0775A">
        <w:rPr>
          <w:rFonts w:ascii="Times New Roman" w:hAnsi="Times New Roman"/>
          <w:b/>
          <w:sz w:val="24"/>
          <w:szCs w:val="24"/>
        </w:rPr>
        <w:t>LDS =</w:t>
      </w:r>
      <w:r w:rsidRPr="00C0775A">
        <w:rPr>
          <w:rFonts w:ascii="Times New Roman" w:hAnsi="Times New Roman"/>
          <w:sz w:val="24"/>
          <w:szCs w:val="24"/>
        </w:rPr>
        <w:t xml:space="preserve"> Lending-deposits spread (financial efficiency variable):  is </w:t>
      </w:r>
      <w:r>
        <w:rPr>
          <w:rFonts w:ascii="Times New Roman" w:hAnsi="Times New Roman"/>
          <w:sz w:val="24"/>
          <w:szCs w:val="24"/>
        </w:rPr>
        <w:t>the difference between total i</w:t>
      </w:r>
      <w:r w:rsidRPr="00C0775A">
        <w:rPr>
          <w:rFonts w:ascii="Times New Roman" w:hAnsi="Times New Roman"/>
          <w:sz w:val="24"/>
          <w:szCs w:val="24"/>
        </w:rPr>
        <w:t>nterest and commission received over total earning assets and total interest paid minus fees over total interest bearing liabilities (Hossain, 2010).</w:t>
      </w:r>
    </w:p>
    <w:p w14:paraId="3F2B8DFB" w14:textId="77777777" w:rsidR="00F15AD2" w:rsidRDefault="00F15AD2" w:rsidP="00AF630A">
      <w:pPr>
        <w:autoSpaceDE w:val="0"/>
        <w:autoSpaceDN w:val="0"/>
        <w:adjustRightInd w:val="0"/>
        <w:spacing w:after="0" w:line="240" w:lineRule="auto"/>
        <w:rPr>
          <w:rFonts w:ascii="Times New Roman" w:hAnsi="Times New Roman"/>
          <w:b/>
          <w:sz w:val="24"/>
          <w:szCs w:val="24"/>
        </w:rPr>
      </w:pPr>
    </w:p>
    <w:p w14:paraId="3E03330B" w14:textId="6412C565" w:rsidR="00921751" w:rsidRPr="00C0775A" w:rsidRDefault="00921751" w:rsidP="00AF630A">
      <w:pPr>
        <w:autoSpaceDE w:val="0"/>
        <w:autoSpaceDN w:val="0"/>
        <w:adjustRightInd w:val="0"/>
        <w:spacing w:after="0" w:line="240" w:lineRule="auto"/>
        <w:rPr>
          <w:rFonts w:ascii="Times New Roman" w:hAnsi="Times New Roman"/>
          <w:sz w:val="24"/>
          <w:szCs w:val="24"/>
        </w:rPr>
      </w:pPr>
      <w:r w:rsidRPr="00C0775A">
        <w:rPr>
          <w:rFonts w:ascii="Times New Roman" w:hAnsi="Times New Roman"/>
          <w:b/>
          <w:sz w:val="24"/>
          <w:szCs w:val="24"/>
        </w:rPr>
        <w:t>LR =</w:t>
      </w:r>
      <w:r w:rsidRPr="00C0775A">
        <w:rPr>
          <w:rFonts w:ascii="Times New Roman" w:hAnsi="Times New Roman"/>
          <w:sz w:val="24"/>
          <w:szCs w:val="24"/>
        </w:rPr>
        <w:t xml:space="preserve">    Liquidity Ratio (financial stability variable):  This is the percentage of bank </w:t>
      </w:r>
      <w:r w:rsidRPr="00C0775A">
        <w:rPr>
          <w:rFonts w:ascii="Times New Roman" w:hAnsi="Times New Roman"/>
          <w:sz w:val="24"/>
          <w:szCs w:val="24"/>
        </w:rPr>
        <w:t>deposits that the banks should hold in the form of cash or eligible liquid assets in the tills of the bank.</w:t>
      </w:r>
    </w:p>
    <w:p w14:paraId="15999F19" w14:textId="77777777" w:rsidR="00F15AD2" w:rsidRDefault="00F15AD2" w:rsidP="00AF630A">
      <w:pPr>
        <w:spacing w:after="0" w:line="240" w:lineRule="auto"/>
        <w:rPr>
          <w:rFonts w:ascii="Times New Roman" w:hAnsi="Times New Roman"/>
          <w:b/>
          <w:i/>
          <w:sz w:val="24"/>
          <w:szCs w:val="24"/>
        </w:rPr>
      </w:pPr>
    </w:p>
    <w:p w14:paraId="1BCA0963" w14:textId="337B2079" w:rsidR="00921751" w:rsidRPr="00C0775A" w:rsidRDefault="00921751" w:rsidP="00AF630A">
      <w:pPr>
        <w:spacing w:after="0" w:line="240" w:lineRule="auto"/>
        <w:rPr>
          <w:rFonts w:ascii="Times New Roman" w:hAnsi="Times New Roman"/>
          <w:sz w:val="24"/>
          <w:szCs w:val="24"/>
        </w:rPr>
      </w:pPr>
      <w:r w:rsidRPr="00C0775A">
        <w:rPr>
          <w:rFonts w:ascii="Times New Roman" w:hAnsi="Times New Roman"/>
          <w:b/>
          <w:i/>
          <w:sz w:val="24"/>
          <w:szCs w:val="24"/>
        </w:rPr>
        <w:t xml:space="preserve">SMR </w:t>
      </w:r>
      <w:r w:rsidRPr="00C0775A">
        <w:rPr>
          <w:rFonts w:ascii="Times New Roman" w:hAnsi="Times New Roman"/>
          <w:b/>
          <w:sz w:val="24"/>
          <w:szCs w:val="24"/>
        </w:rPr>
        <w:t>=</w:t>
      </w:r>
      <w:r w:rsidRPr="00C0775A">
        <w:rPr>
          <w:rFonts w:ascii="Times New Roman" w:hAnsi="Times New Roman"/>
          <w:sz w:val="24"/>
          <w:szCs w:val="24"/>
        </w:rPr>
        <w:t xml:space="preserve"> Stock market returns (Stock market volatility variable) proxy by All Share Index: is used as a general measure of the performance of the stock markets in terms of price appreciation or depreciation. These indices are important economic indicators as they gauge the health and very often can predict the future direction of economic activity (Ikoku &amp; Okorie, 2010).</w:t>
      </w:r>
    </w:p>
    <w:p w14:paraId="60C3AF3C" w14:textId="77777777" w:rsidR="00F15AD2" w:rsidRDefault="00F15AD2" w:rsidP="00CA7F87">
      <w:pPr>
        <w:autoSpaceDE w:val="0"/>
        <w:autoSpaceDN w:val="0"/>
        <w:adjustRightInd w:val="0"/>
        <w:spacing w:after="0" w:line="240" w:lineRule="auto"/>
        <w:jc w:val="both"/>
        <w:rPr>
          <w:rFonts w:ascii="Times New Roman" w:hAnsi="Times New Roman"/>
          <w:b/>
          <w:i/>
          <w:sz w:val="24"/>
          <w:szCs w:val="24"/>
        </w:rPr>
      </w:pPr>
    </w:p>
    <w:p w14:paraId="30D6CD05" w14:textId="41792D17" w:rsidR="00921751" w:rsidRPr="00C0775A" w:rsidRDefault="00921751" w:rsidP="00CA7F87">
      <w:pPr>
        <w:autoSpaceDE w:val="0"/>
        <w:autoSpaceDN w:val="0"/>
        <w:adjustRightInd w:val="0"/>
        <w:spacing w:after="0" w:line="240" w:lineRule="auto"/>
        <w:jc w:val="both"/>
        <w:rPr>
          <w:rFonts w:ascii="Times New Roman" w:hAnsi="Times New Roman"/>
          <w:sz w:val="24"/>
          <w:szCs w:val="24"/>
        </w:rPr>
      </w:pPr>
      <w:r w:rsidRPr="00C0775A">
        <w:rPr>
          <w:rFonts w:ascii="Times New Roman" w:hAnsi="Times New Roman"/>
          <w:b/>
          <w:i/>
          <w:sz w:val="24"/>
          <w:szCs w:val="24"/>
        </w:rPr>
        <w:t>INF</w:t>
      </w:r>
      <w:r w:rsidRPr="00C0775A">
        <w:rPr>
          <w:rFonts w:ascii="Times New Roman" w:hAnsi="Times New Roman"/>
          <w:b/>
          <w:sz w:val="24"/>
          <w:szCs w:val="24"/>
        </w:rPr>
        <w:t xml:space="preserve"> =</w:t>
      </w:r>
      <w:r w:rsidRPr="00C0775A">
        <w:rPr>
          <w:rFonts w:ascii="Times New Roman" w:hAnsi="Times New Roman"/>
          <w:sz w:val="24"/>
          <w:szCs w:val="24"/>
        </w:rPr>
        <w:t xml:space="preserve"> Inflation rate (Control variable): is a sustained increase in the general</w:t>
      </w:r>
      <w:r w:rsidRPr="00921751">
        <w:rPr>
          <w:rFonts w:ascii="Times New Roman" w:hAnsi="Times New Roman"/>
          <w:sz w:val="24"/>
          <w:szCs w:val="24"/>
        </w:rPr>
        <w:t xml:space="preserve"> </w:t>
      </w:r>
      <w:hyperlink r:id="rId19" w:tooltip="Price level" w:history="1">
        <w:r w:rsidRPr="00921751">
          <w:rPr>
            <w:rStyle w:val="Hyperlink"/>
            <w:rFonts w:ascii="Times New Roman" w:hAnsi="Times New Roman"/>
            <w:color w:val="auto"/>
            <w:sz w:val="24"/>
            <w:szCs w:val="24"/>
            <w:u w:val="none"/>
          </w:rPr>
          <w:t>price level</w:t>
        </w:r>
      </w:hyperlink>
      <w:r w:rsidRPr="00C0775A">
        <w:rPr>
          <w:rFonts w:ascii="Times New Roman" w:hAnsi="Times New Roman"/>
          <w:sz w:val="24"/>
          <w:szCs w:val="24"/>
        </w:rPr>
        <w:t xml:space="preserve"> of goods and services in an economy over a period of time.</w:t>
      </w:r>
    </w:p>
    <w:p w14:paraId="3390987B" w14:textId="77777777" w:rsidR="00F15AD2" w:rsidRDefault="00F15AD2" w:rsidP="00AF630A">
      <w:pPr>
        <w:autoSpaceDE w:val="0"/>
        <w:autoSpaceDN w:val="0"/>
        <w:adjustRightInd w:val="0"/>
        <w:spacing w:after="0" w:line="240" w:lineRule="auto"/>
        <w:rPr>
          <w:rFonts w:ascii="Times New Roman" w:hAnsi="Times New Roman"/>
          <w:b/>
          <w:i/>
          <w:sz w:val="24"/>
          <w:szCs w:val="24"/>
        </w:rPr>
      </w:pPr>
    </w:p>
    <w:p w14:paraId="3B83F92E" w14:textId="4E266F81" w:rsidR="00921751" w:rsidRDefault="00921751" w:rsidP="00AF630A">
      <w:pPr>
        <w:autoSpaceDE w:val="0"/>
        <w:autoSpaceDN w:val="0"/>
        <w:adjustRightInd w:val="0"/>
        <w:spacing w:after="0" w:line="240" w:lineRule="auto"/>
        <w:rPr>
          <w:rStyle w:val="bodycopy1"/>
          <w:rFonts w:ascii="Times New Roman" w:hAnsi="Times New Roman"/>
          <w:sz w:val="24"/>
          <w:szCs w:val="24"/>
        </w:rPr>
      </w:pPr>
      <w:r w:rsidRPr="00C0775A">
        <w:rPr>
          <w:rFonts w:ascii="Times New Roman" w:hAnsi="Times New Roman"/>
          <w:b/>
          <w:i/>
          <w:sz w:val="24"/>
          <w:szCs w:val="24"/>
        </w:rPr>
        <w:t>EXR</w:t>
      </w:r>
      <w:r w:rsidRPr="00C0775A">
        <w:rPr>
          <w:rFonts w:ascii="Times New Roman" w:hAnsi="Times New Roman"/>
          <w:b/>
          <w:sz w:val="24"/>
          <w:szCs w:val="24"/>
        </w:rPr>
        <w:t xml:space="preserve"> =</w:t>
      </w:r>
      <w:r w:rsidRPr="00C0775A">
        <w:rPr>
          <w:rFonts w:ascii="Times New Roman" w:hAnsi="Times New Roman"/>
          <w:sz w:val="24"/>
          <w:szCs w:val="24"/>
        </w:rPr>
        <w:t xml:space="preserve"> Exchange rate (Control variable): </w:t>
      </w:r>
      <w:r w:rsidRPr="00C0775A">
        <w:rPr>
          <w:rStyle w:val="bodycopy1"/>
          <w:rFonts w:ascii="Times New Roman" w:hAnsi="Times New Roman"/>
          <w:sz w:val="24"/>
          <w:szCs w:val="24"/>
        </w:rPr>
        <w:t xml:space="preserve">is a relative price that measures the worth of one country’s domestic currency in terms of another country’s currency. It relates the purchasing power of domestic currency in terms of volume of goods and services it can purchase vis-à-vis a foreign trading partners currency over the specific period of time. </w:t>
      </w:r>
    </w:p>
    <w:p w14:paraId="50FB34AC" w14:textId="77777777" w:rsidR="0025624C" w:rsidRDefault="0025624C" w:rsidP="00CA7F87">
      <w:pPr>
        <w:autoSpaceDE w:val="0"/>
        <w:autoSpaceDN w:val="0"/>
        <w:adjustRightInd w:val="0"/>
        <w:spacing w:after="0" w:line="240" w:lineRule="auto"/>
        <w:ind w:left="720"/>
        <w:jc w:val="both"/>
        <w:rPr>
          <w:rFonts w:ascii="Times New Roman" w:hAnsi="Times New Roman"/>
          <w:sz w:val="24"/>
          <w:szCs w:val="24"/>
        </w:rPr>
      </w:pPr>
    </w:p>
    <w:p w14:paraId="502097F4" w14:textId="6B4B56D2" w:rsidR="0025624C" w:rsidRPr="00F15AD2" w:rsidRDefault="0025624C" w:rsidP="00F15AD2">
      <w:pPr>
        <w:pStyle w:val="ListParagraph"/>
        <w:numPr>
          <w:ilvl w:val="0"/>
          <w:numId w:val="34"/>
        </w:numPr>
        <w:tabs>
          <w:tab w:val="left" w:pos="900"/>
        </w:tabs>
        <w:spacing w:after="0" w:line="240" w:lineRule="auto"/>
        <w:ind w:left="284"/>
        <w:jc w:val="both"/>
        <w:rPr>
          <w:rFonts w:ascii="Times New Roman" w:hAnsi="Times New Roman"/>
          <w:b/>
          <w:kern w:val="16"/>
          <w:sz w:val="24"/>
          <w:szCs w:val="24"/>
          <w:lang w:val="en-GB"/>
        </w:rPr>
      </w:pPr>
      <w:r w:rsidRPr="00F15AD2">
        <w:rPr>
          <w:rFonts w:ascii="Times New Roman" w:hAnsi="Times New Roman"/>
          <w:b/>
          <w:kern w:val="16"/>
          <w:sz w:val="24"/>
          <w:szCs w:val="24"/>
          <w:lang w:val="en-GB"/>
        </w:rPr>
        <w:t>Techniques of Data Analysis</w:t>
      </w:r>
    </w:p>
    <w:p w14:paraId="0D7253F2" w14:textId="4883D693" w:rsidR="0025624C" w:rsidRPr="00C0775A" w:rsidRDefault="0025624C" w:rsidP="00F15AD2">
      <w:pPr>
        <w:autoSpaceDE w:val="0"/>
        <w:autoSpaceDN w:val="0"/>
        <w:adjustRightInd w:val="0"/>
        <w:spacing w:after="0" w:line="240" w:lineRule="auto"/>
        <w:rPr>
          <w:rFonts w:ascii="Times New Roman" w:hAnsi="Times New Roman"/>
          <w:sz w:val="24"/>
          <w:szCs w:val="24"/>
        </w:rPr>
      </w:pPr>
      <w:r w:rsidRPr="007C3253">
        <w:rPr>
          <w:rFonts w:ascii="Times New Roman" w:hAnsi="Times New Roman"/>
          <w:kern w:val="16"/>
          <w:sz w:val="24"/>
          <w:szCs w:val="24"/>
        </w:rPr>
        <w:t>The study employ</w:t>
      </w:r>
      <w:r w:rsidR="001B57A8">
        <w:rPr>
          <w:rFonts w:ascii="Times New Roman" w:hAnsi="Times New Roman"/>
          <w:kern w:val="16"/>
          <w:sz w:val="24"/>
          <w:szCs w:val="24"/>
        </w:rPr>
        <w:t>ed</w:t>
      </w:r>
      <w:r w:rsidRPr="007C3253">
        <w:rPr>
          <w:rFonts w:ascii="Times New Roman" w:hAnsi="Times New Roman"/>
          <w:kern w:val="16"/>
          <w:sz w:val="24"/>
          <w:szCs w:val="24"/>
        </w:rPr>
        <w:t xml:space="preserve"> </w:t>
      </w:r>
      <w:r>
        <w:rPr>
          <w:rFonts w:ascii="Times New Roman" w:hAnsi="Times New Roman"/>
          <w:kern w:val="16"/>
          <w:sz w:val="24"/>
          <w:szCs w:val="24"/>
        </w:rPr>
        <w:t>both descriptive statistics and</w:t>
      </w:r>
      <w:r w:rsidRPr="007C3253">
        <w:rPr>
          <w:rFonts w:ascii="Times New Roman" w:hAnsi="Times New Roman"/>
          <w:kern w:val="16"/>
          <w:sz w:val="24"/>
          <w:szCs w:val="24"/>
        </w:rPr>
        <w:t xml:space="preserve"> econometric tools in analyzing the data. The descriptive tools consist of descriptive statistics</w:t>
      </w:r>
      <w:r>
        <w:rPr>
          <w:rFonts w:ascii="Times New Roman" w:hAnsi="Times New Roman"/>
          <w:kern w:val="16"/>
          <w:sz w:val="24"/>
          <w:szCs w:val="24"/>
        </w:rPr>
        <w:t xml:space="preserve"> (means, standard deviation, skewedness, kurtosis and Jaque-Bera) and</w:t>
      </w:r>
      <w:r w:rsidRPr="007C3253">
        <w:rPr>
          <w:rFonts w:ascii="Times New Roman" w:hAnsi="Times New Roman"/>
          <w:kern w:val="16"/>
          <w:sz w:val="24"/>
          <w:szCs w:val="24"/>
        </w:rPr>
        <w:t xml:space="preserve"> graphs, while the econometric tools include </w:t>
      </w:r>
      <w:r>
        <w:rPr>
          <w:rFonts w:ascii="Times New Roman" w:hAnsi="Times New Roman"/>
          <w:kern w:val="16"/>
          <w:sz w:val="24"/>
          <w:szCs w:val="24"/>
        </w:rPr>
        <w:t>the</w:t>
      </w:r>
      <w:r w:rsidRPr="007C3253">
        <w:rPr>
          <w:rFonts w:ascii="Times New Roman" w:hAnsi="Times New Roman"/>
          <w:kern w:val="16"/>
          <w:sz w:val="24"/>
          <w:szCs w:val="24"/>
        </w:rPr>
        <w:t xml:space="preserve"> </w:t>
      </w:r>
      <w:r>
        <w:rPr>
          <w:rFonts w:ascii="Times New Roman" w:hAnsi="Times New Roman"/>
          <w:kern w:val="16"/>
          <w:sz w:val="24"/>
          <w:szCs w:val="24"/>
        </w:rPr>
        <w:t>E-GARCH,</w:t>
      </w:r>
      <w:r w:rsidRPr="007C3253">
        <w:rPr>
          <w:rFonts w:ascii="Times New Roman" w:hAnsi="Times New Roman"/>
          <w:kern w:val="16"/>
          <w:sz w:val="24"/>
          <w:szCs w:val="24"/>
        </w:rPr>
        <w:t xml:space="preserve"> </w:t>
      </w:r>
      <w:r>
        <w:rPr>
          <w:rFonts w:ascii="Times New Roman" w:hAnsi="Times New Roman"/>
          <w:kern w:val="16"/>
          <w:sz w:val="24"/>
          <w:szCs w:val="24"/>
        </w:rPr>
        <w:t xml:space="preserve">Unit </w:t>
      </w:r>
      <w:r w:rsidRPr="007C3253">
        <w:rPr>
          <w:rFonts w:ascii="Times New Roman" w:hAnsi="Times New Roman"/>
          <w:kern w:val="16"/>
          <w:sz w:val="24"/>
          <w:szCs w:val="24"/>
        </w:rPr>
        <w:t>root test</w:t>
      </w:r>
      <w:r>
        <w:rPr>
          <w:rFonts w:ascii="Times New Roman" w:hAnsi="Times New Roman"/>
          <w:kern w:val="16"/>
          <w:sz w:val="24"/>
          <w:szCs w:val="24"/>
        </w:rPr>
        <w:t>, vector autoregressive, vector error correction model, general impulse response function, and Granger causality tests.</w:t>
      </w:r>
    </w:p>
    <w:p w14:paraId="22B3BE59" w14:textId="77777777" w:rsidR="00100B99" w:rsidRDefault="00100B99" w:rsidP="00C45F51">
      <w:pPr>
        <w:spacing w:after="0" w:line="240" w:lineRule="auto"/>
        <w:jc w:val="both"/>
        <w:rPr>
          <w:rFonts w:ascii="Times New Roman" w:hAnsi="Times New Roman"/>
          <w:b/>
          <w:color w:val="000000"/>
          <w:kern w:val="16"/>
          <w:sz w:val="24"/>
          <w:szCs w:val="24"/>
        </w:rPr>
      </w:pPr>
    </w:p>
    <w:p w14:paraId="76A140DA" w14:textId="10BC939A" w:rsidR="001B57A8" w:rsidRDefault="001B57A8" w:rsidP="00C45F51">
      <w:pPr>
        <w:spacing w:after="0" w:line="240" w:lineRule="auto"/>
        <w:jc w:val="both"/>
        <w:rPr>
          <w:rFonts w:ascii="Times New Roman" w:hAnsi="Times New Roman"/>
          <w:b/>
          <w:color w:val="000000"/>
          <w:kern w:val="16"/>
          <w:sz w:val="24"/>
          <w:szCs w:val="24"/>
        </w:rPr>
      </w:pPr>
      <w:r>
        <w:rPr>
          <w:rFonts w:ascii="Times New Roman" w:hAnsi="Times New Roman"/>
          <w:b/>
          <w:color w:val="000000"/>
          <w:kern w:val="16"/>
          <w:sz w:val="24"/>
          <w:szCs w:val="24"/>
        </w:rPr>
        <w:t>FINDINGS AND INTERPRETATION</w:t>
      </w:r>
    </w:p>
    <w:p w14:paraId="42943F79" w14:textId="04CBADB5" w:rsidR="00D31621" w:rsidRDefault="00D31621" w:rsidP="001B57A8">
      <w:pPr>
        <w:spacing w:after="0" w:line="240" w:lineRule="auto"/>
        <w:jc w:val="both"/>
        <w:rPr>
          <w:rFonts w:ascii="Times New Roman" w:hAnsi="Times New Roman"/>
          <w:color w:val="000000"/>
          <w:kern w:val="16"/>
          <w:sz w:val="24"/>
          <w:szCs w:val="24"/>
        </w:rPr>
      </w:pPr>
      <w:r w:rsidRPr="006E1BDD">
        <w:rPr>
          <w:rFonts w:ascii="Times New Roman" w:hAnsi="Times New Roman"/>
          <w:color w:val="000000"/>
          <w:kern w:val="16"/>
          <w:sz w:val="24"/>
          <w:szCs w:val="24"/>
        </w:rPr>
        <w:t xml:space="preserve">The </w:t>
      </w:r>
      <w:r w:rsidR="001B57A8">
        <w:rPr>
          <w:rFonts w:ascii="Times New Roman" w:hAnsi="Times New Roman"/>
          <w:color w:val="000000"/>
          <w:kern w:val="16"/>
          <w:sz w:val="24"/>
          <w:szCs w:val="24"/>
        </w:rPr>
        <w:t xml:space="preserve">findings from </w:t>
      </w:r>
      <w:r w:rsidRPr="006E1BDD">
        <w:rPr>
          <w:rFonts w:ascii="Times New Roman" w:hAnsi="Times New Roman"/>
          <w:color w:val="000000"/>
          <w:kern w:val="16"/>
          <w:sz w:val="24"/>
          <w:szCs w:val="24"/>
        </w:rPr>
        <w:t>the descriptive statistics is p</w:t>
      </w:r>
      <w:r>
        <w:rPr>
          <w:rFonts w:ascii="Times New Roman" w:hAnsi="Times New Roman"/>
          <w:color w:val="000000"/>
          <w:kern w:val="16"/>
          <w:sz w:val="24"/>
          <w:szCs w:val="24"/>
        </w:rPr>
        <w:t>resented in Table</w:t>
      </w:r>
      <w:r w:rsidR="001B57A8">
        <w:rPr>
          <w:rFonts w:ascii="Times New Roman" w:hAnsi="Times New Roman"/>
          <w:color w:val="000000"/>
          <w:kern w:val="16"/>
          <w:sz w:val="24"/>
          <w:szCs w:val="24"/>
        </w:rPr>
        <w:t xml:space="preserve"> 3</w:t>
      </w:r>
      <w:r>
        <w:rPr>
          <w:rFonts w:ascii="Times New Roman" w:hAnsi="Times New Roman"/>
          <w:color w:val="000000"/>
          <w:kern w:val="16"/>
          <w:sz w:val="24"/>
          <w:szCs w:val="24"/>
        </w:rPr>
        <w:t>:</w:t>
      </w:r>
    </w:p>
    <w:p w14:paraId="169D2F74" w14:textId="77777777" w:rsidR="00AF630A" w:rsidRDefault="00AF630A" w:rsidP="00C45F51">
      <w:pPr>
        <w:spacing w:after="0" w:line="240" w:lineRule="auto"/>
        <w:ind w:firstLine="720"/>
        <w:jc w:val="both"/>
        <w:rPr>
          <w:rFonts w:ascii="Times New Roman" w:hAnsi="Times New Roman"/>
          <w:b/>
          <w:color w:val="000000"/>
          <w:kern w:val="16"/>
          <w:sz w:val="24"/>
          <w:szCs w:val="24"/>
        </w:rPr>
        <w:sectPr w:rsidR="00AF630A" w:rsidSect="00AF630A">
          <w:type w:val="continuous"/>
          <w:pgSz w:w="12240" w:h="15840"/>
          <w:pgMar w:top="1135" w:right="1440" w:bottom="1440" w:left="1440" w:header="720" w:footer="720" w:gutter="0"/>
          <w:cols w:num="2" w:space="720"/>
          <w:docGrid w:linePitch="360"/>
        </w:sectPr>
      </w:pPr>
    </w:p>
    <w:p w14:paraId="2B752293" w14:textId="77777777" w:rsidR="001B57A8" w:rsidRDefault="001B57A8" w:rsidP="00C45F51">
      <w:pPr>
        <w:spacing w:after="0" w:line="240" w:lineRule="auto"/>
        <w:ind w:firstLine="720"/>
        <w:jc w:val="both"/>
        <w:rPr>
          <w:rFonts w:ascii="Times New Roman" w:hAnsi="Times New Roman"/>
          <w:b/>
          <w:color w:val="000000"/>
          <w:kern w:val="16"/>
          <w:sz w:val="24"/>
          <w:szCs w:val="24"/>
        </w:rPr>
      </w:pPr>
    </w:p>
    <w:p w14:paraId="255268A3" w14:textId="65850217" w:rsidR="005F1037" w:rsidRDefault="005F1037" w:rsidP="00C45F51">
      <w:pPr>
        <w:spacing w:after="0" w:line="240" w:lineRule="auto"/>
        <w:ind w:firstLine="720"/>
        <w:jc w:val="both"/>
        <w:rPr>
          <w:rFonts w:ascii="Times New Roman" w:hAnsi="Times New Roman"/>
          <w:b/>
          <w:color w:val="000000"/>
          <w:kern w:val="16"/>
          <w:sz w:val="24"/>
          <w:szCs w:val="24"/>
        </w:rPr>
      </w:pPr>
    </w:p>
    <w:p w14:paraId="3AAE1422" w14:textId="434725C8" w:rsidR="005F1037" w:rsidRDefault="005F1037" w:rsidP="00C45F51">
      <w:pPr>
        <w:spacing w:after="0" w:line="240" w:lineRule="auto"/>
        <w:ind w:firstLine="720"/>
        <w:jc w:val="both"/>
        <w:rPr>
          <w:rFonts w:ascii="Times New Roman" w:hAnsi="Times New Roman"/>
          <w:b/>
          <w:color w:val="000000"/>
          <w:kern w:val="16"/>
          <w:sz w:val="24"/>
          <w:szCs w:val="24"/>
        </w:rPr>
      </w:pPr>
    </w:p>
    <w:p w14:paraId="1B8143CC" w14:textId="4912B04B" w:rsidR="005F1037" w:rsidRDefault="005F1037" w:rsidP="00C45F51">
      <w:pPr>
        <w:spacing w:after="0" w:line="240" w:lineRule="auto"/>
        <w:ind w:firstLine="720"/>
        <w:jc w:val="both"/>
        <w:rPr>
          <w:rFonts w:ascii="Times New Roman" w:hAnsi="Times New Roman"/>
          <w:b/>
          <w:color w:val="000000"/>
          <w:kern w:val="16"/>
          <w:sz w:val="24"/>
          <w:szCs w:val="24"/>
        </w:rPr>
      </w:pPr>
    </w:p>
    <w:p w14:paraId="4C53E264" w14:textId="2F57425A" w:rsidR="00D31621" w:rsidRPr="006E1BDD" w:rsidRDefault="00D31621" w:rsidP="00C45F51">
      <w:pPr>
        <w:spacing w:after="0" w:line="240" w:lineRule="auto"/>
        <w:ind w:firstLine="720"/>
        <w:jc w:val="both"/>
        <w:rPr>
          <w:rFonts w:ascii="Times New Roman" w:hAnsi="Times New Roman"/>
          <w:b/>
          <w:color w:val="000000"/>
          <w:kern w:val="16"/>
          <w:sz w:val="24"/>
          <w:szCs w:val="24"/>
        </w:rPr>
      </w:pPr>
      <w:r>
        <w:rPr>
          <w:rFonts w:ascii="Times New Roman" w:hAnsi="Times New Roman"/>
          <w:b/>
          <w:color w:val="000000"/>
          <w:kern w:val="16"/>
          <w:sz w:val="24"/>
          <w:szCs w:val="24"/>
        </w:rPr>
        <w:lastRenderedPageBreak/>
        <w:t>Table</w:t>
      </w:r>
      <w:r w:rsidR="001B57A8">
        <w:rPr>
          <w:rFonts w:ascii="Times New Roman" w:hAnsi="Times New Roman"/>
          <w:b/>
          <w:color w:val="000000"/>
          <w:kern w:val="16"/>
          <w:sz w:val="24"/>
          <w:szCs w:val="24"/>
        </w:rPr>
        <w:t xml:space="preserve"> 3</w:t>
      </w:r>
      <w:r>
        <w:rPr>
          <w:rFonts w:ascii="Times New Roman" w:hAnsi="Times New Roman"/>
          <w:b/>
          <w:color w:val="000000"/>
          <w:kern w:val="16"/>
          <w:sz w:val="24"/>
          <w:szCs w:val="24"/>
        </w:rPr>
        <w:t>: Descriptive Statistics</w:t>
      </w:r>
    </w:p>
    <w:tbl>
      <w:tblPr>
        <w:tblW w:w="8948" w:type="dxa"/>
        <w:tblInd w:w="605" w:type="dxa"/>
        <w:tblLayout w:type="fixed"/>
        <w:tblCellMar>
          <w:left w:w="0" w:type="dxa"/>
          <w:right w:w="0" w:type="dxa"/>
        </w:tblCellMar>
        <w:tblLook w:val="0000" w:firstRow="0" w:lastRow="0" w:firstColumn="0" w:lastColumn="0" w:noHBand="0" w:noVBand="0"/>
      </w:tblPr>
      <w:tblGrid>
        <w:gridCol w:w="1310"/>
        <w:gridCol w:w="921"/>
        <w:gridCol w:w="1003"/>
        <w:gridCol w:w="1003"/>
        <w:gridCol w:w="927"/>
        <w:gridCol w:w="927"/>
        <w:gridCol w:w="927"/>
        <w:gridCol w:w="1003"/>
        <w:gridCol w:w="927"/>
      </w:tblGrid>
      <w:tr w:rsidR="00D31621" w:rsidRPr="00E9230C" w14:paraId="41925115" w14:textId="77777777" w:rsidTr="00F15AD2">
        <w:trPr>
          <w:trHeight w:val="391"/>
        </w:trPr>
        <w:tc>
          <w:tcPr>
            <w:tcW w:w="1310" w:type="dxa"/>
            <w:shd w:val="clear" w:color="auto" w:fill="A6A6A6"/>
            <w:vAlign w:val="bottom"/>
          </w:tcPr>
          <w:p w14:paraId="49210393" w14:textId="77777777" w:rsidR="00D31621" w:rsidRPr="003213AE" w:rsidRDefault="00D31621" w:rsidP="00C45F51">
            <w:pPr>
              <w:autoSpaceDE w:val="0"/>
              <w:autoSpaceDN w:val="0"/>
              <w:adjustRightInd w:val="0"/>
              <w:spacing w:after="0" w:line="240" w:lineRule="auto"/>
              <w:rPr>
                <w:rFonts w:ascii="Arial" w:hAnsi="Arial" w:cs="Arial"/>
                <w:sz w:val="18"/>
                <w:szCs w:val="18"/>
              </w:rPr>
            </w:pPr>
          </w:p>
        </w:tc>
        <w:tc>
          <w:tcPr>
            <w:tcW w:w="921" w:type="dxa"/>
            <w:shd w:val="clear" w:color="auto" w:fill="A6A6A6"/>
            <w:vAlign w:val="bottom"/>
          </w:tcPr>
          <w:p w14:paraId="1292F1CD" w14:textId="77777777" w:rsidR="00D31621" w:rsidRPr="003213AE" w:rsidRDefault="00D31621" w:rsidP="00C45F51">
            <w:pPr>
              <w:autoSpaceDE w:val="0"/>
              <w:autoSpaceDN w:val="0"/>
              <w:adjustRightInd w:val="0"/>
              <w:spacing w:after="0" w:line="240" w:lineRule="auto"/>
              <w:rPr>
                <w:rFonts w:ascii="Arial" w:hAnsi="Arial" w:cs="Arial"/>
                <w:sz w:val="18"/>
                <w:szCs w:val="18"/>
              </w:rPr>
            </w:pPr>
            <w:r w:rsidRPr="003213AE">
              <w:rPr>
                <w:rFonts w:ascii="Arial" w:hAnsi="Arial" w:cs="Arial"/>
                <w:sz w:val="18"/>
                <w:szCs w:val="18"/>
              </w:rPr>
              <w:t>RGDP</w:t>
            </w:r>
          </w:p>
        </w:tc>
        <w:tc>
          <w:tcPr>
            <w:tcW w:w="1003" w:type="dxa"/>
            <w:shd w:val="clear" w:color="auto" w:fill="A6A6A6"/>
            <w:vAlign w:val="bottom"/>
          </w:tcPr>
          <w:p w14:paraId="2A52FF52" w14:textId="77777777" w:rsidR="00D31621" w:rsidRPr="003213AE" w:rsidRDefault="00D31621" w:rsidP="00C45F51">
            <w:pPr>
              <w:autoSpaceDE w:val="0"/>
              <w:autoSpaceDN w:val="0"/>
              <w:adjustRightInd w:val="0"/>
              <w:spacing w:after="0" w:line="240" w:lineRule="auto"/>
              <w:rPr>
                <w:rFonts w:ascii="Arial" w:hAnsi="Arial" w:cs="Arial"/>
                <w:sz w:val="18"/>
                <w:szCs w:val="18"/>
              </w:rPr>
            </w:pPr>
            <w:r w:rsidRPr="003213AE">
              <w:rPr>
                <w:rFonts w:ascii="Arial" w:hAnsi="Arial" w:cs="Arial"/>
                <w:sz w:val="18"/>
                <w:szCs w:val="18"/>
              </w:rPr>
              <w:t>M2GDP</w:t>
            </w:r>
          </w:p>
        </w:tc>
        <w:tc>
          <w:tcPr>
            <w:tcW w:w="1003" w:type="dxa"/>
            <w:shd w:val="clear" w:color="auto" w:fill="A6A6A6"/>
            <w:vAlign w:val="bottom"/>
          </w:tcPr>
          <w:p w14:paraId="4D19A8F5" w14:textId="77777777" w:rsidR="00D31621" w:rsidRPr="003213AE" w:rsidRDefault="00D31621" w:rsidP="00C45F51">
            <w:pPr>
              <w:autoSpaceDE w:val="0"/>
              <w:autoSpaceDN w:val="0"/>
              <w:adjustRightInd w:val="0"/>
              <w:spacing w:after="0" w:line="240" w:lineRule="auto"/>
              <w:rPr>
                <w:rFonts w:ascii="Arial" w:hAnsi="Arial" w:cs="Arial"/>
                <w:sz w:val="18"/>
                <w:szCs w:val="18"/>
              </w:rPr>
            </w:pPr>
            <w:r w:rsidRPr="003213AE">
              <w:rPr>
                <w:rFonts w:ascii="Arial" w:hAnsi="Arial" w:cs="Arial"/>
                <w:sz w:val="18"/>
                <w:szCs w:val="18"/>
              </w:rPr>
              <w:t>PTDS</w:t>
            </w:r>
          </w:p>
        </w:tc>
        <w:tc>
          <w:tcPr>
            <w:tcW w:w="927" w:type="dxa"/>
            <w:shd w:val="clear" w:color="auto" w:fill="A6A6A6"/>
            <w:vAlign w:val="bottom"/>
          </w:tcPr>
          <w:p w14:paraId="6C73935F" w14:textId="77777777" w:rsidR="00D31621" w:rsidRPr="003213AE" w:rsidRDefault="00D31621" w:rsidP="00C45F51">
            <w:pPr>
              <w:autoSpaceDE w:val="0"/>
              <w:autoSpaceDN w:val="0"/>
              <w:adjustRightInd w:val="0"/>
              <w:spacing w:after="0" w:line="240" w:lineRule="auto"/>
              <w:rPr>
                <w:rFonts w:ascii="Arial" w:hAnsi="Arial" w:cs="Arial"/>
                <w:sz w:val="18"/>
                <w:szCs w:val="18"/>
              </w:rPr>
            </w:pPr>
            <w:r w:rsidRPr="003213AE">
              <w:rPr>
                <w:rFonts w:ascii="Arial" w:hAnsi="Arial" w:cs="Arial"/>
                <w:sz w:val="18"/>
                <w:szCs w:val="18"/>
              </w:rPr>
              <w:t>LDS</w:t>
            </w:r>
          </w:p>
        </w:tc>
        <w:tc>
          <w:tcPr>
            <w:tcW w:w="927" w:type="dxa"/>
            <w:shd w:val="clear" w:color="auto" w:fill="A6A6A6"/>
            <w:vAlign w:val="bottom"/>
          </w:tcPr>
          <w:p w14:paraId="28E99195" w14:textId="77777777" w:rsidR="00D31621" w:rsidRPr="003213AE" w:rsidRDefault="00D31621" w:rsidP="00C45F51">
            <w:pPr>
              <w:autoSpaceDE w:val="0"/>
              <w:autoSpaceDN w:val="0"/>
              <w:adjustRightInd w:val="0"/>
              <w:spacing w:after="0" w:line="240" w:lineRule="auto"/>
              <w:rPr>
                <w:rFonts w:ascii="Arial" w:hAnsi="Arial" w:cs="Arial"/>
                <w:sz w:val="18"/>
                <w:szCs w:val="18"/>
              </w:rPr>
            </w:pPr>
            <w:r w:rsidRPr="003213AE">
              <w:rPr>
                <w:rFonts w:ascii="Arial" w:hAnsi="Arial" w:cs="Arial"/>
                <w:sz w:val="18"/>
                <w:szCs w:val="18"/>
              </w:rPr>
              <w:t>LR</w:t>
            </w:r>
          </w:p>
        </w:tc>
        <w:tc>
          <w:tcPr>
            <w:tcW w:w="927" w:type="dxa"/>
            <w:shd w:val="clear" w:color="auto" w:fill="A6A6A6"/>
            <w:vAlign w:val="bottom"/>
          </w:tcPr>
          <w:p w14:paraId="2382D487" w14:textId="77777777" w:rsidR="00D31621" w:rsidRPr="003213AE" w:rsidRDefault="00D31621" w:rsidP="00C45F51">
            <w:pPr>
              <w:autoSpaceDE w:val="0"/>
              <w:autoSpaceDN w:val="0"/>
              <w:adjustRightInd w:val="0"/>
              <w:spacing w:after="0" w:line="240" w:lineRule="auto"/>
              <w:rPr>
                <w:rFonts w:ascii="Arial" w:hAnsi="Arial" w:cs="Arial"/>
                <w:sz w:val="18"/>
                <w:szCs w:val="18"/>
              </w:rPr>
            </w:pPr>
            <w:r w:rsidRPr="003213AE">
              <w:rPr>
                <w:rFonts w:ascii="Arial" w:hAnsi="Arial" w:cs="Arial"/>
                <w:sz w:val="18"/>
                <w:szCs w:val="18"/>
              </w:rPr>
              <w:t>SMR</w:t>
            </w:r>
          </w:p>
        </w:tc>
        <w:tc>
          <w:tcPr>
            <w:tcW w:w="1003" w:type="dxa"/>
            <w:shd w:val="clear" w:color="auto" w:fill="A6A6A6"/>
            <w:vAlign w:val="bottom"/>
          </w:tcPr>
          <w:p w14:paraId="6D1FF8E3" w14:textId="77777777" w:rsidR="00D31621" w:rsidRPr="003213AE" w:rsidRDefault="00D31621" w:rsidP="00C45F51">
            <w:pPr>
              <w:autoSpaceDE w:val="0"/>
              <w:autoSpaceDN w:val="0"/>
              <w:adjustRightInd w:val="0"/>
              <w:spacing w:after="0" w:line="240" w:lineRule="auto"/>
              <w:rPr>
                <w:rFonts w:ascii="Arial" w:hAnsi="Arial" w:cs="Arial"/>
                <w:sz w:val="18"/>
                <w:szCs w:val="18"/>
              </w:rPr>
            </w:pPr>
            <w:r w:rsidRPr="003213AE">
              <w:rPr>
                <w:rFonts w:ascii="Arial" w:hAnsi="Arial" w:cs="Arial"/>
                <w:sz w:val="18"/>
                <w:szCs w:val="18"/>
              </w:rPr>
              <w:t>INF</w:t>
            </w:r>
          </w:p>
        </w:tc>
        <w:tc>
          <w:tcPr>
            <w:tcW w:w="927" w:type="dxa"/>
            <w:shd w:val="clear" w:color="auto" w:fill="A6A6A6"/>
            <w:vAlign w:val="bottom"/>
          </w:tcPr>
          <w:p w14:paraId="7E9BFEFE" w14:textId="77777777" w:rsidR="00D31621" w:rsidRPr="003213AE" w:rsidRDefault="00D31621" w:rsidP="00C45F51">
            <w:pPr>
              <w:autoSpaceDE w:val="0"/>
              <w:autoSpaceDN w:val="0"/>
              <w:adjustRightInd w:val="0"/>
              <w:spacing w:after="0" w:line="240" w:lineRule="auto"/>
              <w:rPr>
                <w:rFonts w:ascii="Arial" w:hAnsi="Arial" w:cs="Arial"/>
                <w:sz w:val="18"/>
                <w:szCs w:val="18"/>
              </w:rPr>
            </w:pPr>
            <w:r w:rsidRPr="003213AE">
              <w:rPr>
                <w:rFonts w:ascii="Arial" w:hAnsi="Arial" w:cs="Arial"/>
                <w:sz w:val="18"/>
                <w:szCs w:val="18"/>
              </w:rPr>
              <w:t>EXR</w:t>
            </w:r>
          </w:p>
        </w:tc>
      </w:tr>
      <w:tr w:rsidR="00D31621" w:rsidRPr="00E9230C" w14:paraId="5C31F563" w14:textId="77777777" w:rsidTr="00F15AD2">
        <w:trPr>
          <w:trHeight w:val="391"/>
        </w:trPr>
        <w:tc>
          <w:tcPr>
            <w:tcW w:w="1310" w:type="dxa"/>
            <w:shd w:val="clear" w:color="auto" w:fill="BFBFBF"/>
            <w:vAlign w:val="bottom"/>
          </w:tcPr>
          <w:p w14:paraId="253D6161" w14:textId="77777777" w:rsidR="00D31621" w:rsidRPr="003213AE" w:rsidRDefault="00D31621" w:rsidP="00C45F51">
            <w:pPr>
              <w:autoSpaceDE w:val="0"/>
              <w:autoSpaceDN w:val="0"/>
              <w:adjustRightInd w:val="0"/>
              <w:spacing w:after="0" w:line="240" w:lineRule="auto"/>
              <w:rPr>
                <w:rFonts w:ascii="Arial" w:hAnsi="Arial" w:cs="Arial"/>
                <w:sz w:val="18"/>
                <w:szCs w:val="18"/>
              </w:rPr>
            </w:pPr>
            <w:r w:rsidRPr="003213AE">
              <w:rPr>
                <w:rFonts w:ascii="Arial" w:hAnsi="Arial" w:cs="Arial"/>
                <w:sz w:val="18"/>
                <w:szCs w:val="18"/>
              </w:rPr>
              <w:t> Mean</w:t>
            </w:r>
          </w:p>
        </w:tc>
        <w:tc>
          <w:tcPr>
            <w:tcW w:w="921" w:type="dxa"/>
            <w:vAlign w:val="bottom"/>
          </w:tcPr>
          <w:p w14:paraId="3ECD9C68"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34514440</w:t>
            </w:r>
          </w:p>
        </w:tc>
        <w:tc>
          <w:tcPr>
            <w:tcW w:w="1003" w:type="dxa"/>
            <w:vAlign w:val="bottom"/>
          </w:tcPr>
          <w:p w14:paraId="70F61746"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14.50945</w:t>
            </w:r>
          </w:p>
        </w:tc>
        <w:tc>
          <w:tcPr>
            <w:tcW w:w="1003" w:type="dxa"/>
            <w:vAlign w:val="bottom"/>
          </w:tcPr>
          <w:p w14:paraId="2BE7BBF0"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0.493214</w:t>
            </w:r>
          </w:p>
        </w:tc>
        <w:tc>
          <w:tcPr>
            <w:tcW w:w="927" w:type="dxa"/>
            <w:vAlign w:val="bottom"/>
          </w:tcPr>
          <w:p w14:paraId="7421A20D"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45.77340</w:t>
            </w:r>
          </w:p>
        </w:tc>
        <w:tc>
          <w:tcPr>
            <w:tcW w:w="927" w:type="dxa"/>
            <w:vAlign w:val="bottom"/>
          </w:tcPr>
          <w:p w14:paraId="4952D1F2"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22.49844</w:t>
            </w:r>
          </w:p>
        </w:tc>
        <w:tc>
          <w:tcPr>
            <w:tcW w:w="927" w:type="dxa"/>
            <w:vAlign w:val="bottom"/>
          </w:tcPr>
          <w:p w14:paraId="094D0942"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16.63664</w:t>
            </w:r>
          </w:p>
        </w:tc>
        <w:tc>
          <w:tcPr>
            <w:tcW w:w="1003" w:type="dxa"/>
            <w:vAlign w:val="bottom"/>
          </w:tcPr>
          <w:p w14:paraId="6B68E25F"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19.96828</w:t>
            </w:r>
          </w:p>
        </w:tc>
        <w:tc>
          <w:tcPr>
            <w:tcW w:w="927" w:type="dxa"/>
            <w:vAlign w:val="bottom"/>
          </w:tcPr>
          <w:p w14:paraId="31C13599"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86.14242</w:t>
            </w:r>
          </w:p>
        </w:tc>
      </w:tr>
      <w:tr w:rsidR="00D31621" w:rsidRPr="00E9230C" w14:paraId="42BB368E" w14:textId="77777777" w:rsidTr="00F15AD2">
        <w:trPr>
          <w:trHeight w:val="391"/>
        </w:trPr>
        <w:tc>
          <w:tcPr>
            <w:tcW w:w="1310" w:type="dxa"/>
            <w:shd w:val="clear" w:color="auto" w:fill="BFBFBF"/>
            <w:vAlign w:val="bottom"/>
          </w:tcPr>
          <w:p w14:paraId="039FC9C2" w14:textId="77777777" w:rsidR="00D31621" w:rsidRPr="003213AE" w:rsidRDefault="00D31621" w:rsidP="00C45F51">
            <w:pPr>
              <w:autoSpaceDE w:val="0"/>
              <w:autoSpaceDN w:val="0"/>
              <w:adjustRightInd w:val="0"/>
              <w:spacing w:after="0" w:line="240" w:lineRule="auto"/>
              <w:rPr>
                <w:rFonts w:ascii="Arial" w:hAnsi="Arial" w:cs="Arial"/>
                <w:sz w:val="18"/>
                <w:szCs w:val="18"/>
              </w:rPr>
            </w:pPr>
            <w:r w:rsidRPr="003213AE">
              <w:rPr>
                <w:rFonts w:ascii="Arial" w:hAnsi="Arial" w:cs="Arial"/>
                <w:sz w:val="18"/>
                <w:szCs w:val="18"/>
              </w:rPr>
              <w:t> Median</w:t>
            </w:r>
          </w:p>
        </w:tc>
        <w:tc>
          <w:tcPr>
            <w:tcW w:w="921" w:type="dxa"/>
            <w:shd w:val="clear" w:color="auto" w:fill="FFFFFF"/>
            <w:vAlign w:val="bottom"/>
          </w:tcPr>
          <w:p w14:paraId="240BD572"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25070134</w:t>
            </w:r>
          </w:p>
        </w:tc>
        <w:tc>
          <w:tcPr>
            <w:tcW w:w="1003" w:type="dxa"/>
            <w:shd w:val="clear" w:color="auto" w:fill="FFFFFF"/>
            <w:vAlign w:val="bottom"/>
          </w:tcPr>
          <w:p w14:paraId="75083234"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12.91250</w:t>
            </w:r>
          </w:p>
        </w:tc>
        <w:tc>
          <w:tcPr>
            <w:tcW w:w="1003" w:type="dxa"/>
            <w:shd w:val="clear" w:color="auto" w:fill="FFFFFF"/>
            <w:vAlign w:val="bottom"/>
          </w:tcPr>
          <w:p w14:paraId="567AF325"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0.401773</w:t>
            </w:r>
          </w:p>
        </w:tc>
        <w:tc>
          <w:tcPr>
            <w:tcW w:w="927" w:type="dxa"/>
            <w:shd w:val="clear" w:color="auto" w:fill="FFFFFF"/>
            <w:vAlign w:val="bottom"/>
          </w:tcPr>
          <w:p w14:paraId="45CEAED4"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45.02500</w:t>
            </w:r>
          </w:p>
        </w:tc>
        <w:tc>
          <w:tcPr>
            <w:tcW w:w="927" w:type="dxa"/>
            <w:shd w:val="clear" w:color="auto" w:fill="FFFFFF"/>
            <w:vAlign w:val="bottom"/>
          </w:tcPr>
          <w:p w14:paraId="2515D36F"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21.93000</w:t>
            </w:r>
          </w:p>
        </w:tc>
        <w:tc>
          <w:tcPr>
            <w:tcW w:w="927" w:type="dxa"/>
            <w:shd w:val="clear" w:color="auto" w:fill="FFFFFF"/>
            <w:vAlign w:val="bottom"/>
          </w:tcPr>
          <w:p w14:paraId="515D09B0"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20.17040</w:t>
            </w:r>
          </w:p>
        </w:tc>
        <w:tc>
          <w:tcPr>
            <w:tcW w:w="1003" w:type="dxa"/>
            <w:shd w:val="clear" w:color="auto" w:fill="FFFFFF"/>
            <w:vAlign w:val="bottom"/>
          </w:tcPr>
          <w:p w14:paraId="79497FE6"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12.45500</w:t>
            </w:r>
          </w:p>
        </w:tc>
        <w:tc>
          <w:tcPr>
            <w:tcW w:w="927" w:type="dxa"/>
            <w:shd w:val="clear" w:color="auto" w:fill="FFFFFF"/>
            <w:vAlign w:val="bottom"/>
          </w:tcPr>
          <w:p w14:paraId="13BC8807"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107.2600</w:t>
            </w:r>
          </w:p>
        </w:tc>
      </w:tr>
      <w:tr w:rsidR="00D31621" w:rsidRPr="00E9230C" w14:paraId="66BAB797" w14:textId="77777777" w:rsidTr="00F15AD2">
        <w:trPr>
          <w:trHeight w:val="391"/>
        </w:trPr>
        <w:tc>
          <w:tcPr>
            <w:tcW w:w="1310" w:type="dxa"/>
            <w:shd w:val="clear" w:color="auto" w:fill="BFBFBF"/>
            <w:vAlign w:val="bottom"/>
          </w:tcPr>
          <w:p w14:paraId="2328C067" w14:textId="77777777" w:rsidR="00D31621" w:rsidRPr="003213AE" w:rsidRDefault="00D31621" w:rsidP="00C45F51">
            <w:pPr>
              <w:autoSpaceDE w:val="0"/>
              <w:autoSpaceDN w:val="0"/>
              <w:adjustRightInd w:val="0"/>
              <w:spacing w:after="0" w:line="240" w:lineRule="auto"/>
              <w:rPr>
                <w:rFonts w:ascii="Arial" w:hAnsi="Arial" w:cs="Arial"/>
                <w:sz w:val="18"/>
                <w:szCs w:val="18"/>
              </w:rPr>
            </w:pPr>
            <w:r w:rsidRPr="003213AE">
              <w:rPr>
                <w:rFonts w:ascii="Arial" w:hAnsi="Arial" w:cs="Arial"/>
                <w:sz w:val="18"/>
                <w:szCs w:val="18"/>
              </w:rPr>
              <w:t> Maximum</w:t>
            </w:r>
          </w:p>
        </w:tc>
        <w:tc>
          <w:tcPr>
            <w:tcW w:w="921" w:type="dxa"/>
            <w:shd w:val="clear" w:color="auto" w:fill="FFFFFF"/>
            <w:vAlign w:val="bottom"/>
          </w:tcPr>
          <w:p w14:paraId="6D69E896"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69023930</w:t>
            </w:r>
          </w:p>
        </w:tc>
        <w:tc>
          <w:tcPr>
            <w:tcW w:w="1003" w:type="dxa"/>
            <w:shd w:val="clear" w:color="auto" w:fill="FFFFFF"/>
            <w:vAlign w:val="bottom"/>
          </w:tcPr>
          <w:p w14:paraId="130CB30A"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21.54000</w:t>
            </w:r>
          </w:p>
        </w:tc>
        <w:tc>
          <w:tcPr>
            <w:tcW w:w="1003" w:type="dxa"/>
            <w:shd w:val="clear" w:color="auto" w:fill="FFFFFF"/>
            <w:vAlign w:val="bottom"/>
          </w:tcPr>
          <w:p w14:paraId="693D3383"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0.868393</w:t>
            </w:r>
          </w:p>
        </w:tc>
        <w:tc>
          <w:tcPr>
            <w:tcW w:w="927" w:type="dxa"/>
            <w:shd w:val="clear" w:color="auto" w:fill="FFFFFF"/>
            <w:vAlign w:val="bottom"/>
          </w:tcPr>
          <w:p w14:paraId="6BEE2139"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65.00000</w:t>
            </w:r>
          </w:p>
        </w:tc>
        <w:tc>
          <w:tcPr>
            <w:tcW w:w="927" w:type="dxa"/>
            <w:shd w:val="clear" w:color="auto" w:fill="FFFFFF"/>
            <w:vAlign w:val="bottom"/>
          </w:tcPr>
          <w:p w14:paraId="297D727B"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45.30000</w:t>
            </w:r>
          </w:p>
        </w:tc>
        <w:tc>
          <w:tcPr>
            <w:tcW w:w="927" w:type="dxa"/>
            <w:shd w:val="clear" w:color="auto" w:fill="FFFFFF"/>
            <w:vAlign w:val="bottom"/>
          </w:tcPr>
          <w:p w14:paraId="4C9DAC61"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83.69824</w:t>
            </w:r>
          </w:p>
        </w:tc>
        <w:tc>
          <w:tcPr>
            <w:tcW w:w="1003" w:type="dxa"/>
            <w:shd w:val="clear" w:color="auto" w:fill="FFFFFF"/>
            <w:vAlign w:val="bottom"/>
          </w:tcPr>
          <w:p w14:paraId="57EADAF5"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87.84000</w:t>
            </w:r>
          </w:p>
        </w:tc>
        <w:tc>
          <w:tcPr>
            <w:tcW w:w="927" w:type="dxa"/>
            <w:shd w:val="clear" w:color="auto" w:fill="FFFFFF"/>
            <w:vAlign w:val="bottom"/>
          </w:tcPr>
          <w:p w14:paraId="67DEBB0C"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305.2000</w:t>
            </w:r>
          </w:p>
        </w:tc>
      </w:tr>
      <w:tr w:rsidR="00D31621" w:rsidRPr="00E9230C" w14:paraId="75C352F1" w14:textId="77777777" w:rsidTr="00F15AD2">
        <w:trPr>
          <w:trHeight w:val="391"/>
        </w:trPr>
        <w:tc>
          <w:tcPr>
            <w:tcW w:w="1310" w:type="dxa"/>
            <w:shd w:val="clear" w:color="auto" w:fill="BFBFBF"/>
            <w:vAlign w:val="bottom"/>
          </w:tcPr>
          <w:p w14:paraId="2421FBD7" w14:textId="77777777" w:rsidR="00D31621" w:rsidRPr="003213AE" w:rsidRDefault="00D31621" w:rsidP="00C45F51">
            <w:pPr>
              <w:autoSpaceDE w:val="0"/>
              <w:autoSpaceDN w:val="0"/>
              <w:adjustRightInd w:val="0"/>
              <w:spacing w:after="0" w:line="240" w:lineRule="auto"/>
              <w:rPr>
                <w:rFonts w:ascii="Arial" w:hAnsi="Arial" w:cs="Arial"/>
                <w:sz w:val="18"/>
                <w:szCs w:val="18"/>
              </w:rPr>
            </w:pPr>
            <w:r w:rsidRPr="003213AE">
              <w:rPr>
                <w:rFonts w:ascii="Arial" w:hAnsi="Arial" w:cs="Arial"/>
                <w:sz w:val="18"/>
                <w:szCs w:val="18"/>
              </w:rPr>
              <w:t> Minimum</w:t>
            </w:r>
          </w:p>
        </w:tc>
        <w:tc>
          <w:tcPr>
            <w:tcW w:w="921" w:type="dxa"/>
            <w:shd w:val="clear" w:color="auto" w:fill="FFFFFF"/>
            <w:vAlign w:val="bottom"/>
          </w:tcPr>
          <w:p w14:paraId="46C734BB"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14953913</w:t>
            </w:r>
          </w:p>
        </w:tc>
        <w:tc>
          <w:tcPr>
            <w:tcW w:w="1003" w:type="dxa"/>
            <w:shd w:val="clear" w:color="auto" w:fill="FFFFFF"/>
            <w:vAlign w:val="bottom"/>
          </w:tcPr>
          <w:p w14:paraId="633ECAAA"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9.200000</w:t>
            </w:r>
          </w:p>
        </w:tc>
        <w:tc>
          <w:tcPr>
            <w:tcW w:w="1003" w:type="dxa"/>
            <w:shd w:val="clear" w:color="auto" w:fill="FFFFFF"/>
            <w:vAlign w:val="bottom"/>
          </w:tcPr>
          <w:p w14:paraId="7AF1C8B3"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0.163683</w:t>
            </w:r>
          </w:p>
        </w:tc>
        <w:tc>
          <w:tcPr>
            <w:tcW w:w="927" w:type="dxa"/>
            <w:shd w:val="clear" w:color="auto" w:fill="FFFFFF"/>
            <w:vAlign w:val="bottom"/>
          </w:tcPr>
          <w:p w14:paraId="28AD7F47"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29.10000</w:t>
            </w:r>
          </w:p>
        </w:tc>
        <w:tc>
          <w:tcPr>
            <w:tcW w:w="927" w:type="dxa"/>
            <w:shd w:val="clear" w:color="auto" w:fill="FFFFFF"/>
            <w:vAlign w:val="bottom"/>
          </w:tcPr>
          <w:p w14:paraId="22F89133"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11.00000</w:t>
            </w:r>
          </w:p>
        </w:tc>
        <w:tc>
          <w:tcPr>
            <w:tcW w:w="927" w:type="dxa"/>
            <w:shd w:val="clear" w:color="auto" w:fill="FFFFFF"/>
            <w:vAlign w:val="bottom"/>
          </w:tcPr>
          <w:p w14:paraId="34E7132A"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-61.18502</w:t>
            </w:r>
          </w:p>
        </w:tc>
        <w:tc>
          <w:tcPr>
            <w:tcW w:w="1003" w:type="dxa"/>
            <w:shd w:val="clear" w:color="auto" w:fill="FFFFFF"/>
            <w:vAlign w:val="bottom"/>
          </w:tcPr>
          <w:p w14:paraId="1FD71098"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-2.790000</w:t>
            </w:r>
          </w:p>
        </w:tc>
        <w:tc>
          <w:tcPr>
            <w:tcW w:w="927" w:type="dxa"/>
            <w:shd w:val="clear" w:color="auto" w:fill="FFFFFF"/>
            <w:vAlign w:val="bottom"/>
          </w:tcPr>
          <w:p w14:paraId="18A464FF"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0.850000</w:t>
            </w:r>
          </w:p>
        </w:tc>
      </w:tr>
      <w:tr w:rsidR="00D31621" w:rsidRPr="00E9230C" w14:paraId="2EFA0362" w14:textId="77777777" w:rsidTr="00F15AD2">
        <w:trPr>
          <w:trHeight w:val="391"/>
        </w:trPr>
        <w:tc>
          <w:tcPr>
            <w:tcW w:w="1310" w:type="dxa"/>
            <w:shd w:val="clear" w:color="auto" w:fill="BFBFBF"/>
            <w:vAlign w:val="bottom"/>
          </w:tcPr>
          <w:p w14:paraId="6151CC41" w14:textId="77777777" w:rsidR="00D31621" w:rsidRPr="003213AE" w:rsidRDefault="00D31621" w:rsidP="00C45F51">
            <w:pPr>
              <w:autoSpaceDE w:val="0"/>
              <w:autoSpaceDN w:val="0"/>
              <w:adjustRightInd w:val="0"/>
              <w:spacing w:after="0" w:line="240" w:lineRule="auto"/>
              <w:rPr>
                <w:rFonts w:ascii="Arial" w:hAnsi="Arial" w:cs="Arial"/>
                <w:sz w:val="18"/>
                <w:szCs w:val="18"/>
              </w:rPr>
            </w:pPr>
            <w:r w:rsidRPr="003213AE">
              <w:rPr>
                <w:rFonts w:ascii="Arial" w:hAnsi="Arial" w:cs="Arial"/>
                <w:sz w:val="18"/>
                <w:szCs w:val="18"/>
              </w:rPr>
              <w:t> Std. Dev.</w:t>
            </w:r>
          </w:p>
        </w:tc>
        <w:tc>
          <w:tcPr>
            <w:tcW w:w="921" w:type="dxa"/>
            <w:shd w:val="clear" w:color="auto" w:fill="FFFFFF"/>
            <w:vAlign w:val="bottom"/>
          </w:tcPr>
          <w:p w14:paraId="1A15B840"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18094474</w:t>
            </w:r>
          </w:p>
        </w:tc>
        <w:tc>
          <w:tcPr>
            <w:tcW w:w="1003" w:type="dxa"/>
            <w:shd w:val="clear" w:color="auto" w:fill="FFFFFF"/>
            <w:vAlign w:val="bottom"/>
          </w:tcPr>
          <w:p w14:paraId="4E4A3289"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3.837855</w:t>
            </w:r>
          </w:p>
        </w:tc>
        <w:tc>
          <w:tcPr>
            <w:tcW w:w="1003" w:type="dxa"/>
            <w:shd w:val="clear" w:color="auto" w:fill="FFFFFF"/>
            <w:vAlign w:val="bottom"/>
          </w:tcPr>
          <w:p w14:paraId="0F818FF5"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0.259966</w:t>
            </w:r>
          </w:p>
        </w:tc>
        <w:tc>
          <w:tcPr>
            <w:tcW w:w="927" w:type="dxa"/>
            <w:shd w:val="clear" w:color="auto" w:fill="FFFFFF"/>
            <w:vAlign w:val="bottom"/>
          </w:tcPr>
          <w:p w14:paraId="787C69D7"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8.106035</w:t>
            </w:r>
          </w:p>
        </w:tc>
        <w:tc>
          <w:tcPr>
            <w:tcW w:w="927" w:type="dxa"/>
            <w:shd w:val="clear" w:color="auto" w:fill="FFFFFF"/>
            <w:vAlign w:val="bottom"/>
          </w:tcPr>
          <w:p w14:paraId="57F55404"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5.297932</w:t>
            </w:r>
          </w:p>
        </w:tc>
        <w:tc>
          <w:tcPr>
            <w:tcW w:w="927" w:type="dxa"/>
            <w:shd w:val="clear" w:color="auto" w:fill="FFFFFF"/>
            <w:vAlign w:val="bottom"/>
          </w:tcPr>
          <w:p w14:paraId="79A5017B"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26.37397</w:t>
            </w:r>
          </w:p>
        </w:tc>
        <w:tc>
          <w:tcPr>
            <w:tcW w:w="1003" w:type="dxa"/>
            <w:shd w:val="clear" w:color="auto" w:fill="FFFFFF"/>
            <w:vAlign w:val="bottom"/>
          </w:tcPr>
          <w:p w14:paraId="4A36B854"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19.47861</w:t>
            </w:r>
          </w:p>
        </w:tc>
        <w:tc>
          <w:tcPr>
            <w:tcW w:w="927" w:type="dxa"/>
            <w:shd w:val="clear" w:color="auto" w:fill="FFFFFF"/>
            <w:vAlign w:val="bottom"/>
          </w:tcPr>
          <w:p w14:paraId="304A570B"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70.66974</w:t>
            </w:r>
          </w:p>
        </w:tc>
      </w:tr>
      <w:tr w:rsidR="00D31621" w:rsidRPr="00E9230C" w14:paraId="724005BA" w14:textId="77777777" w:rsidTr="00F15AD2">
        <w:trPr>
          <w:trHeight w:val="391"/>
        </w:trPr>
        <w:tc>
          <w:tcPr>
            <w:tcW w:w="1310" w:type="dxa"/>
            <w:shd w:val="clear" w:color="auto" w:fill="BFBFBF"/>
            <w:vAlign w:val="bottom"/>
          </w:tcPr>
          <w:p w14:paraId="48609DE5" w14:textId="77777777" w:rsidR="00D31621" w:rsidRPr="003213AE" w:rsidRDefault="00D31621" w:rsidP="00C45F51">
            <w:pPr>
              <w:autoSpaceDE w:val="0"/>
              <w:autoSpaceDN w:val="0"/>
              <w:adjustRightInd w:val="0"/>
              <w:spacing w:after="0" w:line="240" w:lineRule="auto"/>
              <w:rPr>
                <w:rFonts w:ascii="Arial" w:hAnsi="Arial" w:cs="Arial"/>
                <w:sz w:val="18"/>
                <w:szCs w:val="18"/>
              </w:rPr>
            </w:pPr>
            <w:r w:rsidRPr="003213AE">
              <w:rPr>
                <w:rFonts w:ascii="Arial" w:hAnsi="Arial" w:cs="Arial"/>
                <w:sz w:val="18"/>
                <w:szCs w:val="18"/>
              </w:rPr>
              <w:t> Skewness</w:t>
            </w:r>
          </w:p>
        </w:tc>
        <w:tc>
          <w:tcPr>
            <w:tcW w:w="921" w:type="dxa"/>
            <w:shd w:val="clear" w:color="auto" w:fill="FFFFFF"/>
            <w:vAlign w:val="bottom"/>
          </w:tcPr>
          <w:p w14:paraId="3D96251F"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0.694840</w:t>
            </w:r>
          </w:p>
        </w:tc>
        <w:tc>
          <w:tcPr>
            <w:tcW w:w="1003" w:type="dxa"/>
            <w:shd w:val="clear" w:color="auto" w:fill="FFFFFF"/>
            <w:vAlign w:val="bottom"/>
          </w:tcPr>
          <w:p w14:paraId="441AE250"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0.591944</w:t>
            </w:r>
          </w:p>
        </w:tc>
        <w:tc>
          <w:tcPr>
            <w:tcW w:w="1003" w:type="dxa"/>
            <w:shd w:val="clear" w:color="auto" w:fill="FFFFFF"/>
            <w:vAlign w:val="bottom"/>
          </w:tcPr>
          <w:p w14:paraId="5668FEE9"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0.373324</w:t>
            </w:r>
          </w:p>
        </w:tc>
        <w:tc>
          <w:tcPr>
            <w:tcW w:w="927" w:type="dxa"/>
            <w:shd w:val="clear" w:color="auto" w:fill="FFFFFF"/>
            <w:vAlign w:val="bottom"/>
          </w:tcPr>
          <w:p w14:paraId="15082769"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0.212146</w:t>
            </w:r>
          </w:p>
        </w:tc>
        <w:tc>
          <w:tcPr>
            <w:tcW w:w="927" w:type="dxa"/>
            <w:shd w:val="clear" w:color="auto" w:fill="FFFFFF"/>
            <w:vAlign w:val="bottom"/>
          </w:tcPr>
          <w:p w14:paraId="74DC96CC"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0.541962</w:t>
            </w:r>
          </w:p>
        </w:tc>
        <w:tc>
          <w:tcPr>
            <w:tcW w:w="927" w:type="dxa"/>
            <w:shd w:val="clear" w:color="auto" w:fill="FFFFFF"/>
            <w:vAlign w:val="bottom"/>
          </w:tcPr>
          <w:p w14:paraId="4D91FE07"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-0.476400</w:t>
            </w:r>
          </w:p>
        </w:tc>
        <w:tc>
          <w:tcPr>
            <w:tcW w:w="1003" w:type="dxa"/>
            <w:shd w:val="clear" w:color="auto" w:fill="FFFFFF"/>
            <w:vAlign w:val="bottom"/>
          </w:tcPr>
          <w:p w14:paraId="74CB3E5D"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1.567618</w:t>
            </w:r>
          </w:p>
        </w:tc>
        <w:tc>
          <w:tcPr>
            <w:tcW w:w="927" w:type="dxa"/>
            <w:shd w:val="clear" w:color="auto" w:fill="FFFFFF"/>
            <w:vAlign w:val="bottom"/>
          </w:tcPr>
          <w:p w14:paraId="34245E3C"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0.366228</w:t>
            </w:r>
          </w:p>
        </w:tc>
      </w:tr>
      <w:tr w:rsidR="00D31621" w:rsidRPr="00E9230C" w14:paraId="40621E32" w14:textId="77777777" w:rsidTr="00F15AD2">
        <w:trPr>
          <w:trHeight w:val="391"/>
        </w:trPr>
        <w:tc>
          <w:tcPr>
            <w:tcW w:w="1310" w:type="dxa"/>
            <w:shd w:val="clear" w:color="auto" w:fill="BFBFBF"/>
            <w:vAlign w:val="bottom"/>
          </w:tcPr>
          <w:p w14:paraId="1D2899EC" w14:textId="77777777" w:rsidR="00D31621" w:rsidRPr="003213AE" w:rsidRDefault="00D31621" w:rsidP="00C45F51">
            <w:pPr>
              <w:autoSpaceDE w:val="0"/>
              <w:autoSpaceDN w:val="0"/>
              <w:adjustRightInd w:val="0"/>
              <w:spacing w:after="0" w:line="240" w:lineRule="auto"/>
              <w:rPr>
                <w:rFonts w:ascii="Arial" w:hAnsi="Arial" w:cs="Arial"/>
                <w:sz w:val="18"/>
                <w:szCs w:val="18"/>
              </w:rPr>
            </w:pPr>
            <w:r w:rsidRPr="003213AE">
              <w:rPr>
                <w:rFonts w:ascii="Arial" w:hAnsi="Arial" w:cs="Arial"/>
                <w:sz w:val="18"/>
                <w:szCs w:val="18"/>
              </w:rPr>
              <w:t> Kurtosis</w:t>
            </w:r>
          </w:p>
        </w:tc>
        <w:tc>
          <w:tcPr>
            <w:tcW w:w="921" w:type="dxa"/>
            <w:shd w:val="clear" w:color="auto" w:fill="FFFFFF"/>
            <w:vAlign w:val="bottom"/>
          </w:tcPr>
          <w:p w14:paraId="39A5B532"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1.985354</w:t>
            </w:r>
          </w:p>
        </w:tc>
        <w:tc>
          <w:tcPr>
            <w:tcW w:w="1003" w:type="dxa"/>
            <w:shd w:val="clear" w:color="auto" w:fill="FFFFFF"/>
            <w:vAlign w:val="bottom"/>
          </w:tcPr>
          <w:p w14:paraId="25251D6D"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1.788224</w:t>
            </w:r>
          </w:p>
        </w:tc>
        <w:tc>
          <w:tcPr>
            <w:tcW w:w="1003" w:type="dxa"/>
            <w:shd w:val="clear" w:color="auto" w:fill="FFFFFF"/>
            <w:vAlign w:val="bottom"/>
          </w:tcPr>
          <w:p w14:paraId="1BE6A568"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1.407371</w:t>
            </w:r>
          </w:p>
        </w:tc>
        <w:tc>
          <w:tcPr>
            <w:tcW w:w="927" w:type="dxa"/>
            <w:shd w:val="clear" w:color="auto" w:fill="FFFFFF"/>
            <w:vAlign w:val="bottom"/>
          </w:tcPr>
          <w:p w14:paraId="7A645334"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2.725630</w:t>
            </w:r>
          </w:p>
        </w:tc>
        <w:tc>
          <w:tcPr>
            <w:tcW w:w="927" w:type="dxa"/>
            <w:shd w:val="clear" w:color="auto" w:fill="FFFFFF"/>
            <w:vAlign w:val="bottom"/>
          </w:tcPr>
          <w:p w14:paraId="75D8FC94"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5.404889</w:t>
            </w:r>
          </w:p>
        </w:tc>
        <w:tc>
          <w:tcPr>
            <w:tcW w:w="927" w:type="dxa"/>
            <w:shd w:val="clear" w:color="auto" w:fill="FFFFFF"/>
            <w:vAlign w:val="bottom"/>
          </w:tcPr>
          <w:p w14:paraId="205EC25D"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3.288024</w:t>
            </w:r>
          </w:p>
        </w:tc>
        <w:tc>
          <w:tcPr>
            <w:tcW w:w="1003" w:type="dxa"/>
            <w:shd w:val="clear" w:color="auto" w:fill="FFFFFF"/>
            <w:vAlign w:val="bottom"/>
          </w:tcPr>
          <w:p w14:paraId="6E53225B"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4.508797</w:t>
            </w:r>
          </w:p>
        </w:tc>
        <w:tc>
          <w:tcPr>
            <w:tcW w:w="927" w:type="dxa"/>
            <w:shd w:val="clear" w:color="auto" w:fill="FFFFFF"/>
            <w:vAlign w:val="bottom"/>
          </w:tcPr>
          <w:p w14:paraId="0659DC39"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2.475146</w:t>
            </w:r>
          </w:p>
        </w:tc>
      </w:tr>
      <w:tr w:rsidR="00D31621" w:rsidRPr="00E9230C" w14:paraId="17C19422" w14:textId="77777777" w:rsidTr="00F15AD2">
        <w:trPr>
          <w:trHeight w:val="391"/>
        </w:trPr>
        <w:tc>
          <w:tcPr>
            <w:tcW w:w="1310" w:type="dxa"/>
            <w:shd w:val="clear" w:color="auto" w:fill="BFBFBF"/>
            <w:vAlign w:val="bottom"/>
          </w:tcPr>
          <w:p w14:paraId="0F2D3371" w14:textId="77777777" w:rsidR="00D31621" w:rsidRPr="003213AE" w:rsidRDefault="00D31621" w:rsidP="00C45F51">
            <w:pPr>
              <w:autoSpaceDE w:val="0"/>
              <w:autoSpaceDN w:val="0"/>
              <w:adjustRightInd w:val="0"/>
              <w:spacing w:after="0" w:line="240" w:lineRule="auto"/>
              <w:rPr>
                <w:rFonts w:ascii="Arial" w:hAnsi="Arial" w:cs="Arial"/>
                <w:sz w:val="18"/>
                <w:szCs w:val="18"/>
              </w:rPr>
            </w:pPr>
            <w:r w:rsidRPr="003213AE">
              <w:rPr>
                <w:rFonts w:ascii="Arial" w:hAnsi="Arial" w:cs="Arial"/>
                <w:sz w:val="18"/>
                <w:szCs w:val="18"/>
              </w:rPr>
              <w:t> Jarque-Bera</w:t>
            </w:r>
          </w:p>
        </w:tc>
        <w:tc>
          <w:tcPr>
            <w:tcW w:w="921" w:type="dxa"/>
            <w:shd w:val="clear" w:color="auto" w:fill="FFFFFF"/>
            <w:vAlign w:val="bottom"/>
          </w:tcPr>
          <w:p w14:paraId="541B3045"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15.79049</w:t>
            </w:r>
          </w:p>
        </w:tc>
        <w:tc>
          <w:tcPr>
            <w:tcW w:w="1003" w:type="dxa"/>
            <w:shd w:val="clear" w:color="auto" w:fill="FFFFFF"/>
            <w:vAlign w:val="bottom"/>
          </w:tcPr>
          <w:p w14:paraId="3217A614"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15.30663</w:t>
            </w:r>
          </w:p>
        </w:tc>
        <w:tc>
          <w:tcPr>
            <w:tcW w:w="1003" w:type="dxa"/>
            <w:shd w:val="clear" w:color="auto" w:fill="FFFFFF"/>
            <w:vAlign w:val="bottom"/>
          </w:tcPr>
          <w:p w14:paraId="504B0D07"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16.50106</w:t>
            </w:r>
          </w:p>
        </w:tc>
        <w:tc>
          <w:tcPr>
            <w:tcW w:w="927" w:type="dxa"/>
            <w:shd w:val="clear" w:color="auto" w:fill="FFFFFF"/>
            <w:vAlign w:val="bottom"/>
          </w:tcPr>
          <w:p w14:paraId="6A3FB57C"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1.361618</w:t>
            </w:r>
          </w:p>
        </w:tc>
        <w:tc>
          <w:tcPr>
            <w:tcW w:w="927" w:type="dxa"/>
            <w:shd w:val="clear" w:color="auto" w:fill="FFFFFF"/>
            <w:vAlign w:val="bottom"/>
          </w:tcPr>
          <w:p w14:paraId="29223E20"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37.11137</w:t>
            </w:r>
          </w:p>
        </w:tc>
        <w:tc>
          <w:tcPr>
            <w:tcW w:w="927" w:type="dxa"/>
            <w:shd w:val="clear" w:color="auto" w:fill="FFFFFF"/>
            <w:vAlign w:val="bottom"/>
          </w:tcPr>
          <w:p w14:paraId="21B61091"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5.284195</w:t>
            </w:r>
          </w:p>
        </w:tc>
        <w:tc>
          <w:tcPr>
            <w:tcW w:w="1003" w:type="dxa"/>
            <w:shd w:val="clear" w:color="auto" w:fill="FFFFFF"/>
            <w:vAlign w:val="bottom"/>
          </w:tcPr>
          <w:p w14:paraId="60A65454"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64.56627</w:t>
            </w:r>
          </w:p>
        </w:tc>
        <w:tc>
          <w:tcPr>
            <w:tcW w:w="927" w:type="dxa"/>
            <w:shd w:val="clear" w:color="auto" w:fill="FFFFFF"/>
            <w:vAlign w:val="bottom"/>
          </w:tcPr>
          <w:p w14:paraId="67FE098F"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4.330476</w:t>
            </w:r>
          </w:p>
        </w:tc>
      </w:tr>
      <w:tr w:rsidR="00D31621" w:rsidRPr="00E9230C" w14:paraId="0C97F11B" w14:textId="77777777" w:rsidTr="00F15AD2">
        <w:trPr>
          <w:trHeight w:val="391"/>
        </w:trPr>
        <w:tc>
          <w:tcPr>
            <w:tcW w:w="1310" w:type="dxa"/>
            <w:shd w:val="clear" w:color="auto" w:fill="BFBFBF"/>
            <w:vAlign w:val="bottom"/>
          </w:tcPr>
          <w:p w14:paraId="785CA661" w14:textId="77777777" w:rsidR="00D31621" w:rsidRPr="003213AE" w:rsidRDefault="00D31621" w:rsidP="00C45F51">
            <w:pPr>
              <w:autoSpaceDE w:val="0"/>
              <w:autoSpaceDN w:val="0"/>
              <w:adjustRightInd w:val="0"/>
              <w:spacing w:after="0" w:line="240" w:lineRule="auto"/>
              <w:rPr>
                <w:rFonts w:ascii="Arial" w:hAnsi="Arial" w:cs="Arial"/>
                <w:sz w:val="18"/>
                <w:szCs w:val="18"/>
              </w:rPr>
            </w:pPr>
            <w:r w:rsidRPr="003213AE">
              <w:rPr>
                <w:rFonts w:ascii="Arial" w:hAnsi="Arial" w:cs="Arial"/>
                <w:sz w:val="18"/>
                <w:szCs w:val="18"/>
              </w:rPr>
              <w:t> Probability</w:t>
            </w:r>
          </w:p>
        </w:tc>
        <w:tc>
          <w:tcPr>
            <w:tcW w:w="921" w:type="dxa"/>
            <w:shd w:val="clear" w:color="auto" w:fill="FFFFFF"/>
            <w:vAlign w:val="bottom"/>
          </w:tcPr>
          <w:p w14:paraId="1567C2C3"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0.000373</w:t>
            </w:r>
          </w:p>
        </w:tc>
        <w:tc>
          <w:tcPr>
            <w:tcW w:w="1003" w:type="dxa"/>
            <w:shd w:val="clear" w:color="auto" w:fill="FFFFFF"/>
            <w:vAlign w:val="bottom"/>
          </w:tcPr>
          <w:p w14:paraId="48A77F7E"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0.000474</w:t>
            </w:r>
          </w:p>
        </w:tc>
        <w:tc>
          <w:tcPr>
            <w:tcW w:w="1003" w:type="dxa"/>
            <w:shd w:val="clear" w:color="auto" w:fill="FFFFFF"/>
            <w:vAlign w:val="bottom"/>
          </w:tcPr>
          <w:p w14:paraId="5CD2D7A5"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0.000261</w:t>
            </w:r>
          </w:p>
        </w:tc>
        <w:tc>
          <w:tcPr>
            <w:tcW w:w="927" w:type="dxa"/>
            <w:shd w:val="clear" w:color="auto" w:fill="FFFFFF"/>
            <w:vAlign w:val="bottom"/>
          </w:tcPr>
          <w:p w14:paraId="1FA7AABD"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0.506207</w:t>
            </w:r>
          </w:p>
        </w:tc>
        <w:tc>
          <w:tcPr>
            <w:tcW w:w="927" w:type="dxa"/>
            <w:shd w:val="clear" w:color="auto" w:fill="FFFFFF"/>
            <w:vAlign w:val="bottom"/>
          </w:tcPr>
          <w:p w14:paraId="7E4DC74F"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0.000000</w:t>
            </w:r>
          </w:p>
        </w:tc>
        <w:tc>
          <w:tcPr>
            <w:tcW w:w="927" w:type="dxa"/>
            <w:shd w:val="clear" w:color="auto" w:fill="FFFFFF"/>
            <w:vAlign w:val="bottom"/>
          </w:tcPr>
          <w:p w14:paraId="08E419D0"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0.071212</w:t>
            </w:r>
          </w:p>
        </w:tc>
        <w:tc>
          <w:tcPr>
            <w:tcW w:w="1003" w:type="dxa"/>
            <w:shd w:val="clear" w:color="auto" w:fill="FFFFFF"/>
            <w:vAlign w:val="bottom"/>
          </w:tcPr>
          <w:p w14:paraId="31BEFAA2"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0.000000</w:t>
            </w:r>
          </w:p>
        </w:tc>
        <w:tc>
          <w:tcPr>
            <w:tcW w:w="927" w:type="dxa"/>
            <w:shd w:val="clear" w:color="auto" w:fill="FFFFFF"/>
            <w:vAlign w:val="bottom"/>
          </w:tcPr>
          <w:p w14:paraId="06A1E9EE"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0.114723</w:t>
            </w:r>
          </w:p>
        </w:tc>
      </w:tr>
      <w:tr w:rsidR="00D31621" w:rsidRPr="00E9230C" w14:paraId="76EFD2B7" w14:textId="77777777" w:rsidTr="00F15AD2">
        <w:trPr>
          <w:trHeight w:val="391"/>
        </w:trPr>
        <w:tc>
          <w:tcPr>
            <w:tcW w:w="1310" w:type="dxa"/>
            <w:shd w:val="clear" w:color="auto" w:fill="BFBFBF"/>
            <w:vAlign w:val="bottom"/>
          </w:tcPr>
          <w:p w14:paraId="3C0961A4" w14:textId="77777777" w:rsidR="00D31621" w:rsidRPr="003213AE" w:rsidRDefault="00D31621" w:rsidP="00C45F51">
            <w:pPr>
              <w:autoSpaceDE w:val="0"/>
              <w:autoSpaceDN w:val="0"/>
              <w:adjustRightInd w:val="0"/>
              <w:spacing w:after="0" w:line="240" w:lineRule="auto"/>
              <w:rPr>
                <w:rFonts w:ascii="Arial" w:hAnsi="Arial" w:cs="Arial"/>
                <w:sz w:val="18"/>
                <w:szCs w:val="18"/>
              </w:rPr>
            </w:pPr>
            <w:r w:rsidRPr="003213AE">
              <w:rPr>
                <w:rFonts w:ascii="Arial" w:hAnsi="Arial" w:cs="Arial"/>
                <w:sz w:val="18"/>
                <w:szCs w:val="18"/>
              </w:rPr>
              <w:t> Sum</w:t>
            </w:r>
          </w:p>
        </w:tc>
        <w:tc>
          <w:tcPr>
            <w:tcW w:w="921" w:type="dxa"/>
            <w:shd w:val="clear" w:color="auto" w:fill="FFFFFF"/>
            <w:vAlign w:val="bottom"/>
          </w:tcPr>
          <w:p w14:paraId="4EF39955"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4.42E+09</w:t>
            </w:r>
          </w:p>
        </w:tc>
        <w:tc>
          <w:tcPr>
            <w:tcW w:w="1003" w:type="dxa"/>
            <w:shd w:val="clear" w:color="auto" w:fill="FFFFFF"/>
            <w:vAlign w:val="bottom"/>
          </w:tcPr>
          <w:p w14:paraId="724E3A07"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1857.210</w:t>
            </w:r>
          </w:p>
        </w:tc>
        <w:tc>
          <w:tcPr>
            <w:tcW w:w="1003" w:type="dxa"/>
            <w:shd w:val="clear" w:color="auto" w:fill="FFFFFF"/>
            <w:vAlign w:val="bottom"/>
          </w:tcPr>
          <w:p w14:paraId="3E150AD1"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63.13141</w:t>
            </w:r>
          </w:p>
        </w:tc>
        <w:tc>
          <w:tcPr>
            <w:tcW w:w="927" w:type="dxa"/>
            <w:shd w:val="clear" w:color="auto" w:fill="FFFFFF"/>
            <w:vAlign w:val="bottom"/>
          </w:tcPr>
          <w:p w14:paraId="484CB989"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5858.995</w:t>
            </w:r>
          </w:p>
        </w:tc>
        <w:tc>
          <w:tcPr>
            <w:tcW w:w="927" w:type="dxa"/>
            <w:shd w:val="clear" w:color="auto" w:fill="FFFFFF"/>
            <w:vAlign w:val="bottom"/>
          </w:tcPr>
          <w:p w14:paraId="42768CCB"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2879.800</w:t>
            </w:r>
          </w:p>
        </w:tc>
        <w:tc>
          <w:tcPr>
            <w:tcW w:w="927" w:type="dxa"/>
            <w:shd w:val="clear" w:color="auto" w:fill="FFFFFF"/>
            <w:vAlign w:val="bottom"/>
          </w:tcPr>
          <w:p w14:paraId="59042149"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2129.490</w:t>
            </w:r>
          </w:p>
        </w:tc>
        <w:tc>
          <w:tcPr>
            <w:tcW w:w="1003" w:type="dxa"/>
            <w:shd w:val="clear" w:color="auto" w:fill="FFFFFF"/>
            <w:vAlign w:val="bottom"/>
          </w:tcPr>
          <w:p w14:paraId="0E7DC9AF"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2555.940</w:t>
            </w:r>
          </w:p>
        </w:tc>
        <w:tc>
          <w:tcPr>
            <w:tcW w:w="927" w:type="dxa"/>
            <w:shd w:val="clear" w:color="auto" w:fill="FFFFFF"/>
            <w:vAlign w:val="bottom"/>
          </w:tcPr>
          <w:p w14:paraId="0AAF0217"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11026.23</w:t>
            </w:r>
          </w:p>
        </w:tc>
      </w:tr>
      <w:tr w:rsidR="00D31621" w:rsidRPr="00E9230C" w14:paraId="44D444F2" w14:textId="77777777" w:rsidTr="00F15AD2">
        <w:trPr>
          <w:trHeight w:val="391"/>
        </w:trPr>
        <w:tc>
          <w:tcPr>
            <w:tcW w:w="1310" w:type="dxa"/>
            <w:shd w:val="clear" w:color="auto" w:fill="BFBFBF"/>
            <w:vAlign w:val="bottom"/>
          </w:tcPr>
          <w:p w14:paraId="6973B6AE" w14:textId="77777777" w:rsidR="00D31621" w:rsidRPr="003213AE" w:rsidRDefault="00D31621" w:rsidP="00C45F51">
            <w:pPr>
              <w:autoSpaceDE w:val="0"/>
              <w:autoSpaceDN w:val="0"/>
              <w:adjustRightInd w:val="0"/>
              <w:spacing w:after="0" w:line="240" w:lineRule="auto"/>
              <w:rPr>
                <w:rFonts w:ascii="Arial" w:hAnsi="Arial" w:cs="Arial"/>
                <w:sz w:val="18"/>
                <w:szCs w:val="18"/>
              </w:rPr>
            </w:pPr>
            <w:r w:rsidRPr="003213AE">
              <w:rPr>
                <w:rFonts w:ascii="Arial" w:hAnsi="Arial" w:cs="Arial"/>
                <w:sz w:val="18"/>
                <w:szCs w:val="18"/>
              </w:rPr>
              <w:t> Sum Sq. Dev.</w:t>
            </w:r>
          </w:p>
        </w:tc>
        <w:tc>
          <w:tcPr>
            <w:tcW w:w="921" w:type="dxa"/>
            <w:shd w:val="clear" w:color="auto" w:fill="FFFFFF"/>
            <w:vAlign w:val="bottom"/>
          </w:tcPr>
          <w:p w14:paraId="17342953"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4.16E+16</w:t>
            </w:r>
          </w:p>
        </w:tc>
        <w:tc>
          <w:tcPr>
            <w:tcW w:w="1003" w:type="dxa"/>
            <w:shd w:val="clear" w:color="auto" w:fill="FFFFFF"/>
            <w:vAlign w:val="bottom"/>
          </w:tcPr>
          <w:p w14:paraId="47220F26"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1870.600</w:t>
            </w:r>
          </w:p>
        </w:tc>
        <w:tc>
          <w:tcPr>
            <w:tcW w:w="1003" w:type="dxa"/>
            <w:shd w:val="clear" w:color="auto" w:fill="FFFFFF"/>
            <w:vAlign w:val="bottom"/>
          </w:tcPr>
          <w:p w14:paraId="00ABEEEA"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8.582936</w:t>
            </w:r>
          </w:p>
        </w:tc>
        <w:tc>
          <w:tcPr>
            <w:tcW w:w="927" w:type="dxa"/>
            <w:shd w:val="clear" w:color="auto" w:fill="FFFFFF"/>
            <w:vAlign w:val="bottom"/>
          </w:tcPr>
          <w:p w14:paraId="5EF92CC5"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8344.892</w:t>
            </w:r>
          </w:p>
        </w:tc>
        <w:tc>
          <w:tcPr>
            <w:tcW w:w="927" w:type="dxa"/>
            <w:shd w:val="clear" w:color="auto" w:fill="FFFFFF"/>
            <w:vAlign w:val="bottom"/>
          </w:tcPr>
          <w:p w14:paraId="18377064"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3564.646</w:t>
            </w:r>
          </w:p>
        </w:tc>
        <w:tc>
          <w:tcPr>
            <w:tcW w:w="927" w:type="dxa"/>
            <w:shd w:val="clear" w:color="auto" w:fill="FFFFFF"/>
            <w:vAlign w:val="bottom"/>
          </w:tcPr>
          <w:p w14:paraId="21DF5DB5"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88339.47</w:t>
            </w:r>
          </w:p>
        </w:tc>
        <w:tc>
          <w:tcPr>
            <w:tcW w:w="1003" w:type="dxa"/>
            <w:shd w:val="clear" w:color="auto" w:fill="FFFFFF"/>
            <w:vAlign w:val="bottom"/>
          </w:tcPr>
          <w:p w14:paraId="111AB722"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48185.86</w:t>
            </w:r>
          </w:p>
        </w:tc>
        <w:tc>
          <w:tcPr>
            <w:tcW w:w="927" w:type="dxa"/>
            <w:shd w:val="clear" w:color="auto" w:fill="FFFFFF"/>
            <w:vAlign w:val="bottom"/>
          </w:tcPr>
          <w:p w14:paraId="48F046AD"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634264.9</w:t>
            </w:r>
          </w:p>
        </w:tc>
      </w:tr>
      <w:tr w:rsidR="00D31621" w:rsidRPr="00E9230C" w14:paraId="58B6695B" w14:textId="77777777" w:rsidTr="00F15AD2">
        <w:trPr>
          <w:trHeight w:val="391"/>
        </w:trPr>
        <w:tc>
          <w:tcPr>
            <w:tcW w:w="1310" w:type="dxa"/>
            <w:shd w:val="clear" w:color="auto" w:fill="BFBFBF"/>
            <w:vAlign w:val="bottom"/>
          </w:tcPr>
          <w:p w14:paraId="1E65D98C" w14:textId="77777777" w:rsidR="00D31621" w:rsidRPr="003213AE" w:rsidRDefault="00D31621" w:rsidP="00C45F51">
            <w:pPr>
              <w:autoSpaceDE w:val="0"/>
              <w:autoSpaceDN w:val="0"/>
              <w:adjustRightInd w:val="0"/>
              <w:spacing w:after="0" w:line="240" w:lineRule="auto"/>
              <w:rPr>
                <w:rFonts w:ascii="Arial" w:hAnsi="Arial" w:cs="Arial"/>
                <w:sz w:val="18"/>
                <w:szCs w:val="18"/>
              </w:rPr>
            </w:pPr>
            <w:r w:rsidRPr="003213AE">
              <w:rPr>
                <w:rFonts w:ascii="Arial" w:hAnsi="Arial" w:cs="Arial"/>
                <w:sz w:val="18"/>
                <w:szCs w:val="18"/>
              </w:rPr>
              <w:t> Observations</w:t>
            </w:r>
          </w:p>
        </w:tc>
        <w:tc>
          <w:tcPr>
            <w:tcW w:w="921" w:type="dxa"/>
            <w:shd w:val="clear" w:color="auto" w:fill="FFFFFF"/>
            <w:vAlign w:val="bottom"/>
          </w:tcPr>
          <w:p w14:paraId="44579D56"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128</w:t>
            </w:r>
          </w:p>
        </w:tc>
        <w:tc>
          <w:tcPr>
            <w:tcW w:w="1003" w:type="dxa"/>
            <w:shd w:val="clear" w:color="auto" w:fill="FFFFFF"/>
            <w:vAlign w:val="bottom"/>
          </w:tcPr>
          <w:p w14:paraId="703BBF09"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128</w:t>
            </w:r>
          </w:p>
        </w:tc>
        <w:tc>
          <w:tcPr>
            <w:tcW w:w="1003" w:type="dxa"/>
            <w:shd w:val="clear" w:color="auto" w:fill="FFFFFF"/>
            <w:vAlign w:val="bottom"/>
          </w:tcPr>
          <w:p w14:paraId="3F1CB175"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128</w:t>
            </w:r>
          </w:p>
        </w:tc>
        <w:tc>
          <w:tcPr>
            <w:tcW w:w="927" w:type="dxa"/>
            <w:shd w:val="clear" w:color="auto" w:fill="FFFFFF"/>
            <w:vAlign w:val="bottom"/>
          </w:tcPr>
          <w:p w14:paraId="4AD0B2A4"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128</w:t>
            </w:r>
          </w:p>
        </w:tc>
        <w:tc>
          <w:tcPr>
            <w:tcW w:w="927" w:type="dxa"/>
            <w:shd w:val="clear" w:color="auto" w:fill="FFFFFF"/>
            <w:vAlign w:val="bottom"/>
          </w:tcPr>
          <w:p w14:paraId="43620EF3"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128</w:t>
            </w:r>
          </w:p>
        </w:tc>
        <w:tc>
          <w:tcPr>
            <w:tcW w:w="927" w:type="dxa"/>
            <w:shd w:val="clear" w:color="auto" w:fill="FFFFFF"/>
            <w:vAlign w:val="bottom"/>
          </w:tcPr>
          <w:p w14:paraId="23E46429"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128</w:t>
            </w:r>
          </w:p>
        </w:tc>
        <w:tc>
          <w:tcPr>
            <w:tcW w:w="1003" w:type="dxa"/>
            <w:shd w:val="clear" w:color="auto" w:fill="FFFFFF"/>
            <w:vAlign w:val="bottom"/>
          </w:tcPr>
          <w:p w14:paraId="0BE3313E"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128</w:t>
            </w:r>
          </w:p>
        </w:tc>
        <w:tc>
          <w:tcPr>
            <w:tcW w:w="927" w:type="dxa"/>
            <w:shd w:val="clear" w:color="auto" w:fill="FFFFFF"/>
            <w:vAlign w:val="bottom"/>
          </w:tcPr>
          <w:p w14:paraId="25E4E1C7" w14:textId="77777777" w:rsidR="00D31621" w:rsidRPr="003213AE" w:rsidRDefault="00D31621" w:rsidP="00C45F51">
            <w:pPr>
              <w:autoSpaceDE w:val="0"/>
              <w:autoSpaceDN w:val="0"/>
              <w:adjustRightInd w:val="0"/>
              <w:spacing w:after="0" w:line="240" w:lineRule="auto"/>
              <w:rPr>
                <w:rFonts w:ascii="Times New Roman" w:hAnsi="Times New Roman"/>
                <w:sz w:val="16"/>
                <w:szCs w:val="16"/>
              </w:rPr>
            </w:pPr>
            <w:r w:rsidRPr="003213AE">
              <w:rPr>
                <w:rFonts w:ascii="Times New Roman" w:hAnsi="Times New Roman"/>
                <w:sz w:val="16"/>
                <w:szCs w:val="16"/>
              </w:rPr>
              <w:t> 128</w:t>
            </w:r>
          </w:p>
        </w:tc>
      </w:tr>
    </w:tbl>
    <w:p w14:paraId="68F4AEA2" w14:textId="2E8BADC9" w:rsidR="00D31621" w:rsidRPr="00F15AD2" w:rsidRDefault="00D31621" w:rsidP="00C45F51">
      <w:pPr>
        <w:spacing w:after="0" w:line="240" w:lineRule="auto"/>
        <w:jc w:val="both"/>
        <w:rPr>
          <w:rFonts w:ascii="Times New Roman" w:hAnsi="Times New Roman"/>
          <w:b/>
          <w:bCs/>
          <w:i/>
          <w:iCs/>
          <w:color w:val="000000"/>
          <w:kern w:val="16"/>
          <w:sz w:val="24"/>
          <w:szCs w:val="24"/>
        </w:rPr>
      </w:pPr>
      <w:r>
        <w:rPr>
          <w:rFonts w:ascii="Times New Roman" w:hAnsi="Times New Roman"/>
          <w:color w:val="000000"/>
          <w:kern w:val="16"/>
          <w:sz w:val="24"/>
          <w:szCs w:val="24"/>
        </w:rPr>
        <w:t xml:space="preserve">  </w:t>
      </w:r>
      <w:r>
        <w:rPr>
          <w:rFonts w:ascii="Times New Roman" w:hAnsi="Times New Roman"/>
          <w:color w:val="000000"/>
          <w:kern w:val="16"/>
          <w:sz w:val="24"/>
          <w:szCs w:val="24"/>
        </w:rPr>
        <w:tab/>
      </w:r>
      <w:r w:rsidRPr="001B57A8">
        <w:rPr>
          <w:rFonts w:ascii="Times New Roman" w:hAnsi="Times New Roman"/>
          <w:b/>
          <w:bCs/>
          <w:color w:val="000000"/>
          <w:kern w:val="16"/>
          <w:sz w:val="24"/>
          <w:szCs w:val="24"/>
        </w:rPr>
        <w:t xml:space="preserve"> </w:t>
      </w:r>
      <w:r w:rsidRPr="00F15AD2">
        <w:rPr>
          <w:rFonts w:ascii="Times New Roman" w:hAnsi="Times New Roman"/>
          <w:b/>
          <w:bCs/>
          <w:i/>
          <w:iCs/>
          <w:color w:val="000000"/>
          <w:kern w:val="16"/>
          <w:sz w:val="24"/>
          <w:szCs w:val="24"/>
        </w:rPr>
        <w:t>Source: Author’s Computation Using Eviews 10</w:t>
      </w:r>
    </w:p>
    <w:p w14:paraId="0DDC703F" w14:textId="77777777" w:rsidR="00BD7074" w:rsidRPr="001B57A8" w:rsidRDefault="00BD7074" w:rsidP="00C45F51">
      <w:pPr>
        <w:spacing w:after="0" w:line="240" w:lineRule="auto"/>
        <w:jc w:val="both"/>
        <w:rPr>
          <w:rFonts w:ascii="Times New Roman" w:hAnsi="Times New Roman"/>
          <w:b/>
          <w:bCs/>
          <w:color w:val="000000"/>
          <w:kern w:val="16"/>
          <w:sz w:val="24"/>
          <w:szCs w:val="24"/>
        </w:rPr>
      </w:pPr>
    </w:p>
    <w:p w14:paraId="7F4FA1C1" w14:textId="77777777" w:rsidR="00F15AD2" w:rsidRDefault="00F15AD2" w:rsidP="00F15AD2">
      <w:pPr>
        <w:pStyle w:val="NoSpacing"/>
        <w:spacing w:after="240"/>
        <w:rPr>
          <w:rFonts w:ascii="Times New Roman" w:hAnsi="Times New Roman"/>
          <w:sz w:val="24"/>
          <w:szCs w:val="24"/>
        </w:rPr>
        <w:sectPr w:rsidR="00F15AD2" w:rsidSect="004267E7">
          <w:type w:val="continuous"/>
          <w:pgSz w:w="12240" w:h="15840"/>
          <w:pgMar w:top="1135" w:right="1440" w:bottom="1440" w:left="1440" w:header="720" w:footer="720" w:gutter="0"/>
          <w:cols w:space="720"/>
          <w:docGrid w:linePitch="360"/>
        </w:sectPr>
      </w:pPr>
    </w:p>
    <w:p w14:paraId="22031C75" w14:textId="77777777" w:rsidR="00F15AD2" w:rsidRDefault="00D31621" w:rsidP="00F15AD2">
      <w:pPr>
        <w:pStyle w:val="NoSpacing"/>
        <w:spacing w:after="240"/>
        <w:rPr>
          <w:rFonts w:ascii="Times New Roman" w:hAnsi="Times New Roman"/>
          <w:sz w:val="24"/>
          <w:szCs w:val="24"/>
        </w:rPr>
      </w:pPr>
      <w:r w:rsidRPr="00955162">
        <w:rPr>
          <w:rFonts w:ascii="Times New Roman" w:hAnsi="Times New Roman"/>
          <w:sz w:val="24"/>
          <w:szCs w:val="24"/>
        </w:rPr>
        <w:t>The descri</w:t>
      </w:r>
      <w:r>
        <w:rPr>
          <w:rFonts w:ascii="Times New Roman" w:hAnsi="Times New Roman"/>
          <w:sz w:val="24"/>
          <w:szCs w:val="24"/>
        </w:rPr>
        <w:t>ptive results in Table 4 show that</w:t>
      </w:r>
      <w:r w:rsidRPr="00955162">
        <w:rPr>
          <w:rFonts w:ascii="Times New Roman" w:hAnsi="Times New Roman"/>
          <w:sz w:val="24"/>
          <w:szCs w:val="24"/>
        </w:rPr>
        <w:t xml:space="preserve"> real gross domestic product (RGDP) averaged </w:t>
      </w:r>
      <w:r w:rsidRPr="003F071B">
        <w:rPr>
          <w:rFonts w:ascii="Times New Roman" w:hAnsi="Times New Roman"/>
          <w:dstrike/>
          <w:sz w:val="24"/>
          <w:szCs w:val="24"/>
        </w:rPr>
        <w:t>N</w:t>
      </w:r>
      <w:r>
        <w:rPr>
          <w:rFonts w:ascii="Times New Roman" w:hAnsi="Times New Roman"/>
          <w:sz w:val="24"/>
          <w:szCs w:val="24"/>
        </w:rPr>
        <w:t xml:space="preserve">34,514,440 billion </w:t>
      </w:r>
      <w:r w:rsidRPr="00955162">
        <w:rPr>
          <w:rFonts w:ascii="Times New Roman" w:hAnsi="Times New Roman"/>
          <w:sz w:val="24"/>
          <w:szCs w:val="24"/>
        </w:rPr>
        <w:t xml:space="preserve">over </w:t>
      </w:r>
      <w:r>
        <w:rPr>
          <w:rFonts w:ascii="Times New Roman" w:hAnsi="Times New Roman"/>
          <w:sz w:val="24"/>
          <w:szCs w:val="24"/>
        </w:rPr>
        <w:t xml:space="preserve">time with a standard deviation of </w:t>
      </w:r>
      <w:r w:rsidRPr="003F071B">
        <w:rPr>
          <w:rFonts w:ascii="Times New Roman" w:hAnsi="Times New Roman"/>
          <w:dstrike/>
          <w:sz w:val="24"/>
          <w:szCs w:val="24"/>
        </w:rPr>
        <w:t>N</w:t>
      </w:r>
      <w:r>
        <w:rPr>
          <w:rFonts w:ascii="Times New Roman" w:hAnsi="Times New Roman"/>
          <w:sz w:val="24"/>
          <w:szCs w:val="24"/>
        </w:rPr>
        <w:t xml:space="preserve">18,094,474 billion. It had a maximum value of </w:t>
      </w:r>
      <w:r w:rsidRPr="003F071B">
        <w:rPr>
          <w:rFonts w:ascii="Times New Roman" w:hAnsi="Times New Roman"/>
          <w:dstrike/>
          <w:sz w:val="24"/>
          <w:szCs w:val="24"/>
        </w:rPr>
        <w:t>N</w:t>
      </w:r>
      <w:r w:rsidRPr="00594EA1">
        <w:rPr>
          <w:rFonts w:ascii="Times New Roman" w:hAnsi="Times New Roman"/>
          <w:sz w:val="24"/>
          <w:szCs w:val="24"/>
        </w:rPr>
        <w:t>69023930</w:t>
      </w:r>
      <w:r>
        <w:rPr>
          <w:rFonts w:ascii="Times New Roman" w:hAnsi="Times New Roman"/>
          <w:sz w:val="24"/>
          <w:szCs w:val="24"/>
        </w:rPr>
        <w:t xml:space="preserve"> billion and a minimum value of </w:t>
      </w:r>
      <w:r w:rsidRPr="003F071B">
        <w:rPr>
          <w:rFonts w:ascii="Times New Roman" w:hAnsi="Times New Roman"/>
          <w:dstrike/>
          <w:sz w:val="24"/>
          <w:szCs w:val="24"/>
        </w:rPr>
        <w:t>N</w:t>
      </w:r>
      <w:r w:rsidRPr="00594EA1">
        <w:rPr>
          <w:rFonts w:ascii="Times New Roman" w:hAnsi="Times New Roman"/>
          <w:sz w:val="24"/>
          <w:szCs w:val="24"/>
        </w:rPr>
        <w:t>14953913</w:t>
      </w:r>
      <w:r>
        <w:rPr>
          <w:rFonts w:ascii="Times New Roman" w:hAnsi="Times New Roman"/>
          <w:sz w:val="24"/>
          <w:szCs w:val="24"/>
        </w:rPr>
        <w:t xml:space="preserve">. </w:t>
      </w:r>
      <w:r w:rsidRPr="00955162">
        <w:rPr>
          <w:rFonts w:ascii="Times New Roman" w:hAnsi="Times New Roman"/>
          <w:sz w:val="24"/>
          <w:szCs w:val="24"/>
        </w:rPr>
        <w:t xml:space="preserve">Mean </w:t>
      </w:r>
      <w:r>
        <w:rPr>
          <w:rFonts w:ascii="Times New Roman" w:hAnsi="Times New Roman"/>
          <w:sz w:val="24"/>
          <w:szCs w:val="24"/>
        </w:rPr>
        <w:t xml:space="preserve">ratio of money supply to GDP (M2/GDP) was 14.50945 billion with a standard deviation of </w:t>
      </w:r>
      <w:r w:rsidRPr="003F071B">
        <w:rPr>
          <w:rFonts w:ascii="Times New Roman" w:hAnsi="Times New Roman"/>
          <w:dstrike/>
          <w:sz w:val="24"/>
          <w:szCs w:val="24"/>
        </w:rPr>
        <w:t>N</w:t>
      </w:r>
      <w:r w:rsidRPr="002F78AC">
        <w:rPr>
          <w:rFonts w:ascii="Times New Roman" w:hAnsi="Times New Roman"/>
          <w:sz w:val="24"/>
          <w:szCs w:val="24"/>
        </w:rPr>
        <w:t>3.8</w:t>
      </w:r>
      <w:r>
        <w:rPr>
          <w:rFonts w:ascii="Times New Roman" w:hAnsi="Times New Roman"/>
          <w:sz w:val="24"/>
          <w:szCs w:val="24"/>
        </w:rPr>
        <w:t xml:space="preserve">37855 billion. It had maximum and minimum values of </w:t>
      </w:r>
      <w:r w:rsidRPr="003F071B">
        <w:rPr>
          <w:rFonts w:ascii="Times New Roman" w:hAnsi="Times New Roman"/>
          <w:dstrike/>
          <w:sz w:val="24"/>
          <w:szCs w:val="24"/>
        </w:rPr>
        <w:t>N</w:t>
      </w:r>
      <w:r>
        <w:rPr>
          <w:rFonts w:ascii="Times New Roman" w:hAnsi="Times New Roman"/>
          <w:sz w:val="24"/>
          <w:szCs w:val="24"/>
        </w:rPr>
        <w:t>21.54</w:t>
      </w:r>
      <w:r w:rsidRPr="002F78AC">
        <w:rPr>
          <w:rFonts w:ascii="Times New Roman" w:hAnsi="Times New Roman"/>
          <w:sz w:val="24"/>
          <w:szCs w:val="24"/>
        </w:rPr>
        <w:t>000</w:t>
      </w:r>
      <w:r>
        <w:rPr>
          <w:rFonts w:ascii="Times New Roman" w:hAnsi="Times New Roman"/>
          <w:sz w:val="24"/>
          <w:szCs w:val="24"/>
        </w:rPr>
        <w:t xml:space="preserve"> billion and N</w:t>
      </w:r>
      <w:r w:rsidRPr="002F78AC">
        <w:rPr>
          <w:rFonts w:ascii="Times New Roman" w:hAnsi="Times New Roman"/>
          <w:sz w:val="24"/>
          <w:szCs w:val="24"/>
        </w:rPr>
        <w:t>9.200000</w:t>
      </w:r>
      <w:r>
        <w:rPr>
          <w:rFonts w:ascii="Times New Roman" w:hAnsi="Times New Roman"/>
          <w:sz w:val="24"/>
          <w:szCs w:val="24"/>
        </w:rPr>
        <w:t xml:space="preserve"> billion respectively. Ratio of private debt to total debt securities (P/TDS) averaged </w:t>
      </w:r>
      <w:r w:rsidRPr="003F071B">
        <w:rPr>
          <w:rFonts w:ascii="Times New Roman" w:hAnsi="Times New Roman"/>
          <w:dstrike/>
          <w:sz w:val="24"/>
          <w:szCs w:val="24"/>
        </w:rPr>
        <w:t>N</w:t>
      </w:r>
      <w:r>
        <w:rPr>
          <w:rFonts w:ascii="Times New Roman" w:hAnsi="Times New Roman"/>
          <w:sz w:val="24"/>
          <w:szCs w:val="24"/>
        </w:rPr>
        <w:t>0.493214 billion over the period of study with a standard deviation of N</w:t>
      </w:r>
      <w:r w:rsidRPr="002F78AC">
        <w:rPr>
          <w:rFonts w:ascii="Times New Roman" w:hAnsi="Times New Roman"/>
          <w:sz w:val="24"/>
          <w:szCs w:val="24"/>
        </w:rPr>
        <w:t>0.2</w:t>
      </w:r>
      <w:r>
        <w:rPr>
          <w:rFonts w:ascii="Times New Roman" w:hAnsi="Times New Roman"/>
          <w:sz w:val="24"/>
          <w:szCs w:val="24"/>
        </w:rPr>
        <w:t xml:space="preserve">59966. It had maximum and minimum values of </w:t>
      </w:r>
      <w:r w:rsidRPr="003F071B">
        <w:rPr>
          <w:rFonts w:ascii="Times New Roman" w:hAnsi="Times New Roman"/>
          <w:dstrike/>
          <w:sz w:val="24"/>
          <w:szCs w:val="24"/>
        </w:rPr>
        <w:t>N</w:t>
      </w:r>
      <w:r w:rsidRPr="002F78AC">
        <w:rPr>
          <w:rFonts w:ascii="Times New Roman" w:hAnsi="Times New Roman"/>
          <w:sz w:val="24"/>
          <w:szCs w:val="24"/>
        </w:rPr>
        <w:t>0.868393</w:t>
      </w:r>
      <w:r>
        <w:rPr>
          <w:rFonts w:ascii="Times New Roman" w:hAnsi="Times New Roman"/>
          <w:sz w:val="24"/>
          <w:szCs w:val="24"/>
        </w:rPr>
        <w:t xml:space="preserve"> billion and N</w:t>
      </w:r>
      <w:r w:rsidRPr="00401F70">
        <w:rPr>
          <w:rFonts w:ascii="Times New Roman" w:hAnsi="Times New Roman"/>
          <w:sz w:val="24"/>
          <w:szCs w:val="24"/>
        </w:rPr>
        <w:t>0.163683</w:t>
      </w:r>
      <w:r>
        <w:rPr>
          <w:rFonts w:ascii="Times New Roman" w:hAnsi="Times New Roman"/>
          <w:sz w:val="24"/>
          <w:szCs w:val="24"/>
        </w:rPr>
        <w:t xml:space="preserve"> billion respectively.</w:t>
      </w:r>
    </w:p>
    <w:p w14:paraId="5AE56B20" w14:textId="6C67729E" w:rsidR="00F15AD2" w:rsidRDefault="00D31621" w:rsidP="00F15AD2">
      <w:pPr>
        <w:pStyle w:val="NoSpacing"/>
        <w:spacing w:after="240"/>
        <w:rPr>
          <w:rFonts w:ascii="Times New Roman" w:hAnsi="Times New Roman"/>
          <w:sz w:val="24"/>
          <w:szCs w:val="24"/>
        </w:rPr>
      </w:pPr>
      <w:r>
        <w:rPr>
          <w:rFonts w:ascii="Times New Roman" w:hAnsi="Times New Roman"/>
          <w:sz w:val="24"/>
          <w:szCs w:val="24"/>
        </w:rPr>
        <w:t xml:space="preserve">Lending-Deposit spread (LDS) had a mean value of </w:t>
      </w:r>
      <w:r w:rsidRPr="003F071B">
        <w:rPr>
          <w:rFonts w:ascii="Times New Roman" w:hAnsi="Times New Roman"/>
          <w:dstrike/>
          <w:sz w:val="24"/>
          <w:szCs w:val="24"/>
        </w:rPr>
        <w:t>N</w:t>
      </w:r>
      <w:r w:rsidRPr="00BD7B6D">
        <w:rPr>
          <w:rFonts w:ascii="Times New Roman" w:hAnsi="Times New Roman"/>
          <w:sz w:val="24"/>
          <w:szCs w:val="24"/>
        </w:rPr>
        <w:t>45.77340</w:t>
      </w:r>
      <w:r>
        <w:rPr>
          <w:rFonts w:ascii="Times New Roman" w:hAnsi="Times New Roman"/>
          <w:sz w:val="24"/>
          <w:szCs w:val="24"/>
        </w:rPr>
        <w:t xml:space="preserve"> billion over the period of study with a standard deviation of </w:t>
      </w:r>
      <w:r w:rsidRPr="003F071B">
        <w:rPr>
          <w:rFonts w:ascii="Times New Roman" w:hAnsi="Times New Roman"/>
          <w:dstrike/>
          <w:sz w:val="24"/>
          <w:szCs w:val="24"/>
        </w:rPr>
        <w:t>N</w:t>
      </w:r>
      <w:r w:rsidRPr="00BD7B6D">
        <w:rPr>
          <w:rFonts w:ascii="Times New Roman" w:hAnsi="Times New Roman"/>
          <w:sz w:val="24"/>
          <w:szCs w:val="24"/>
        </w:rPr>
        <w:t>8.106035</w:t>
      </w:r>
      <w:r>
        <w:rPr>
          <w:rFonts w:ascii="Times New Roman" w:hAnsi="Times New Roman"/>
          <w:sz w:val="24"/>
          <w:szCs w:val="24"/>
        </w:rPr>
        <w:t xml:space="preserve"> billion. It had maximum and minimum values of </w:t>
      </w:r>
      <w:r w:rsidRPr="003F071B">
        <w:rPr>
          <w:rFonts w:ascii="Times New Roman" w:hAnsi="Times New Roman"/>
          <w:dstrike/>
          <w:sz w:val="24"/>
          <w:szCs w:val="24"/>
        </w:rPr>
        <w:t>N</w:t>
      </w:r>
      <w:r w:rsidRPr="00BD7B6D">
        <w:rPr>
          <w:rFonts w:ascii="Times New Roman" w:hAnsi="Times New Roman"/>
          <w:sz w:val="24"/>
          <w:szCs w:val="24"/>
        </w:rPr>
        <w:t>65.00000</w:t>
      </w:r>
      <w:r>
        <w:rPr>
          <w:rFonts w:ascii="Times New Roman" w:hAnsi="Times New Roman"/>
          <w:sz w:val="24"/>
          <w:szCs w:val="24"/>
        </w:rPr>
        <w:t xml:space="preserve"> billion and </w:t>
      </w:r>
      <w:r w:rsidRPr="003F071B">
        <w:rPr>
          <w:rFonts w:ascii="Times New Roman" w:hAnsi="Times New Roman"/>
          <w:dstrike/>
          <w:sz w:val="24"/>
          <w:szCs w:val="24"/>
        </w:rPr>
        <w:t>N</w:t>
      </w:r>
      <w:r w:rsidRPr="00BD7B6D">
        <w:rPr>
          <w:rFonts w:ascii="Times New Roman" w:hAnsi="Times New Roman"/>
          <w:sz w:val="24"/>
          <w:szCs w:val="24"/>
        </w:rPr>
        <w:t>29.10000</w:t>
      </w:r>
      <w:r>
        <w:rPr>
          <w:rFonts w:ascii="Times New Roman" w:hAnsi="Times New Roman"/>
          <w:sz w:val="24"/>
          <w:szCs w:val="24"/>
        </w:rPr>
        <w:t xml:space="preserve"> respectively. Liquidity ratio (LR) averaged </w:t>
      </w:r>
      <w:r w:rsidRPr="003F071B">
        <w:rPr>
          <w:rFonts w:ascii="Times New Roman" w:hAnsi="Times New Roman"/>
          <w:dstrike/>
          <w:sz w:val="24"/>
          <w:szCs w:val="24"/>
        </w:rPr>
        <w:t>N</w:t>
      </w:r>
      <w:r w:rsidRPr="00BD7B6D">
        <w:rPr>
          <w:rFonts w:ascii="Times New Roman" w:hAnsi="Times New Roman"/>
          <w:sz w:val="24"/>
          <w:szCs w:val="24"/>
        </w:rPr>
        <w:t>22.49844</w:t>
      </w:r>
      <w:r>
        <w:rPr>
          <w:rFonts w:ascii="Times New Roman" w:hAnsi="Times New Roman"/>
          <w:sz w:val="24"/>
          <w:szCs w:val="24"/>
        </w:rPr>
        <w:t xml:space="preserve"> over the period of </w:t>
      </w:r>
      <w:r>
        <w:rPr>
          <w:rFonts w:ascii="Times New Roman" w:hAnsi="Times New Roman"/>
          <w:sz w:val="24"/>
          <w:szCs w:val="24"/>
        </w:rPr>
        <w:t xml:space="preserve">study with a standard deviation value of </w:t>
      </w:r>
      <w:r w:rsidRPr="003F071B">
        <w:rPr>
          <w:rFonts w:ascii="Times New Roman" w:hAnsi="Times New Roman"/>
          <w:dstrike/>
          <w:sz w:val="24"/>
          <w:szCs w:val="24"/>
        </w:rPr>
        <w:t>N</w:t>
      </w:r>
      <w:r w:rsidRPr="00BD7B6D">
        <w:rPr>
          <w:rFonts w:ascii="Times New Roman" w:hAnsi="Times New Roman"/>
          <w:sz w:val="24"/>
          <w:szCs w:val="24"/>
        </w:rPr>
        <w:t>5.297932</w:t>
      </w:r>
      <w:r>
        <w:rPr>
          <w:rFonts w:ascii="Times New Roman" w:hAnsi="Times New Roman"/>
          <w:sz w:val="24"/>
          <w:szCs w:val="24"/>
        </w:rPr>
        <w:t xml:space="preserve">. It had maximum and minimum values of </w:t>
      </w:r>
      <w:r w:rsidRPr="003F071B">
        <w:rPr>
          <w:rFonts w:ascii="Times New Roman" w:hAnsi="Times New Roman"/>
          <w:dstrike/>
          <w:sz w:val="24"/>
          <w:szCs w:val="24"/>
        </w:rPr>
        <w:t>N</w:t>
      </w:r>
      <w:r w:rsidRPr="00BD7B6D">
        <w:rPr>
          <w:rFonts w:ascii="Times New Roman" w:hAnsi="Times New Roman"/>
          <w:sz w:val="24"/>
          <w:szCs w:val="24"/>
        </w:rPr>
        <w:t>45.30000</w:t>
      </w:r>
      <w:r>
        <w:rPr>
          <w:rFonts w:ascii="Times New Roman" w:hAnsi="Times New Roman"/>
          <w:sz w:val="24"/>
          <w:szCs w:val="24"/>
        </w:rPr>
        <w:t xml:space="preserve"> billion and </w:t>
      </w:r>
      <w:r w:rsidRPr="003F071B">
        <w:rPr>
          <w:rFonts w:ascii="Times New Roman" w:hAnsi="Times New Roman"/>
          <w:dstrike/>
          <w:sz w:val="24"/>
          <w:szCs w:val="24"/>
        </w:rPr>
        <w:t>N</w:t>
      </w:r>
      <w:r w:rsidRPr="00BD7B6D">
        <w:rPr>
          <w:rFonts w:ascii="Times New Roman" w:hAnsi="Times New Roman"/>
          <w:sz w:val="24"/>
          <w:szCs w:val="24"/>
        </w:rPr>
        <w:t>11.00000</w:t>
      </w:r>
      <w:r>
        <w:rPr>
          <w:rFonts w:ascii="Times New Roman" w:hAnsi="Times New Roman"/>
          <w:sz w:val="24"/>
          <w:szCs w:val="24"/>
        </w:rPr>
        <w:t xml:space="preserve"> respectively. Similarly, stock market returns (SMR) averaged </w:t>
      </w:r>
      <w:r w:rsidRPr="00BD7B6D">
        <w:rPr>
          <w:rFonts w:ascii="Times New Roman" w:hAnsi="Times New Roman"/>
          <w:sz w:val="24"/>
          <w:szCs w:val="24"/>
        </w:rPr>
        <w:t>16.63664</w:t>
      </w:r>
      <w:r>
        <w:rPr>
          <w:rFonts w:ascii="Times New Roman" w:hAnsi="Times New Roman"/>
          <w:sz w:val="24"/>
          <w:szCs w:val="24"/>
        </w:rPr>
        <w:t xml:space="preserve"> percent with a standard deviation of </w:t>
      </w:r>
      <w:r w:rsidRPr="00BD7B6D">
        <w:rPr>
          <w:rFonts w:ascii="Times New Roman" w:hAnsi="Times New Roman"/>
          <w:sz w:val="24"/>
          <w:szCs w:val="24"/>
        </w:rPr>
        <w:t>26.37397</w:t>
      </w:r>
      <w:r>
        <w:rPr>
          <w:rFonts w:ascii="Times New Roman" w:hAnsi="Times New Roman"/>
          <w:sz w:val="24"/>
          <w:szCs w:val="24"/>
        </w:rPr>
        <w:t xml:space="preserve"> percent. It had a maximum value of </w:t>
      </w:r>
      <w:r w:rsidRPr="00BD7B6D">
        <w:rPr>
          <w:rFonts w:ascii="Times New Roman" w:hAnsi="Times New Roman"/>
          <w:sz w:val="24"/>
          <w:szCs w:val="24"/>
        </w:rPr>
        <w:t>83.69824</w:t>
      </w:r>
      <w:r>
        <w:rPr>
          <w:rFonts w:ascii="Times New Roman" w:hAnsi="Times New Roman"/>
          <w:sz w:val="24"/>
          <w:szCs w:val="24"/>
        </w:rPr>
        <w:t xml:space="preserve"> percent and a minimum value of </w:t>
      </w:r>
      <w:r w:rsidRPr="00BD7B6D">
        <w:rPr>
          <w:rFonts w:ascii="Times New Roman" w:hAnsi="Times New Roman"/>
          <w:sz w:val="24"/>
          <w:szCs w:val="24"/>
        </w:rPr>
        <w:t>-61.18502</w:t>
      </w:r>
      <w:r>
        <w:rPr>
          <w:rFonts w:ascii="Times New Roman" w:hAnsi="Times New Roman"/>
          <w:sz w:val="24"/>
          <w:szCs w:val="24"/>
        </w:rPr>
        <w:t xml:space="preserve"> percent. </w:t>
      </w:r>
    </w:p>
    <w:p w14:paraId="5CCAC9DF" w14:textId="7868788B" w:rsidR="00D31621" w:rsidRDefault="00D31621" w:rsidP="00F15AD2">
      <w:pPr>
        <w:pStyle w:val="NoSpacing"/>
        <w:spacing w:after="240"/>
        <w:rPr>
          <w:rFonts w:ascii="Times New Roman" w:hAnsi="Times New Roman"/>
          <w:sz w:val="24"/>
          <w:szCs w:val="24"/>
        </w:rPr>
      </w:pPr>
      <w:r>
        <w:rPr>
          <w:rFonts w:ascii="Times New Roman" w:hAnsi="Times New Roman"/>
          <w:sz w:val="24"/>
          <w:szCs w:val="24"/>
        </w:rPr>
        <w:t xml:space="preserve">Also, inflation rate had a mean value of </w:t>
      </w:r>
      <w:r w:rsidRPr="00E40DFF">
        <w:rPr>
          <w:rFonts w:ascii="Times New Roman" w:hAnsi="Times New Roman"/>
          <w:sz w:val="24"/>
          <w:szCs w:val="24"/>
        </w:rPr>
        <w:t>19.96828</w:t>
      </w:r>
      <w:r>
        <w:rPr>
          <w:rFonts w:ascii="Times New Roman" w:hAnsi="Times New Roman"/>
          <w:sz w:val="24"/>
          <w:szCs w:val="24"/>
        </w:rPr>
        <w:t xml:space="preserve"> over the study period with a standard deviation of </w:t>
      </w:r>
      <w:r w:rsidRPr="00E40DFF">
        <w:rPr>
          <w:rFonts w:ascii="Times New Roman" w:hAnsi="Times New Roman"/>
          <w:sz w:val="24"/>
          <w:szCs w:val="24"/>
        </w:rPr>
        <w:t>19.47861</w:t>
      </w:r>
      <w:r>
        <w:rPr>
          <w:rFonts w:ascii="Times New Roman" w:hAnsi="Times New Roman"/>
          <w:sz w:val="24"/>
          <w:szCs w:val="24"/>
        </w:rPr>
        <w:t xml:space="preserve">. It had maximum and minimum values of </w:t>
      </w:r>
      <w:r w:rsidRPr="00E40DFF">
        <w:rPr>
          <w:rFonts w:ascii="Times New Roman" w:hAnsi="Times New Roman"/>
          <w:sz w:val="24"/>
          <w:szCs w:val="24"/>
        </w:rPr>
        <w:t>87.84000</w:t>
      </w:r>
      <w:r>
        <w:rPr>
          <w:rFonts w:ascii="Times New Roman" w:hAnsi="Times New Roman"/>
          <w:sz w:val="24"/>
          <w:szCs w:val="24"/>
        </w:rPr>
        <w:t xml:space="preserve"> percent and </w:t>
      </w:r>
      <w:r w:rsidRPr="00E40DFF">
        <w:rPr>
          <w:rFonts w:ascii="Times New Roman" w:hAnsi="Times New Roman"/>
          <w:sz w:val="24"/>
          <w:szCs w:val="24"/>
        </w:rPr>
        <w:t>-2.790000</w:t>
      </w:r>
      <w:r>
        <w:rPr>
          <w:rFonts w:ascii="Times New Roman" w:hAnsi="Times New Roman"/>
          <w:sz w:val="24"/>
          <w:szCs w:val="24"/>
        </w:rPr>
        <w:t xml:space="preserve"> percent respectively. Lastly, exchange rate averaged </w:t>
      </w:r>
      <w:r w:rsidRPr="003F071B">
        <w:rPr>
          <w:rFonts w:ascii="Times New Roman" w:hAnsi="Times New Roman"/>
          <w:dstrike/>
          <w:sz w:val="24"/>
          <w:szCs w:val="24"/>
        </w:rPr>
        <w:t>N</w:t>
      </w:r>
      <w:r w:rsidRPr="00E40DFF">
        <w:rPr>
          <w:rFonts w:ascii="Times New Roman" w:hAnsi="Times New Roman"/>
          <w:sz w:val="24"/>
          <w:szCs w:val="24"/>
        </w:rPr>
        <w:t>86.14242</w:t>
      </w:r>
      <w:r>
        <w:rPr>
          <w:rFonts w:ascii="Times New Roman" w:hAnsi="Times New Roman"/>
          <w:sz w:val="24"/>
          <w:szCs w:val="24"/>
        </w:rPr>
        <w:t xml:space="preserve"> against a dollar with a standard deviation of </w:t>
      </w:r>
      <w:r w:rsidRPr="003F071B">
        <w:rPr>
          <w:rFonts w:ascii="Times New Roman" w:hAnsi="Times New Roman"/>
          <w:dstrike/>
          <w:sz w:val="24"/>
          <w:szCs w:val="24"/>
        </w:rPr>
        <w:t>N</w:t>
      </w:r>
      <w:r w:rsidRPr="00E40DFF">
        <w:rPr>
          <w:rFonts w:ascii="Times New Roman" w:hAnsi="Times New Roman"/>
          <w:sz w:val="24"/>
          <w:szCs w:val="24"/>
        </w:rPr>
        <w:t>70.66974</w:t>
      </w:r>
      <w:r>
        <w:rPr>
          <w:rFonts w:ascii="Times New Roman" w:hAnsi="Times New Roman"/>
          <w:sz w:val="24"/>
          <w:szCs w:val="24"/>
        </w:rPr>
        <w:t xml:space="preserve">. It had maximum and minimum values of </w:t>
      </w:r>
      <w:r w:rsidRPr="003F071B">
        <w:rPr>
          <w:rFonts w:ascii="Times New Roman" w:hAnsi="Times New Roman"/>
          <w:dstrike/>
          <w:sz w:val="24"/>
          <w:szCs w:val="24"/>
        </w:rPr>
        <w:t>N</w:t>
      </w:r>
      <w:r w:rsidRPr="0016022D">
        <w:rPr>
          <w:rFonts w:ascii="Times New Roman" w:hAnsi="Times New Roman"/>
          <w:sz w:val="24"/>
          <w:szCs w:val="24"/>
        </w:rPr>
        <w:t>305.2000</w:t>
      </w:r>
      <w:r>
        <w:rPr>
          <w:rFonts w:ascii="Times New Roman" w:hAnsi="Times New Roman"/>
          <w:sz w:val="24"/>
          <w:szCs w:val="24"/>
        </w:rPr>
        <w:t xml:space="preserve"> and </w:t>
      </w:r>
      <w:r w:rsidRPr="003F071B">
        <w:rPr>
          <w:rFonts w:ascii="Times New Roman" w:hAnsi="Times New Roman"/>
          <w:dstrike/>
          <w:sz w:val="24"/>
          <w:szCs w:val="24"/>
        </w:rPr>
        <w:t>N</w:t>
      </w:r>
      <w:r w:rsidRPr="0016022D">
        <w:rPr>
          <w:rFonts w:ascii="Times New Roman" w:hAnsi="Times New Roman"/>
          <w:sz w:val="24"/>
          <w:szCs w:val="24"/>
        </w:rPr>
        <w:t>0.850000</w:t>
      </w:r>
      <w:r>
        <w:rPr>
          <w:rFonts w:ascii="Times New Roman" w:hAnsi="Times New Roman"/>
          <w:sz w:val="24"/>
          <w:szCs w:val="24"/>
        </w:rPr>
        <w:t xml:space="preserve"> respectively.</w:t>
      </w:r>
      <w:r w:rsidR="00100B99">
        <w:rPr>
          <w:rFonts w:ascii="Times New Roman" w:hAnsi="Times New Roman"/>
          <w:sz w:val="24"/>
          <w:szCs w:val="24"/>
        </w:rPr>
        <w:t xml:space="preserve"> </w:t>
      </w:r>
      <w:r>
        <w:rPr>
          <w:rFonts w:ascii="Times New Roman" w:hAnsi="Times New Roman"/>
          <w:sz w:val="24"/>
          <w:szCs w:val="24"/>
        </w:rPr>
        <w:t>T</w:t>
      </w:r>
      <w:r w:rsidRPr="00955162">
        <w:rPr>
          <w:rFonts w:ascii="Times New Roman" w:hAnsi="Times New Roman"/>
          <w:sz w:val="24"/>
          <w:szCs w:val="24"/>
        </w:rPr>
        <w:t xml:space="preserve">he Jarque-Bera test of normality for all the variables </w:t>
      </w:r>
      <w:r>
        <w:rPr>
          <w:rFonts w:ascii="Times New Roman" w:hAnsi="Times New Roman"/>
          <w:sz w:val="24"/>
          <w:szCs w:val="24"/>
        </w:rPr>
        <w:t>except liquidity ratio and inflation indicate</w:t>
      </w:r>
      <w:r w:rsidRPr="00955162">
        <w:rPr>
          <w:rFonts w:ascii="Times New Roman" w:hAnsi="Times New Roman"/>
          <w:sz w:val="24"/>
          <w:szCs w:val="24"/>
        </w:rPr>
        <w:t xml:space="preserve"> that the variables are normally distributed at 5% level of significance. Thus, estimates resulting from this data set are reliable, consisten</w:t>
      </w:r>
      <w:r>
        <w:rPr>
          <w:rFonts w:ascii="Times New Roman" w:hAnsi="Times New Roman"/>
          <w:sz w:val="24"/>
          <w:szCs w:val="24"/>
        </w:rPr>
        <w:t>t</w:t>
      </w:r>
      <w:r w:rsidRPr="00955162">
        <w:rPr>
          <w:rFonts w:ascii="Times New Roman" w:hAnsi="Times New Roman"/>
          <w:sz w:val="24"/>
          <w:szCs w:val="24"/>
        </w:rPr>
        <w:t xml:space="preserve"> and unbiased.</w:t>
      </w:r>
    </w:p>
    <w:p w14:paraId="6AAF578F" w14:textId="3D4EAF21" w:rsidR="00D31621" w:rsidRDefault="00D31621" w:rsidP="00C45F51">
      <w:pPr>
        <w:spacing w:line="240" w:lineRule="auto"/>
        <w:jc w:val="both"/>
        <w:rPr>
          <w:rFonts w:ascii="Times New Roman" w:hAnsi="Times New Roman"/>
          <w:b/>
          <w:bCs/>
          <w:sz w:val="24"/>
          <w:szCs w:val="24"/>
        </w:rPr>
      </w:pPr>
      <w:r w:rsidRPr="0082130C">
        <w:rPr>
          <w:rFonts w:ascii="Times New Roman" w:hAnsi="Times New Roman"/>
          <w:b/>
          <w:bCs/>
          <w:sz w:val="24"/>
          <w:szCs w:val="24"/>
        </w:rPr>
        <w:lastRenderedPageBreak/>
        <w:t xml:space="preserve">Testing for </w:t>
      </w:r>
      <w:r>
        <w:rPr>
          <w:rFonts w:ascii="Times New Roman" w:hAnsi="Times New Roman"/>
          <w:b/>
          <w:bCs/>
          <w:sz w:val="24"/>
          <w:szCs w:val="24"/>
        </w:rPr>
        <w:t>Autoregressive Conditional H</w:t>
      </w:r>
      <w:r w:rsidRPr="0066101E">
        <w:rPr>
          <w:rFonts w:ascii="Times New Roman" w:hAnsi="Times New Roman"/>
          <w:b/>
          <w:bCs/>
          <w:sz w:val="24"/>
          <w:szCs w:val="24"/>
        </w:rPr>
        <w:t xml:space="preserve">eteroskedasticity </w:t>
      </w:r>
      <w:r>
        <w:rPr>
          <w:rFonts w:ascii="Times New Roman" w:hAnsi="Times New Roman"/>
          <w:b/>
          <w:bCs/>
          <w:sz w:val="24"/>
          <w:szCs w:val="24"/>
        </w:rPr>
        <w:t>(</w:t>
      </w:r>
      <w:r w:rsidRPr="0082130C">
        <w:rPr>
          <w:rFonts w:ascii="Times New Roman" w:hAnsi="Times New Roman"/>
          <w:b/>
          <w:bCs/>
          <w:sz w:val="24"/>
          <w:szCs w:val="24"/>
        </w:rPr>
        <w:t>ARCH</w:t>
      </w:r>
      <w:r>
        <w:rPr>
          <w:rFonts w:ascii="Times New Roman" w:hAnsi="Times New Roman"/>
          <w:b/>
          <w:bCs/>
          <w:sz w:val="24"/>
          <w:szCs w:val="24"/>
        </w:rPr>
        <w:t>)</w:t>
      </w:r>
      <w:r w:rsidRPr="0082130C">
        <w:rPr>
          <w:rFonts w:ascii="Times New Roman" w:hAnsi="Times New Roman"/>
          <w:b/>
          <w:bCs/>
          <w:sz w:val="24"/>
          <w:szCs w:val="24"/>
        </w:rPr>
        <w:t xml:space="preserve"> Effect </w:t>
      </w:r>
    </w:p>
    <w:p w14:paraId="63BF0A33" w14:textId="3EF605F7" w:rsidR="00D31621" w:rsidRDefault="00D31621" w:rsidP="00C45F51">
      <w:pPr>
        <w:spacing w:after="0" w:line="240" w:lineRule="auto"/>
        <w:jc w:val="both"/>
        <w:rPr>
          <w:rFonts w:ascii="Times New Roman" w:hAnsi="Times New Roman"/>
          <w:sz w:val="24"/>
          <w:szCs w:val="24"/>
        </w:rPr>
      </w:pPr>
      <w:r>
        <w:rPr>
          <w:rFonts w:ascii="Times New Roman" w:hAnsi="Times New Roman"/>
          <w:sz w:val="24"/>
          <w:szCs w:val="24"/>
        </w:rPr>
        <w:t>The</w:t>
      </w:r>
      <w:r w:rsidRPr="0082130C">
        <w:rPr>
          <w:rFonts w:ascii="Times New Roman" w:hAnsi="Times New Roman"/>
          <w:sz w:val="24"/>
          <w:szCs w:val="24"/>
        </w:rPr>
        <w:t xml:space="preserve"> justification for using a volatility modeling approach </w:t>
      </w:r>
      <w:r>
        <w:rPr>
          <w:rFonts w:ascii="Times New Roman" w:hAnsi="Times New Roman"/>
          <w:sz w:val="24"/>
          <w:szCs w:val="24"/>
        </w:rPr>
        <w:t>in this study rest on the fact that stock market returns (SMR)</w:t>
      </w:r>
      <w:r w:rsidRPr="0082130C">
        <w:rPr>
          <w:rFonts w:ascii="Times New Roman" w:hAnsi="Times New Roman"/>
          <w:sz w:val="24"/>
          <w:szCs w:val="24"/>
        </w:rPr>
        <w:t xml:space="preserve"> series</w:t>
      </w:r>
      <w:r>
        <w:rPr>
          <w:rFonts w:ascii="Times New Roman" w:hAnsi="Times New Roman"/>
          <w:sz w:val="24"/>
          <w:szCs w:val="24"/>
        </w:rPr>
        <w:t xml:space="preserve"> is a high frequency variable and may be</w:t>
      </w:r>
      <w:r w:rsidRPr="0082130C">
        <w:rPr>
          <w:rFonts w:ascii="Times New Roman" w:hAnsi="Times New Roman"/>
          <w:sz w:val="24"/>
          <w:szCs w:val="24"/>
        </w:rPr>
        <w:t xml:space="preserve"> affected by the autoregressive conditional heteroskedasticity, the so called ‘ARCH </w:t>
      </w:r>
      <w:r w:rsidRPr="0082130C">
        <w:rPr>
          <w:rFonts w:ascii="Times New Roman" w:hAnsi="Times New Roman"/>
          <w:sz w:val="24"/>
          <w:szCs w:val="24"/>
        </w:rPr>
        <w:t xml:space="preserve">effect’. </w:t>
      </w:r>
      <w:r>
        <w:rPr>
          <w:rFonts w:ascii="Times New Roman" w:hAnsi="Times New Roman"/>
          <w:sz w:val="24"/>
          <w:szCs w:val="24"/>
        </w:rPr>
        <w:t>I</w:t>
      </w:r>
      <w:r w:rsidRPr="0082130C">
        <w:rPr>
          <w:rFonts w:ascii="Times New Roman" w:hAnsi="Times New Roman"/>
          <w:sz w:val="24"/>
          <w:szCs w:val="24"/>
        </w:rPr>
        <w:t xml:space="preserve">t is </w:t>
      </w:r>
      <w:r>
        <w:rPr>
          <w:rFonts w:ascii="Times New Roman" w:hAnsi="Times New Roman"/>
          <w:sz w:val="24"/>
          <w:szCs w:val="24"/>
        </w:rPr>
        <w:t xml:space="preserve">therefore </w:t>
      </w:r>
      <w:r w:rsidRPr="0082130C">
        <w:rPr>
          <w:rFonts w:ascii="Times New Roman" w:hAnsi="Times New Roman"/>
          <w:sz w:val="24"/>
          <w:szCs w:val="24"/>
        </w:rPr>
        <w:t xml:space="preserve">important to test for the presence of conditional heteroskedasticity, an absence of which makes the use of the </w:t>
      </w:r>
      <w:r>
        <w:rPr>
          <w:rFonts w:ascii="Times New Roman" w:hAnsi="Times New Roman"/>
          <w:sz w:val="24"/>
          <w:szCs w:val="24"/>
        </w:rPr>
        <w:t>proposed E-</w:t>
      </w:r>
      <w:r w:rsidRPr="0082130C">
        <w:rPr>
          <w:rFonts w:ascii="Times New Roman" w:hAnsi="Times New Roman"/>
          <w:sz w:val="24"/>
          <w:szCs w:val="24"/>
        </w:rPr>
        <w:t xml:space="preserve">GARCH </w:t>
      </w:r>
      <w:r>
        <w:rPr>
          <w:rFonts w:ascii="Times New Roman" w:hAnsi="Times New Roman"/>
          <w:sz w:val="24"/>
          <w:szCs w:val="24"/>
        </w:rPr>
        <w:t xml:space="preserve">for volatility modeling </w:t>
      </w:r>
      <w:r w:rsidRPr="0082130C">
        <w:rPr>
          <w:rFonts w:ascii="Times New Roman" w:hAnsi="Times New Roman"/>
          <w:sz w:val="24"/>
          <w:szCs w:val="24"/>
        </w:rPr>
        <w:t>inappropriate.</w:t>
      </w:r>
      <w:r>
        <w:rPr>
          <w:rFonts w:ascii="Times New Roman" w:hAnsi="Times New Roman"/>
          <w:sz w:val="24"/>
          <w:szCs w:val="24"/>
        </w:rPr>
        <w:t xml:space="preserve"> The result of the ARCH test is presented in table </w:t>
      </w:r>
      <w:r w:rsidR="00F15AD2">
        <w:rPr>
          <w:rFonts w:ascii="Times New Roman" w:hAnsi="Times New Roman"/>
          <w:sz w:val="24"/>
          <w:szCs w:val="24"/>
        </w:rPr>
        <w:t>4</w:t>
      </w:r>
      <w:r>
        <w:rPr>
          <w:rFonts w:ascii="Times New Roman" w:hAnsi="Times New Roman"/>
          <w:sz w:val="24"/>
          <w:szCs w:val="24"/>
        </w:rPr>
        <w:t xml:space="preserve"> below;</w:t>
      </w:r>
    </w:p>
    <w:p w14:paraId="2CFD5ED4" w14:textId="77777777" w:rsidR="00F15AD2" w:rsidRDefault="00F15AD2" w:rsidP="00C45F51">
      <w:pPr>
        <w:autoSpaceDE w:val="0"/>
        <w:autoSpaceDN w:val="0"/>
        <w:adjustRightInd w:val="0"/>
        <w:spacing w:after="0" w:line="240" w:lineRule="auto"/>
        <w:rPr>
          <w:rFonts w:ascii="Times New Roman" w:hAnsi="Times New Roman"/>
          <w:b/>
          <w:color w:val="000000"/>
          <w:sz w:val="24"/>
          <w:szCs w:val="24"/>
        </w:rPr>
        <w:sectPr w:rsidR="00F15AD2" w:rsidSect="00F15AD2">
          <w:type w:val="continuous"/>
          <w:pgSz w:w="12240" w:h="15840"/>
          <w:pgMar w:top="1135" w:right="1440" w:bottom="1440" w:left="1440" w:header="720" w:footer="720" w:gutter="0"/>
          <w:cols w:num="2" w:space="720"/>
          <w:docGrid w:linePitch="360"/>
        </w:sectPr>
      </w:pPr>
    </w:p>
    <w:tbl>
      <w:tblPr>
        <w:tblW w:w="0" w:type="auto"/>
        <w:tblInd w:w="1011" w:type="dxa"/>
        <w:tblLayout w:type="fixed"/>
        <w:tblCellMar>
          <w:left w:w="0" w:type="dxa"/>
          <w:right w:w="0" w:type="dxa"/>
        </w:tblCellMar>
        <w:tblLook w:val="0000" w:firstRow="0" w:lastRow="0" w:firstColumn="0" w:lastColumn="0" w:noHBand="0" w:noVBand="0"/>
      </w:tblPr>
      <w:tblGrid>
        <w:gridCol w:w="2216"/>
        <w:gridCol w:w="1212"/>
        <w:gridCol w:w="2571"/>
        <w:gridCol w:w="989"/>
        <w:gridCol w:w="1095"/>
      </w:tblGrid>
      <w:tr w:rsidR="00D31621" w14:paraId="1509BACE" w14:textId="77777777" w:rsidTr="00F15AD2">
        <w:trPr>
          <w:trHeight w:val="245"/>
        </w:trPr>
        <w:tc>
          <w:tcPr>
            <w:tcW w:w="5999" w:type="dxa"/>
            <w:gridSpan w:val="3"/>
            <w:tcBorders>
              <w:top w:val="nil"/>
              <w:left w:val="nil"/>
              <w:bottom w:val="nil"/>
              <w:right w:val="nil"/>
            </w:tcBorders>
            <w:vAlign w:val="bottom"/>
          </w:tcPr>
          <w:p w14:paraId="7F18C3B3" w14:textId="77777777" w:rsidR="005F1037" w:rsidRDefault="005F1037" w:rsidP="00C45F51">
            <w:pPr>
              <w:autoSpaceDE w:val="0"/>
              <w:autoSpaceDN w:val="0"/>
              <w:adjustRightInd w:val="0"/>
              <w:spacing w:after="0" w:line="240" w:lineRule="auto"/>
              <w:rPr>
                <w:rFonts w:ascii="Times New Roman" w:hAnsi="Times New Roman"/>
                <w:b/>
                <w:color w:val="000000"/>
                <w:sz w:val="24"/>
                <w:szCs w:val="24"/>
              </w:rPr>
            </w:pPr>
          </w:p>
          <w:p w14:paraId="32F72D08" w14:textId="678BF3E7" w:rsidR="00D31621" w:rsidRDefault="00D31621" w:rsidP="00C45F51">
            <w:pPr>
              <w:autoSpaceDE w:val="0"/>
              <w:autoSpaceDN w:val="0"/>
              <w:adjustRightInd w:val="0"/>
              <w:spacing w:after="0" w:line="240" w:lineRule="auto"/>
              <w:rPr>
                <w:rFonts w:ascii="Times New Roman" w:hAnsi="Times New Roman"/>
                <w:b/>
                <w:color w:val="000000"/>
                <w:sz w:val="24"/>
                <w:szCs w:val="24"/>
              </w:rPr>
            </w:pPr>
            <w:r w:rsidRPr="0066101E">
              <w:rPr>
                <w:rFonts w:ascii="Times New Roman" w:hAnsi="Times New Roman"/>
                <w:b/>
                <w:color w:val="000000"/>
                <w:sz w:val="24"/>
                <w:szCs w:val="24"/>
              </w:rPr>
              <w:t xml:space="preserve">Table </w:t>
            </w:r>
            <w:r>
              <w:rPr>
                <w:rFonts w:ascii="Times New Roman" w:hAnsi="Times New Roman"/>
                <w:b/>
                <w:color w:val="000000"/>
                <w:sz w:val="24"/>
                <w:szCs w:val="24"/>
              </w:rPr>
              <w:t>4</w:t>
            </w:r>
            <w:r w:rsidRPr="0066101E">
              <w:rPr>
                <w:rFonts w:ascii="Times New Roman" w:hAnsi="Times New Roman"/>
                <w:b/>
                <w:color w:val="000000"/>
                <w:sz w:val="24"/>
                <w:szCs w:val="24"/>
              </w:rPr>
              <w:t>: Pre-</w:t>
            </w:r>
            <w:r>
              <w:rPr>
                <w:rFonts w:ascii="Times New Roman" w:hAnsi="Times New Roman"/>
                <w:b/>
                <w:color w:val="000000"/>
                <w:sz w:val="24"/>
                <w:szCs w:val="24"/>
              </w:rPr>
              <w:t>estimation,</w:t>
            </w:r>
            <w:r w:rsidRPr="0066101E">
              <w:rPr>
                <w:rFonts w:ascii="Times New Roman" w:hAnsi="Times New Roman"/>
                <w:b/>
                <w:color w:val="000000"/>
                <w:sz w:val="24"/>
                <w:szCs w:val="24"/>
              </w:rPr>
              <w:t xml:space="preserve"> Heteroskedasticity Test: ARCH</w:t>
            </w:r>
          </w:p>
          <w:p w14:paraId="4F8751F7" w14:textId="77777777" w:rsidR="00D31621" w:rsidRPr="0066101E" w:rsidRDefault="00D31621" w:rsidP="00C45F51">
            <w:pPr>
              <w:autoSpaceDE w:val="0"/>
              <w:autoSpaceDN w:val="0"/>
              <w:adjustRightInd w:val="0"/>
              <w:spacing w:after="0" w:line="240" w:lineRule="auto"/>
              <w:rPr>
                <w:rFonts w:ascii="Times New Roman" w:hAnsi="Times New Roman"/>
                <w:b/>
                <w:color w:val="000000"/>
                <w:sz w:val="24"/>
                <w:szCs w:val="24"/>
              </w:rPr>
            </w:pPr>
          </w:p>
        </w:tc>
        <w:tc>
          <w:tcPr>
            <w:tcW w:w="988" w:type="dxa"/>
            <w:tcBorders>
              <w:top w:val="nil"/>
              <w:left w:val="nil"/>
              <w:bottom w:val="nil"/>
              <w:right w:val="nil"/>
            </w:tcBorders>
            <w:vAlign w:val="bottom"/>
          </w:tcPr>
          <w:p w14:paraId="15604434"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1095" w:type="dxa"/>
            <w:tcBorders>
              <w:top w:val="nil"/>
              <w:left w:val="nil"/>
              <w:bottom w:val="nil"/>
              <w:right w:val="nil"/>
            </w:tcBorders>
            <w:vAlign w:val="bottom"/>
          </w:tcPr>
          <w:p w14:paraId="29253FB5"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r>
      <w:tr w:rsidR="00D31621" w14:paraId="226E8D6E" w14:textId="77777777" w:rsidTr="00F15AD2">
        <w:trPr>
          <w:trHeight w:hRule="exact" w:val="98"/>
        </w:trPr>
        <w:tc>
          <w:tcPr>
            <w:tcW w:w="2216" w:type="dxa"/>
            <w:tcBorders>
              <w:top w:val="nil"/>
              <w:left w:val="nil"/>
              <w:bottom w:val="double" w:sz="6" w:space="2" w:color="auto"/>
              <w:right w:val="nil"/>
            </w:tcBorders>
            <w:vAlign w:val="bottom"/>
          </w:tcPr>
          <w:p w14:paraId="31501F38"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1212" w:type="dxa"/>
            <w:tcBorders>
              <w:top w:val="nil"/>
              <w:left w:val="nil"/>
              <w:bottom w:val="double" w:sz="6" w:space="2" w:color="auto"/>
              <w:right w:val="nil"/>
            </w:tcBorders>
            <w:vAlign w:val="bottom"/>
          </w:tcPr>
          <w:p w14:paraId="69CA6B87"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2571" w:type="dxa"/>
            <w:tcBorders>
              <w:top w:val="nil"/>
              <w:left w:val="nil"/>
              <w:bottom w:val="double" w:sz="6" w:space="2" w:color="auto"/>
              <w:right w:val="nil"/>
            </w:tcBorders>
            <w:vAlign w:val="bottom"/>
          </w:tcPr>
          <w:p w14:paraId="158BFF20"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988" w:type="dxa"/>
            <w:tcBorders>
              <w:top w:val="nil"/>
              <w:left w:val="nil"/>
              <w:bottom w:val="double" w:sz="6" w:space="2" w:color="auto"/>
              <w:right w:val="nil"/>
            </w:tcBorders>
            <w:vAlign w:val="bottom"/>
          </w:tcPr>
          <w:p w14:paraId="36C72360"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1095" w:type="dxa"/>
            <w:tcBorders>
              <w:top w:val="nil"/>
              <w:left w:val="nil"/>
              <w:bottom w:val="double" w:sz="6" w:space="2" w:color="auto"/>
              <w:right w:val="nil"/>
            </w:tcBorders>
            <w:vAlign w:val="bottom"/>
          </w:tcPr>
          <w:p w14:paraId="10A4EEEC"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r>
      <w:tr w:rsidR="00D31621" w14:paraId="0542696B" w14:textId="77777777" w:rsidTr="00F15AD2">
        <w:trPr>
          <w:trHeight w:hRule="exact" w:val="147"/>
        </w:trPr>
        <w:tc>
          <w:tcPr>
            <w:tcW w:w="2216" w:type="dxa"/>
            <w:tcBorders>
              <w:top w:val="nil"/>
              <w:left w:val="nil"/>
              <w:bottom w:val="nil"/>
              <w:right w:val="nil"/>
            </w:tcBorders>
            <w:vAlign w:val="bottom"/>
          </w:tcPr>
          <w:p w14:paraId="0634898F"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1212" w:type="dxa"/>
            <w:tcBorders>
              <w:top w:val="nil"/>
              <w:left w:val="nil"/>
              <w:bottom w:val="nil"/>
              <w:right w:val="nil"/>
            </w:tcBorders>
            <w:vAlign w:val="bottom"/>
          </w:tcPr>
          <w:p w14:paraId="288DE933"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2571" w:type="dxa"/>
            <w:tcBorders>
              <w:top w:val="nil"/>
              <w:left w:val="nil"/>
              <w:bottom w:val="nil"/>
              <w:right w:val="nil"/>
            </w:tcBorders>
            <w:vAlign w:val="bottom"/>
          </w:tcPr>
          <w:p w14:paraId="6738107B"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988" w:type="dxa"/>
            <w:tcBorders>
              <w:top w:val="nil"/>
              <w:left w:val="nil"/>
              <w:bottom w:val="nil"/>
              <w:right w:val="nil"/>
            </w:tcBorders>
            <w:vAlign w:val="bottom"/>
          </w:tcPr>
          <w:p w14:paraId="6CDD3F68"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1095" w:type="dxa"/>
            <w:tcBorders>
              <w:top w:val="nil"/>
              <w:left w:val="nil"/>
              <w:bottom w:val="nil"/>
              <w:right w:val="nil"/>
            </w:tcBorders>
            <w:vAlign w:val="bottom"/>
          </w:tcPr>
          <w:p w14:paraId="7ED67B3A"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r>
      <w:tr w:rsidR="00D31621" w14:paraId="377337EA" w14:textId="77777777" w:rsidTr="00F15AD2">
        <w:trPr>
          <w:trHeight w:val="245"/>
        </w:trPr>
        <w:tc>
          <w:tcPr>
            <w:tcW w:w="2216" w:type="dxa"/>
            <w:tcBorders>
              <w:top w:val="nil"/>
              <w:left w:val="nil"/>
              <w:bottom w:val="nil"/>
              <w:right w:val="nil"/>
            </w:tcBorders>
            <w:vAlign w:val="bottom"/>
          </w:tcPr>
          <w:p w14:paraId="5FD2DF66" w14:textId="77777777" w:rsidR="00D31621" w:rsidRDefault="00D31621" w:rsidP="00C45F51">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F-statistic</w:t>
            </w:r>
          </w:p>
        </w:tc>
        <w:tc>
          <w:tcPr>
            <w:tcW w:w="1212" w:type="dxa"/>
            <w:tcBorders>
              <w:top w:val="nil"/>
              <w:left w:val="nil"/>
              <w:bottom w:val="nil"/>
              <w:right w:val="nil"/>
            </w:tcBorders>
            <w:vAlign w:val="bottom"/>
          </w:tcPr>
          <w:p w14:paraId="37D1285E" w14:textId="77777777" w:rsidR="00D31621" w:rsidRDefault="00D31621" w:rsidP="00C45F51">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135.5781</w:t>
            </w:r>
          </w:p>
        </w:tc>
        <w:tc>
          <w:tcPr>
            <w:tcW w:w="3560" w:type="dxa"/>
            <w:gridSpan w:val="2"/>
            <w:tcBorders>
              <w:top w:val="nil"/>
              <w:left w:val="nil"/>
              <w:bottom w:val="nil"/>
              <w:right w:val="nil"/>
            </w:tcBorders>
            <w:vAlign w:val="bottom"/>
          </w:tcPr>
          <w:p w14:paraId="6E066F98" w14:textId="77777777" w:rsidR="00D31621" w:rsidRDefault="00D31621" w:rsidP="00C45F51">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Prob. F(1,124)</w:t>
            </w:r>
          </w:p>
        </w:tc>
        <w:tc>
          <w:tcPr>
            <w:tcW w:w="1095" w:type="dxa"/>
            <w:tcBorders>
              <w:top w:val="nil"/>
              <w:left w:val="nil"/>
              <w:bottom w:val="nil"/>
              <w:right w:val="nil"/>
            </w:tcBorders>
            <w:vAlign w:val="bottom"/>
          </w:tcPr>
          <w:p w14:paraId="07F40512" w14:textId="77777777" w:rsidR="00D31621" w:rsidRDefault="00D31621" w:rsidP="00C45F51">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0.0000</w:t>
            </w:r>
          </w:p>
        </w:tc>
      </w:tr>
      <w:tr w:rsidR="00D31621" w14:paraId="1CEFF696" w14:textId="77777777" w:rsidTr="00F15AD2">
        <w:trPr>
          <w:trHeight w:val="245"/>
        </w:trPr>
        <w:tc>
          <w:tcPr>
            <w:tcW w:w="2216" w:type="dxa"/>
            <w:tcBorders>
              <w:top w:val="nil"/>
              <w:left w:val="nil"/>
              <w:bottom w:val="nil"/>
              <w:right w:val="nil"/>
            </w:tcBorders>
            <w:vAlign w:val="bottom"/>
          </w:tcPr>
          <w:p w14:paraId="5A34E492" w14:textId="77777777" w:rsidR="00D31621" w:rsidRDefault="00D31621" w:rsidP="00C45F51">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Obs*R-squared</w:t>
            </w:r>
          </w:p>
        </w:tc>
        <w:tc>
          <w:tcPr>
            <w:tcW w:w="1212" w:type="dxa"/>
            <w:tcBorders>
              <w:top w:val="nil"/>
              <w:left w:val="nil"/>
              <w:bottom w:val="nil"/>
              <w:right w:val="nil"/>
            </w:tcBorders>
            <w:vAlign w:val="bottom"/>
          </w:tcPr>
          <w:p w14:paraId="3A31A9B4" w14:textId="77777777" w:rsidR="00D31621" w:rsidRDefault="00D31621" w:rsidP="00C45F51">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65.81001</w:t>
            </w:r>
          </w:p>
        </w:tc>
        <w:tc>
          <w:tcPr>
            <w:tcW w:w="3560" w:type="dxa"/>
            <w:gridSpan w:val="2"/>
            <w:tcBorders>
              <w:top w:val="nil"/>
              <w:left w:val="nil"/>
              <w:bottom w:val="nil"/>
              <w:right w:val="nil"/>
            </w:tcBorders>
            <w:vAlign w:val="bottom"/>
          </w:tcPr>
          <w:p w14:paraId="1E48311D" w14:textId="77777777" w:rsidR="00D31621" w:rsidRDefault="00D31621" w:rsidP="00C45F51">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Prob. Chi-Square(1)</w:t>
            </w:r>
          </w:p>
        </w:tc>
        <w:tc>
          <w:tcPr>
            <w:tcW w:w="1095" w:type="dxa"/>
            <w:tcBorders>
              <w:top w:val="nil"/>
              <w:left w:val="nil"/>
              <w:bottom w:val="nil"/>
              <w:right w:val="nil"/>
            </w:tcBorders>
            <w:vAlign w:val="bottom"/>
          </w:tcPr>
          <w:p w14:paraId="5290ED64" w14:textId="77777777" w:rsidR="00D31621" w:rsidRDefault="00D31621" w:rsidP="00C45F51">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0.0000</w:t>
            </w:r>
          </w:p>
        </w:tc>
      </w:tr>
      <w:tr w:rsidR="00D31621" w14:paraId="0FF1A2BD" w14:textId="77777777" w:rsidTr="00F15AD2">
        <w:trPr>
          <w:trHeight w:hRule="exact" w:val="98"/>
        </w:trPr>
        <w:tc>
          <w:tcPr>
            <w:tcW w:w="2216" w:type="dxa"/>
            <w:tcBorders>
              <w:top w:val="nil"/>
              <w:left w:val="nil"/>
              <w:bottom w:val="double" w:sz="6" w:space="2" w:color="auto"/>
              <w:right w:val="nil"/>
            </w:tcBorders>
            <w:vAlign w:val="bottom"/>
          </w:tcPr>
          <w:p w14:paraId="3CD3A97D"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1212" w:type="dxa"/>
            <w:tcBorders>
              <w:top w:val="nil"/>
              <w:left w:val="nil"/>
              <w:bottom w:val="double" w:sz="6" w:space="2" w:color="auto"/>
              <w:right w:val="nil"/>
            </w:tcBorders>
            <w:vAlign w:val="bottom"/>
          </w:tcPr>
          <w:p w14:paraId="1F1A07D0"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2571" w:type="dxa"/>
            <w:tcBorders>
              <w:top w:val="nil"/>
              <w:left w:val="nil"/>
              <w:bottom w:val="double" w:sz="6" w:space="2" w:color="auto"/>
              <w:right w:val="nil"/>
            </w:tcBorders>
            <w:vAlign w:val="bottom"/>
          </w:tcPr>
          <w:p w14:paraId="44AA8384"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988" w:type="dxa"/>
            <w:tcBorders>
              <w:top w:val="nil"/>
              <w:left w:val="nil"/>
              <w:bottom w:val="double" w:sz="6" w:space="2" w:color="auto"/>
              <w:right w:val="nil"/>
            </w:tcBorders>
            <w:vAlign w:val="bottom"/>
          </w:tcPr>
          <w:p w14:paraId="5C842755"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1095" w:type="dxa"/>
            <w:tcBorders>
              <w:top w:val="nil"/>
              <w:left w:val="nil"/>
              <w:bottom w:val="double" w:sz="6" w:space="2" w:color="auto"/>
              <w:right w:val="nil"/>
            </w:tcBorders>
            <w:vAlign w:val="bottom"/>
          </w:tcPr>
          <w:p w14:paraId="54E5D38D"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r>
      <w:tr w:rsidR="00D31621" w14:paraId="54239D33" w14:textId="77777777" w:rsidTr="00F15AD2">
        <w:trPr>
          <w:trHeight w:hRule="exact" w:val="147"/>
        </w:trPr>
        <w:tc>
          <w:tcPr>
            <w:tcW w:w="2216" w:type="dxa"/>
            <w:tcBorders>
              <w:top w:val="nil"/>
              <w:left w:val="nil"/>
              <w:bottom w:val="nil"/>
              <w:right w:val="nil"/>
            </w:tcBorders>
            <w:vAlign w:val="bottom"/>
          </w:tcPr>
          <w:p w14:paraId="43FCF052"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1212" w:type="dxa"/>
            <w:tcBorders>
              <w:top w:val="nil"/>
              <w:left w:val="nil"/>
              <w:bottom w:val="nil"/>
              <w:right w:val="nil"/>
            </w:tcBorders>
            <w:vAlign w:val="bottom"/>
          </w:tcPr>
          <w:p w14:paraId="599C5473"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2571" w:type="dxa"/>
            <w:tcBorders>
              <w:top w:val="nil"/>
              <w:left w:val="nil"/>
              <w:bottom w:val="nil"/>
              <w:right w:val="nil"/>
            </w:tcBorders>
            <w:vAlign w:val="bottom"/>
          </w:tcPr>
          <w:p w14:paraId="5D60B7BC"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988" w:type="dxa"/>
            <w:tcBorders>
              <w:top w:val="nil"/>
              <w:left w:val="nil"/>
              <w:bottom w:val="nil"/>
              <w:right w:val="nil"/>
            </w:tcBorders>
            <w:vAlign w:val="bottom"/>
          </w:tcPr>
          <w:p w14:paraId="6275A014"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1095" w:type="dxa"/>
            <w:tcBorders>
              <w:top w:val="nil"/>
              <w:left w:val="nil"/>
              <w:bottom w:val="nil"/>
              <w:right w:val="nil"/>
            </w:tcBorders>
            <w:vAlign w:val="bottom"/>
          </w:tcPr>
          <w:p w14:paraId="558B17F9"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r>
      <w:tr w:rsidR="00D31621" w14:paraId="5D36A7D4" w14:textId="77777777" w:rsidTr="00F15AD2">
        <w:trPr>
          <w:trHeight w:val="245"/>
        </w:trPr>
        <w:tc>
          <w:tcPr>
            <w:tcW w:w="2216" w:type="dxa"/>
            <w:tcBorders>
              <w:top w:val="nil"/>
              <w:left w:val="nil"/>
              <w:bottom w:val="nil"/>
              <w:right w:val="nil"/>
            </w:tcBorders>
            <w:vAlign w:val="bottom"/>
          </w:tcPr>
          <w:p w14:paraId="75527D06"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1212" w:type="dxa"/>
            <w:tcBorders>
              <w:top w:val="nil"/>
              <w:left w:val="nil"/>
              <w:bottom w:val="nil"/>
              <w:right w:val="nil"/>
            </w:tcBorders>
            <w:vAlign w:val="bottom"/>
          </w:tcPr>
          <w:p w14:paraId="789344AA"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2571" w:type="dxa"/>
            <w:tcBorders>
              <w:top w:val="nil"/>
              <w:left w:val="nil"/>
              <w:bottom w:val="nil"/>
              <w:right w:val="nil"/>
            </w:tcBorders>
            <w:vAlign w:val="bottom"/>
          </w:tcPr>
          <w:p w14:paraId="44BE26C4"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988" w:type="dxa"/>
            <w:tcBorders>
              <w:top w:val="nil"/>
              <w:left w:val="nil"/>
              <w:bottom w:val="nil"/>
              <w:right w:val="nil"/>
            </w:tcBorders>
            <w:vAlign w:val="bottom"/>
          </w:tcPr>
          <w:p w14:paraId="4DE21487"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1095" w:type="dxa"/>
            <w:tcBorders>
              <w:top w:val="nil"/>
              <w:left w:val="nil"/>
              <w:bottom w:val="nil"/>
              <w:right w:val="nil"/>
            </w:tcBorders>
            <w:vAlign w:val="bottom"/>
          </w:tcPr>
          <w:p w14:paraId="753A6B63"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r>
      <w:tr w:rsidR="00D31621" w14:paraId="50AD50DB" w14:textId="77777777" w:rsidTr="00F15AD2">
        <w:trPr>
          <w:trHeight w:hRule="exact" w:val="98"/>
        </w:trPr>
        <w:tc>
          <w:tcPr>
            <w:tcW w:w="2216" w:type="dxa"/>
            <w:tcBorders>
              <w:top w:val="nil"/>
              <w:left w:val="nil"/>
              <w:bottom w:val="double" w:sz="6" w:space="0" w:color="auto"/>
              <w:right w:val="nil"/>
            </w:tcBorders>
            <w:vAlign w:val="bottom"/>
          </w:tcPr>
          <w:p w14:paraId="14D15B64"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1212" w:type="dxa"/>
            <w:tcBorders>
              <w:top w:val="nil"/>
              <w:left w:val="nil"/>
              <w:bottom w:val="double" w:sz="6" w:space="0" w:color="auto"/>
              <w:right w:val="nil"/>
            </w:tcBorders>
            <w:vAlign w:val="bottom"/>
          </w:tcPr>
          <w:p w14:paraId="3EABC9F8"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2571" w:type="dxa"/>
            <w:tcBorders>
              <w:top w:val="nil"/>
              <w:left w:val="nil"/>
              <w:bottom w:val="double" w:sz="6" w:space="0" w:color="auto"/>
              <w:right w:val="nil"/>
            </w:tcBorders>
            <w:vAlign w:val="bottom"/>
          </w:tcPr>
          <w:p w14:paraId="5F70033D"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988" w:type="dxa"/>
            <w:tcBorders>
              <w:top w:val="nil"/>
              <w:left w:val="nil"/>
              <w:bottom w:val="double" w:sz="6" w:space="0" w:color="auto"/>
              <w:right w:val="nil"/>
            </w:tcBorders>
            <w:vAlign w:val="bottom"/>
          </w:tcPr>
          <w:p w14:paraId="67391453"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1095" w:type="dxa"/>
            <w:tcBorders>
              <w:top w:val="nil"/>
              <w:left w:val="nil"/>
              <w:bottom w:val="double" w:sz="6" w:space="0" w:color="auto"/>
              <w:right w:val="nil"/>
            </w:tcBorders>
            <w:vAlign w:val="bottom"/>
          </w:tcPr>
          <w:p w14:paraId="13CD93D7"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r>
      <w:tr w:rsidR="00D31621" w14:paraId="7464E53E" w14:textId="77777777" w:rsidTr="00F15AD2">
        <w:trPr>
          <w:trHeight w:hRule="exact" w:val="147"/>
        </w:trPr>
        <w:tc>
          <w:tcPr>
            <w:tcW w:w="2216" w:type="dxa"/>
            <w:tcBorders>
              <w:top w:val="nil"/>
              <w:left w:val="nil"/>
              <w:bottom w:val="nil"/>
              <w:right w:val="nil"/>
            </w:tcBorders>
            <w:vAlign w:val="bottom"/>
          </w:tcPr>
          <w:p w14:paraId="2403D2C7"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1212" w:type="dxa"/>
            <w:tcBorders>
              <w:top w:val="nil"/>
              <w:left w:val="nil"/>
              <w:bottom w:val="nil"/>
              <w:right w:val="nil"/>
            </w:tcBorders>
            <w:vAlign w:val="bottom"/>
          </w:tcPr>
          <w:p w14:paraId="41B9E161"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2571" w:type="dxa"/>
            <w:tcBorders>
              <w:top w:val="nil"/>
              <w:left w:val="nil"/>
              <w:bottom w:val="nil"/>
              <w:right w:val="nil"/>
            </w:tcBorders>
            <w:vAlign w:val="bottom"/>
          </w:tcPr>
          <w:p w14:paraId="13080BDA"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988" w:type="dxa"/>
            <w:tcBorders>
              <w:top w:val="nil"/>
              <w:left w:val="nil"/>
              <w:bottom w:val="nil"/>
              <w:right w:val="nil"/>
            </w:tcBorders>
            <w:vAlign w:val="bottom"/>
          </w:tcPr>
          <w:p w14:paraId="36BB53DB"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1095" w:type="dxa"/>
            <w:tcBorders>
              <w:top w:val="nil"/>
              <w:left w:val="nil"/>
              <w:bottom w:val="nil"/>
              <w:right w:val="nil"/>
            </w:tcBorders>
            <w:vAlign w:val="bottom"/>
          </w:tcPr>
          <w:p w14:paraId="4B8CD219"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r>
    </w:tbl>
    <w:p w14:paraId="5DBB6565" w14:textId="77777777" w:rsidR="00BD7074" w:rsidRPr="00F15AD2" w:rsidRDefault="00D31621" w:rsidP="00C45F51">
      <w:pPr>
        <w:spacing w:after="0" w:line="240" w:lineRule="auto"/>
        <w:ind w:left="720" w:firstLine="720"/>
        <w:jc w:val="both"/>
        <w:rPr>
          <w:rFonts w:ascii="Times New Roman" w:hAnsi="Times New Roman"/>
          <w:b/>
          <w:bCs/>
          <w:i/>
          <w:iCs/>
          <w:sz w:val="20"/>
          <w:szCs w:val="20"/>
        </w:rPr>
      </w:pPr>
      <w:r w:rsidRPr="00F15AD2">
        <w:rPr>
          <w:rFonts w:ascii="Times New Roman" w:hAnsi="Times New Roman"/>
          <w:b/>
          <w:bCs/>
          <w:i/>
          <w:iCs/>
          <w:sz w:val="20"/>
          <w:szCs w:val="20"/>
        </w:rPr>
        <w:t>Source: Author’s Computation using Eviews 10</w:t>
      </w:r>
    </w:p>
    <w:p w14:paraId="792DC6DA" w14:textId="77777777" w:rsidR="0002608C" w:rsidRDefault="0002608C" w:rsidP="00C45F51">
      <w:pPr>
        <w:spacing w:after="0" w:line="240" w:lineRule="auto"/>
        <w:ind w:left="720" w:firstLine="720"/>
        <w:jc w:val="both"/>
        <w:rPr>
          <w:rFonts w:ascii="Arial" w:hAnsi="Arial" w:cs="Arial"/>
          <w:sz w:val="18"/>
          <w:szCs w:val="18"/>
        </w:rPr>
      </w:pPr>
    </w:p>
    <w:p w14:paraId="53B2BCBE" w14:textId="77777777" w:rsidR="00F15AD2" w:rsidRDefault="00F15AD2" w:rsidP="00F15AD2">
      <w:pPr>
        <w:spacing w:after="0" w:line="240" w:lineRule="auto"/>
        <w:rPr>
          <w:rFonts w:ascii="Times New Roman" w:hAnsi="Times New Roman"/>
          <w:sz w:val="24"/>
          <w:szCs w:val="24"/>
        </w:rPr>
        <w:sectPr w:rsidR="00F15AD2" w:rsidSect="004267E7">
          <w:type w:val="continuous"/>
          <w:pgSz w:w="12240" w:h="15840"/>
          <w:pgMar w:top="1135" w:right="1440" w:bottom="1440" w:left="1440" w:header="720" w:footer="720" w:gutter="0"/>
          <w:cols w:space="720"/>
          <w:docGrid w:linePitch="360"/>
        </w:sectPr>
      </w:pPr>
    </w:p>
    <w:p w14:paraId="6C32A05D" w14:textId="1D07EA43" w:rsidR="00D31621" w:rsidRPr="00B66353" w:rsidRDefault="00D31621" w:rsidP="00F15AD2">
      <w:pPr>
        <w:spacing w:after="0" w:line="240" w:lineRule="auto"/>
        <w:rPr>
          <w:rFonts w:ascii="Times New Roman" w:hAnsi="Times New Roman"/>
          <w:sz w:val="24"/>
          <w:szCs w:val="24"/>
        </w:rPr>
      </w:pPr>
      <w:r>
        <w:rPr>
          <w:rFonts w:ascii="Times New Roman" w:hAnsi="Times New Roman"/>
          <w:sz w:val="24"/>
          <w:szCs w:val="24"/>
        </w:rPr>
        <w:t xml:space="preserve">Table </w:t>
      </w:r>
      <w:r w:rsidR="005F1037">
        <w:rPr>
          <w:rFonts w:ascii="Times New Roman" w:hAnsi="Times New Roman"/>
          <w:sz w:val="24"/>
          <w:szCs w:val="24"/>
        </w:rPr>
        <w:t>4 showed</w:t>
      </w:r>
      <w:r w:rsidRPr="002F1ECF">
        <w:rPr>
          <w:rFonts w:ascii="Times New Roman" w:hAnsi="Times New Roman"/>
          <w:sz w:val="24"/>
          <w:szCs w:val="24"/>
        </w:rPr>
        <w:t xml:space="preserve"> the result of the </w:t>
      </w:r>
      <w:r w:rsidR="00A323E8">
        <w:rPr>
          <w:rFonts w:ascii="Times New Roman" w:hAnsi="Times New Roman"/>
          <w:sz w:val="24"/>
          <w:szCs w:val="24"/>
        </w:rPr>
        <w:t>pre-estimation</w:t>
      </w:r>
      <w:r>
        <w:rPr>
          <w:rFonts w:ascii="Times New Roman" w:hAnsi="Times New Roman"/>
          <w:sz w:val="24"/>
          <w:szCs w:val="24"/>
        </w:rPr>
        <w:t xml:space="preserve"> </w:t>
      </w:r>
      <w:r w:rsidRPr="002F1ECF">
        <w:rPr>
          <w:rFonts w:ascii="Times New Roman" w:hAnsi="Times New Roman"/>
          <w:sz w:val="24"/>
          <w:szCs w:val="24"/>
        </w:rPr>
        <w:t>test for autoregressive conditional heteroskedasticity (ARCH). The F-stat</w:t>
      </w:r>
      <w:r>
        <w:rPr>
          <w:rFonts w:ascii="Times New Roman" w:hAnsi="Times New Roman"/>
          <w:sz w:val="24"/>
          <w:szCs w:val="24"/>
        </w:rPr>
        <w:t>istic value of 135.5781</w:t>
      </w:r>
      <w:r w:rsidRPr="002F1ECF">
        <w:rPr>
          <w:rFonts w:ascii="Times New Roman" w:hAnsi="Times New Roman"/>
          <w:sz w:val="24"/>
          <w:szCs w:val="24"/>
        </w:rPr>
        <w:t xml:space="preserve"> and </w:t>
      </w:r>
      <w:r>
        <w:rPr>
          <w:rFonts w:ascii="Times New Roman" w:hAnsi="Times New Roman"/>
          <w:sz w:val="24"/>
          <w:szCs w:val="24"/>
        </w:rPr>
        <w:t xml:space="preserve">probability of F-statistic </w:t>
      </w:r>
      <w:r w:rsidRPr="002F1ECF">
        <w:rPr>
          <w:rFonts w:ascii="Times New Roman" w:hAnsi="Times New Roman"/>
          <w:sz w:val="24"/>
          <w:szCs w:val="24"/>
        </w:rPr>
        <w:t>0.0</w:t>
      </w:r>
      <w:r>
        <w:rPr>
          <w:rFonts w:ascii="Times New Roman" w:hAnsi="Times New Roman"/>
          <w:sz w:val="24"/>
          <w:szCs w:val="24"/>
        </w:rPr>
        <w:t>000</w:t>
      </w:r>
      <w:r w:rsidRPr="002F1ECF">
        <w:rPr>
          <w:rFonts w:ascii="Times New Roman" w:hAnsi="Times New Roman"/>
          <w:sz w:val="24"/>
          <w:szCs w:val="24"/>
        </w:rPr>
        <w:t xml:space="preserve"> show that, sufficient evidence </w:t>
      </w:r>
      <w:r w:rsidR="00A323E8" w:rsidRPr="002F1ECF">
        <w:rPr>
          <w:rFonts w:ascii="Times New Roman" w:hAnsi="Times New Roman"/>
          <w:sz w:val="24"/>
          <w:szCs w:val="24"/>
        </w:rPr>
        <w:t>does</w:t>
      </w:r>
      <w:r w:rsidRPr="002F1ECF">
        <w:rPr>
          <w:rFonts w:ascii="Times New Roman" w:hAnsi="Times New Roman"/>
          <w:sz w:val="24"/>
          <w:szCs w:val="24"/>
        </w:rPr>
        <w:t xml:space="preserve"> not exist to accept the null hypothesis of the absence of ARCH effect. The null hypothesis is therefore rejected in </w:t>
      </w:r>
      <w:r w:rsidRPr="002F1ECF">
        <w:rPr>
          <w:rFonts w:ascii="Times New Roman" w:hAnsi="Times New Roman"/>
          <w:sz w:val="24"/>
          <w:szCs w:val="24"/>
        </w:rPr>
        <w:t>favor of the alternative hypothesis of the presence of ARCH effect in the model. This implies that the series in question is volatil</w:t>
      </w:r>
      <w:r>
        <w:rPr>
          <w:rFonts w:ascii="Times New Roman" w:hAnsi="Times New Roman"/>
          <w:sz w:val="24"/>
          <w:szCs w:val="24"/>
        </w:rPr>
        <w:t>e which requires mode</w:t>
      </w:r>
      <w:r w:rsidRPr="002F1ECF">
        <w:rPr>
          <w:rFonts w:ascii="Times New Roman" w:hAnsi="Times New Roman"/>
          <w:sz w:val="24"/>
          <w:szCs w:val="24"/>
        </w:rPr>
        <w:t xml:space="preserve">ling for volatility </w:t>
      </w:r>
      <w:r>
        <w:rPr>
          <w:rFonts w:ascii="Times New Roman" w:hAnsi="Times New Roman"/>
          <w:sz w:val="24"/>
          <w:szCs w:val="24"/>
        </w:rPr>
        <w:t xml:space="preserve">using the </w:t>
      </w:r>
      <w:r w:rsidRPr="009E128D">
        <w:rPr>
          <w:rFonts w:ascii="Times New Roman" w:hAnsi="Times New Roman"/>
          <w:sz w:val="24"/>
          <w:szCs w:val="24"/>
        </w:rPr>
        <w:t>Exponential General Autoregressive Conditional Heteroskedasticity</w:t>
      </w:r>
      <w:r>
        <w:rPr>
          <w:rFonts w:ascii="Times New Roman" w:hAnsi="Times New Roman"/>
          <w:sz w:val="24"/>
          <w:szCs w:val="24"/>
        </w:rPr>
        <w:t xml:space="preserve"> (E-GARCH) approach</w:t>
      </w:r>
      <w:r w:rsidRPr="002F1ECF">
        <w:rPr>
          <w:rFonts w:ascii="Times New Roman" w:hAnsi="Times New Roman"/>
          <w:sz w:val="24"/>
          <w:szCs w:val="24"/>
        </w:rPr>
        <w:t>.</w:t>
      </w:r>
      <w:r>
        <w:rPr>
          <w:rFonts w:ascii="Times New Roman" w:hAnsi="Times New Roman"/>
          <w:sz w:val="24"/>
          <w:szCs w:val="24"/>
        </w:rPr>
        <w:t xml:space="preserve"> The result of the estimated E-GARCH model is presented in the table </w:t>
      </w:r>
      <w:r w:rsidR="00F15AD2">
        <w:rPr>
          <w:rFonts w:ascii="Times New Roman" w:hAnsi="Times New Roman"/>
          <w:sz w:val="24"/>
          <w:szCs w:val="24"/>
        </w:rPr>
        <w:t>5</w:t>
      </w:r>
      <w:r>
        <w:rPr>
          <w:rFonts w:ascii="Times New Roman" w:hAnsi="Times New Roman"/>
          <w:sz w:val="24"/>
          <w:szCs w:val="24"/>
        </w:rPr>
        <w:t>:</w:t>
      </w:r>
    </w:p>
    <w:p w14:paraId="0AFFABE7" w14:textId="77777777" w:rsidR="00F15AD2" w:rsidRDefault="00F15AD2" w:rsidP="00C45F51">
      <w:pPr>
        <w:spacing w:after="0" w:line="240" w:lineRule="auto"/>
        <w:ind w:firstLine="720"/>
        <w:contextualSpacing/>
        <w:jc w:val="both"/>
        <w:rPr>
          <w:rFonts w:ascii="Times New Roman" w:hAnsi="Times New Roman"/>
          <w:b/>
          <w:bCs/>
          <w:sz w:val="12"/>
          <w:szCs w:val="24"/>
        </w:rPr>
        <w:sectPr w:rsidR="00F15AD2" w:rsidSect="00F15AD2">
          <w:type w:val="continuous"/>
          <w:pgSz w:w="12240" w:h="15840"/>
          <w:pgMar w:top="1135" w:right="1440" w:bottom="1440" w:left="1440" w:header="720" w:footer="720" w:gutter="0"/>
          <w:cols w:num="2" w:space="720"/>
          <w:docGrid w:linePitch="360"/>
        </w:sectPr>
      </w:pPr>
    </w:p>
    <w:p w14:paraId="6D3F03B2" w14:textId="77777777" w:rsidR="00743BF1" w:rsidRPr="00743BF1" w:rsidRDefault="00743BF1" w:rsidP="00C45F51">
      <w:pPr>
        <w:spacing w:after="0" w:line="240" w:lineRule="auto"/>
        <w:ind w:firstLine="720"/>
        <w:contextualSpacing/>
        <w:jc w:val="both"/>
        <w:rPr>
          <w:rFonts w:ascii="Times New Roman" w:hAnsi="Times New Roman"/>
          <w:b/>
          <w:bCs/>
          <w:sz w:val="12"/>
          <w:szCs w:val="24"/>
        </w:rPr>
      </w:pPr>
    </w:p>
    <w:p w14:paraId="765A0467" w14:textId="77777777" w:rsidR="00EA7F85" w:rsidRDefault="00EA7F85" w:rsidP="00C45F51">
      <w:pPr>
        <w:spacing w:after="0" w:line="240" w:lineRule="auto"/>
        <w:ind w:firstLine="720"/>
        <w:contextualSpacing/>
        <w:jc w:val="both"/>
        <w:rPr>
          <w:rFonts w:ascii="Times New Roman" w:hAnsi="Times New Roman"/>
          <w:b/>
          <w:bCs/>
          <w:sz w:val="24"/>
          <w:szCs w:val="24"/>
        </w:rPr>
      </w:pPr>
    </w:p>
    <w:p w14:paraId="257DC3DE" w14:textId="19D513F6" w:rsidR="00D31621" w:rsidRDefault="00D31621" w:rsidP="00F15AD2">
      <w:pPr>
        <w:spacing w:after="0" w:line="240" w:lineRule="auto"/>
        <w:contextualSpacing/>
        <w:jc w:val="both"/>
        <w:rPr>
          <w:rFonts w:ascii="Times New Roman" w:hAnsi="Times New Roman"/>
          <w:sz w:val="24"/>
          <w:szCs w:val="24"/>
        </w:rPr>
      </w:pPr>
      <w:r>
        <w:rPr>
          <w:rFonts w:ascii="Times New Roman" w:hAnsi="Times New Roman"/>
          <w:b/>
          <w:bCs/>
          <w:sz w:val="24"/>
          <w:szCs w:val="24"/>
        </w:rPr>
        <w:t xml:space="preserve">Table </w:t>
      </w:r>
      <w:r w:rsidR="005F1037">
        <w:rPr>
          <w:rFonts w:ascii="Times New Roman" w:hAnsi="Times New Roman"/>
          <w:b/>
          <w:bCs/>
          <w:sz w:val="24"/>
          <w:szCs w:val="24"/>
        </w:rPr>
        <w:t>5</w:t>
      </w:r>
      <w:r>
        <w:rPr>
          <w:rFonts w:ascii="Times New Roman" w:hAnsi="Times New Roman"/>
          <w:b/>
          <w:bCs/>
          <w:sz w:val="24"/>
          <w:szCs w:val="24"/>
        </w:rPr>
        <w:t>: E-GARCH</w:t>
      </w:r>
      <w:r w:rsidRPr="00456478">
        <w:rPr>
          <w:rFonts w:ascii="Times New Roman" w:hAnsi="Times New Roman"/>
          <w:b/>
          <w:bCs/>
          <w:sz w:val="24"/>
          <w:szCs w:val="24"/>
        </w:rPr>
        <w:t xml:space="preserve"> Model output</w:t>
      </w:r>
    </w:p>
    <w:p w14:paraId="64CFED65" w14:textId="77777777" w:rsidR="00D31621" w:rsidRPr="00456478" w:rsidRDefault="00D31621" w:rsidP="00C45F51">
      <w:pPr>
        <w:autoSpaceDE w:val="0"/>
        <w:autoSpaceDN w:val="0"/>
        <w:adjustRightInd w:val="0"/>
        <w:spacing w:after="0" w:line="240" w:lineRule="auto"/>
        <w:jc w:val="both"/>
        <w:rPr>
          <w:rFonts w:ascii="Arial" w:hAnsi="Arial" w:cs="Arial"/>
          <w:sz w:val="18"/>
          <w:szCs w:val="18"/>
        </w:rPr>
      </w:pPr>
    </w:p>
    <w:tbl>
      <w:tblPr>
        <w:tblW w:w="8729" w:type="dxa"/>
        <w:tblInd w:w="803" w:type="dxa"/>
        <w:tblLayout w:type="fixed"/>
        <w:tblCellMar>
          <w:left w:w="0" w:type="dxa"/>
          <w:right w:w="0" w:type="dxa"/>
        </w:tblCellMar>
        <w:tblLook w:val="0000" w:firstRow="0" w:lastRow="0" w:firstColumn="0" w:lastColumn="0" w:noHBand="0" w:noVBand="0"/>
      </w:tblPr>
      <w:tblGrid>
        <w:gridCol w:w="2695"/>
        <w:gridCol w:w="1474"/>
        <w:gridCol w:w="1613"/>
        <w:gridCol w:w="1613"/>
        <w:gridCol w:w="1334"/>
      </w:tblGrid>
      <w:tr w:rsidR="00D31621" w:rsidRPr="00812AD2" w14:paraId="742628E5" w14:textId="77777777" w:rsidTr="00F15AD2">
        <w:trPr>
          <w:trHeight w:val="209"/>
        </w:trPr>
        <w:tc>
          <w:tcPr>
            <w:tcW w:w="5782" w:type="dxa"/>
            <w:gridSpan w:val="3"/>
            <w:tcBorders>
              <w:top w:val="nil"/>
              <w:left w:val="nil"/>
              <w:bottom w:val="nil"/>
              <w:right w:val="nil"/>
            </w:tcBorders>
            <w:vAlign w:val="bottom"/>
          </w:tcPr>
          <w:p w14:paraId="17D31C0D"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r w:rsidRPr="00812AD2">
              <w:rPr>
                <w:rFonts w:ascii="Times New Roman" w:hAnsi="Times New Roman"/>
                <w:color w:val="000000"/>
                <w:sz w:val="24"/>
                <w:szCs w:val="24"/>
              </w:rPr>
              <w:t>Dependent Variable: SMR</w:t>
            </w:r>
          </w:p>
        </w:tc>
        <w:tc>
          <w:tcPr>
            <w:tcW w:w="1613" w:type="dxa"/>
            <w:tcBorders>
              <w:top w:val="nil"/>
              <w:left w:val="nil"/>
              <w:bottom w:val="nil"/>
              <w:right w:val="nil"/>
            </w:tcBorders>
            <w:vAlign w:val="bottom"/>
          </w:tcPr>
          <w:p w14:paraId="18E7E8D4"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333" w:type="dxa"/>
            <w:tcBorders>
              <w:top w:val="nil"/>
              <w:left w:val="nil"/>
              <w:bottom w:val="nil"/>
              <w:right w:val="nil"/>
            </w:tcBorders>
            <w:vAlign w:val="bottom"/>
          </w:tcPr>
          <w:p w14:paraId="13DBD925"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r>
      <w:tr w:rsidR="00D31621" w:rsidRPr="00812AD2" w14:paraId="34C780EC" w14:textId="77777777" w:rsidTr="00F15AD2">
        <w:trPr>
          <w:trHeight w:val="209"/>
        </w:trPr>
        <w:tc>
          <w:tcPr>
            <w:tcW w:w="8729" w:type="dxa"/>
            <w:gridSpan w:val="5"/>
            <w:tcBorders>
              <w:top w:val="nil"/>
              <w:left w:val="nil"/>
              <w:bottom w:val="nil"/>
              <w:right w:val="nil"/>
            </w:tcBorders>
            <w:vAlign w:val="bottom"/>
          </w:tcPr>
          <w:p w14:paraId="76FBCBD4"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r w:rsidRPr="00812AD2">
              <w:rPr>
                <w:rFonts w:ascii="Times New Roman" w:hAnsi="Times New Roman"/>
                <w:color w:val="000000"/>
                <w:sz w:val="24"/>
                <w:szCs w:val="24"/>
              </w:rPr>
              <w:t>Method: ML ARCH - Normal distribution (BFGS / Marquardt steps)</w:t>
            </w:r>
          </w:p>
        </w:tc>
      </w:tr>
      <w:tr w:rsidR="00D31621" w:rsidRPr="00812AD2" w14:paraId="5CC96186" w14:textId="77777777" w:rsidTr="00F15AD2">
        <w:trPr>
          <w:trHeight w:val="209"/>
        </w:trPr>
        <w:tc>
          <w:tcPr>
            <w:tcW w:w="8729" w:type="dxa"/>
            <w:gridSpan w:val="5"/>
            <w:tcBorders>
              <w:top w:val="nil"/>
              <w:left w:val="nil"/>
              <w:bottom w:val="nil"/>
              <w:right w:val="nil"/>
            </w:tcBorders>
            <w:vAlign w:val="bottom"/>
          </w:tcPr>
          <w:p w14:paraId="64A9AFC7"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r w:rsidRPr="00812AD2">
              <w:rPr>
                <w:rFonts w:ascii="Times New Roman" w:hAnsi="Times New Roman"/>
                <w:color w:val="000000"/>
                <w:sz w:val="24"/>
                <w:szCs w:val="24"/>
              </w:rPr>
              <w:t>LOG(GARCH) = C(2) + C(3)*ABS(RESID(-1)/@SQRT(GARCH(-1))) + C(4)</w:t>
            </w:r>
          </w:p>
        </w:tc>
      </w:tr>
      <w:tr w:rsidR="00D31621" w:rsidRPr="00812AD2" w14:paraId="40111462" w14:textId="77777777" w:rsidTr="00F15AD2">
        <w:trPr>
          <w:trHeight w:val="209"/>
        </w:trPr>
        <w:tc>
          <w:tcPr>
            <w:tcW w:w="8729" w:type="dxa"/>
            <w:gridSpan w:val="5"/>
            <w:tcBorders>
              <w:top w:val="nil"/>
              <w:left w:val="nil"/>
              <w:bottom w:val="nil"/>
              <w:right w:val="nil"/>
            </w:tcBorders>
            <w:vAlign w:val="bottom"/>
          </w:tcPr>
          <w:p w14:paraId="34AF31AA"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r w:rsidRPr="00812AD2">
              <w:rPr>
                <w:rFonts w:ascii="Times New Roman" w:hAnsi="Times New Roman"/>
                <w:color w:val="000000"/>
                <w:sz w:val="24"/>
                <w:szCs w:val="24"/>
              </w:rPr>
              <w:t>        *RESID(-1)/@SQRT(GARCH(-1)) + C(5)*LOG(GARCH(-1)) + C(6)</w:t>
            </w:r>
          </w:p>
        </w:tc>
      </w:tr>
      <w:tr w:rsidR="00D31621" w:rsidRPr="00812AD2" w14:paraId="2908E4E7" w14:textId="77777777" w:rsidTr="00F15AD2">
        <w:trPr>
          <w:trHeight w:val="209"/>
        </w:trPr>
        <w:tc>
          <w:tcPr>
            <w:tcW w:w="4169" w:type="dxa"/>
            <w:gridSpan w:val="2"/>
            <w:tcBorders>
              <w:top w:val="nil"/>
              <w:left w:val="nil"/>
              <w:bottom w:val="nil"/>
              <w:right w:val="nil"/>
            </w:tcBorders>
            <w:vAlign w:val="bottom"/>
          </w:tcPr>
          <w:p w14:paraId="6A47D455"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r w:rsidRPr="00812AD2">
              <w:rPr>
                <w:rFonts w:ascii="Times New Roman" w:hAnsi="Times New Roman"/>
                <w:color w:val="000000"/>
                <w:sz w:val="24"/>
                <w:szCs w:val="24"/>
              </w:rPr>
              <w:t>        *RGDP</w:t>
            </w:r>
          </w:p>
        </w:tc>
        <w:tc>
          <w:tcPr>
            <w:tcW w:w="1612" w:type="dxa"/>
            <w:tcBorders>
              <w:top w:val="nil"/>
              <w:left w:val="nil"/>
              <w:bottom w:val="nil"/>
              <w:right w:val="nil"/>
            </w:tcBorders>
            <w:vAlign w:val="bottom"/>
          </w:tcPr>
          <w:p w14:paraId="60A9ADD3"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613" w:type="dxa"/>
            <w:tcBorders>
              <w:top w:val="nil"/>
              <w:left w:val="nil"/>
              <w:bottom w:val="nil"/>
              <w:right w:val="nil"/>
            </w:tcBorders>
            <w:vAlign w:val="bottom"/>
          </w:tcPr>
          <w:p w14:paraId="687E5589"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333" w:type="dxa"/>
            <w:tcBorders>
              <w:top w:val="nil"/>
              <w:left w:val="nil"/>
              <w:bottom w:val="nil"/>
              <w:right w:val="nil"/>
            </w:tcBorders>
            <w:vAlign w:val="bottom"/>
          </w:tcPr>
          <w:p w14:paraId="51A45976"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r>
      <w:tr w:rsidR="00F15AD2" w:rsidRPr="00812AD2" w14:paraId="22EAA399" w14:textId="77777777" w:rsidTr="00F15AD2">
        <w:trPr>
          <w:trHeight w:val="209"/>
        </w:trPr>
        <w:tc>
          <w:tcPr>
            <w:tcW w:w="4169" w:type="dxa"/>
            <w:gridSpan w:val="2"/>
            <w:tcBorders>
              <w:top w:val="nil"/>
              <w:left w:val="nil"/>
              <w:bottom w:val="nil"/>
              <w:right w:val="nil"/>
            </w:tcBorders>
            <w:vAlign w:val="bottom"/>
          </w:tcPr>
          <w:p w14:paraId="6BCBB61B" w14:textId="77777777" w:rsidR="00F15AD2" w:rsidRPr="00812AD2" w:rsidRDefault="00F15AD2" w:rsidP="00C45F51">
            <w:pPr>
              <w:autoSpaceDE w:val="0"/>
              <w:autoSpaceDN w:val="0"/>
              <w:adjustRightInd w:val="0"/>
              <w:spacing w:after="0" w:line="240" w:lineRule="auto"/>
              <w:rPr>
                <w:rFonts w:ascii="Times New Roman" w:hAnsi="Times New Roman"/>
                <w:color w:val="000000"/>
                <w:sz w:val="24"/>
                <w:szCs w:val="24"/>
              </w:rPr>
            </w:pPr>
          </w:p>
        </w:tc>
        <w:tc>
          <w:tcPr>
            <w:tcW w:w="1612" w:type="dxa"/>
            <w:tcBorders>
              <w:top w:val="nil"/>
              <w:left w:val="nil"/>
              <w:bottom w:val="nil"/>
              <w:right w:val="nil"/>
            </w:tcBorders>
            <w:vAlign w:val="bottom"/>
          </w:tcPr>
          <w:p w14:paraId="01160BF8" w14:textId="77777777" w:rsidR="00F15AD2" w:rsidRPr="00812AD2" w:rsidRDefault="00F15AD2" w:rsidP="00C45F51">
            <w:pPr>
              <w:autoSpaceDE w:val="0"/>
              <w:autoSpaceDN w:val="0"/>
              <w:adjustRightInd w:val="0"/>
              <w:spacing w:after="0" w:line="240" w:lineRule="auto"/>
              <w:rPr>
                <w:rFonts w:ascii="Times New Roman" w:hAnsi="Times New Roman"/>
                <w:color w:val="000000"/>
                <w:sz w:val="24"/>
                <w:szCs w:val="24"/>
              </w:rPr>
            </w:pPr>
          </w:p>
        </w:tc>
        <w:tc>
          <w:tcPr>
            <w:tcW w:w="1613" w:type="dxa"/>
            <w:tcBorders>
              <w:top w:val="nil"/>
              <w:left w:val="nil"/>
              <w:bottom w:val="nil"/>
              <w:right w:val="nil"/>
            </w:tcBorders>
            <w:vAlign w:val="bottom"/>
          </w:tcPr>
          <w:p w14:paraId="45D5DAC5" w14:textId="77777777" w:rsidR="00F15AD2" w:rsidRPr="00812AD2" w:rsidRDefault="00F15AD2" w:rsidP="00C45F51">
            <w:pPr>
              <w:autoSpaceDE w:val="0"/>
              <w:autoSpaceDN w:val="0"/>
              <w:adjustRightInd w:val="0"/>
              <w:spacing w:after="0" w:line="240" w:lineRule="auto"/>
              <w:rPr>
                <w:rFonts w:ascii="Times New Roman" w:hAnsi="Times New Roman"/>
                <w:color w:val="000000"/>
                <w:sz w:val="24"/>
                <w:szCs w:val="24"/>
              </w:rPr>
            </w:pPr>
          </w:p>
        </w:tc>
        <w:tc>
          <w:tcPr>
            <w:tcW w:w="1333" w:type="dxa"/>
            <w:tcBorders>
              <w:top w:val="nil"/>
              <w:left w:val="nil"/>
              <w:bottom w:val="nil"/>
              <w:right w:val="nil"/>
            </w:tcBorders>
            <w:vAlign w:val="bottom"/>
          </w:tcPr>
          <w:p w14:paraId="3836A1D1" w14:textId="77777777" w:rsidR="00F15AD2" w:rsidRPr="00812AD2" w:rsidRDefault="00F15AD2" w:rsidP="00C45F51">
            <w:pPr>
              <w:autoSpaceDE w:val="0"/>
              <w:autoSpaceDN w:val="0"/>
              <w:adjustRightInd w:val="0"/>
              <w:spacing w:after="0" w:line="240" w:lineRule="auto"/>
              <w:rPr>
                <w:rFonts w:ascii="Times New Roman" w:hAnsi="Times New Roman"/>
                <w:color w:val="000000"/>
                <w:sz w:val="24"/>
                <w:szCs w:val="24"/>
              </w:rPr>
            </w:pPr>
          </w:p>
        </w:tc>
      </w:tr>
      <w:tr w:rsidR="00D31621" w:rsidRPr="00812AD2" w14:paraId="74A4CDBF" w14:textId="77777777" w:rsidTr="00F15AD2">
        <w:trPr>
          <w:trHeight w:hRule="exact" w:val="83"/>
        </w:trPr>
        <w:tc>
          <w:tcPr>
            <w:tcW w:w="2695" w:type="dxa"/>
            <w:tcBorders>
              <w:top w:val="nil"/>
              <w:left w:val="nil"/>
              <w:bottom w:val="double" w:sz="6" w:space="2" w:color="auto"/>
              <w:right w:val="nil"/>
            </w:tcBorders>
            <w:vAlign w:val="bottom"/>
          </w:tcPr>
          <w:p w14:paraId="55422E02"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474" w:type="dxa"/>
            <w:tcBorders>
              <w:top w:val="nil"/>
              <w:left w:val="nil"/>
              <w:bottom w:val="double" w:sz="6" w:space="2" w:color="auto"/>
              <w:right w:val="nil"/>
            </w:tcBorders>
            <w:vAlign w:val="bottom"/>
          </w:tcPr>
          <w:p w14:paraId="66EBF67D"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612" w:type="dxa"/>
            <w:tcBorders>
              <w:top w:val="nil"/>
              <w:left w:val="nil"/>
              <w:bottom w:val="double" w:sz="6" w:space="2" w:color="auto"/>
              <w:right w:val="nil"/>
            </w:tcBorders>
            <w:vAlign w:val="bottom"/>
          </w:tcPr>
          <w:p w14:paraId="055C0B9B"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613" w:type="dxa"/>
            <w:tcBorders>
              <w:top w:val="nil"/>
              <w:left w:val="nil"/>
              <w:bottom w:val="double" w:sz="6" w:space="2" w:color="auto"/>
              <w:right w:val="nil"/>
            </w:tcBorders>
            <w:vAlign w:val="bottom"/>
          </w:tcPr>
          <w:p w14:paraId="3735E5E4"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333" w:type="dxa"/>
            <w:tcBorders>
              <w:top w:val="nil"/>
              <w:left w:val="nil"/>
              <w:bottom w:val="double" w:sz="6" w:space="2" w:color="auto"/>
              <w:right w:val="nil"/>
            </w:tcBorders>
            <w:vAlign w:val="bottom"/>
          </w:tcPr>
          <w:p w14:paraId="29C13897"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r>
      <w:tr w:rsidR="00D31621" w:rsidRPr="00812AD2" w14:paraId="118901A4" w14:textId="77777777" w:rsidTr="00F15AD2">
        <w:trPr>
          <w:trHeight w:hRule="exact" w:val="126"/>
        </w:trPr>
        <w:tc>
          <w:tcPr>
            <w:tcW w:w="2695" w:type="dxa"/>
            <w:tcBorders>
              <w:top w:val="nil"/>
              <w:left w:val="nil"/>
              <w:bottom w:val="nil"/>
              <w:right w:val="nil"/>
            </w:tcBorders>
            <w:vAlign w:val="bottom"/>
          </w:tcPr>
          <w:p w14:paraId="717610DE"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474" w:type="dxa"/>
            <w:tcBorders>
              <w:top w:val="nil"/>
              <w:left w:val="nil"/>
              <w:bottom w:val="nil"/>
              <w:right w:val="nil"/>
            </w:tcBorders>
            <w:vAlign w:val="bottom"/>
          </w:tcPr>
          <w:p w14:paraId="597217D9"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612" w:type="dxa"/>
            <w:tcBorders>
              <w:top w:val="nil"/>
              <w:left w:val="nil"/>
              <w:bottom w:val="nil"/>
              <w:right w:val="nil"/>
            </w:tcBorders>
            <w:vAlign w:val="bottom"/>
          </w:tcPr>
          <w:p w14:paraId="0909BBC6"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613" w:type="dxa"/>
            <w:tcBorders>
              <w:top w:val="nil"/>
              <w:left w:val="nil"/>
              <w:bottom w:val="nil"/>
              <w:right w:val="nil"/>
            </w:tcBorders>
            <w:vAlign w:val="bottom"/>
          </w:tcPr>
          <w:p w14:paraId="55754989"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333" w:type="dxa"/>
            <w:tcBorders>
              <w:top w:val="nil"/>
              <w:left w:val="nil"/>
              <w:bottom w:val="nil"/>
              <w:right w:val="nil"/>
            </w:tcBorders>
            <w:vAlign w:val="bottom"/>
          </w:tcPr>
          <w:p w14:paraId="0F92E5DD"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r>
      <w:tr w:rsidR="00D31621" w:rsidRPr="00812AD2" w14:paraId="518A7AF9" w14:textId="77777777" w:rsidTr="00F15AD2">
        <w:trPr>
          <w:trHeight w:val="209"/>
        </w:trPr>
        <w:tc>
          <w:tcPr>
            <w:tcW w:w="2695" w:type="dxa"/>
            <w:tcBorders>
              <w:top w:val="nil"/>
              <w:left w:val="nil"/>
              <w:bottom w:val="nil"/>
              <w:right w:val="nil"/>
            </w:tcBorders>
            <w:vAlign w:val="bottom"/>
          </w:tcPr>
          <w:p w14:paraId="5010A673"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r w:rsidRPr="00812AD2">
              <w:rPr>
                <w:rFonts w:ascii="Times New Roman" w:hAnsi="Times New Roman"/>
                <w:color w:val="000000"/>
                <w:sz w:val="24"/>
                <w:szCs w:val="24"/>
              </w:rPr>
              <w:t>Variable</w:t>
            </w:r>
          </w:p>
        </w:tc>
        <w:tc>
          <w:tcPr>
            <w:tcW w:w="1474" w:type="dxa"/>
            <w:tcBorders>
              <w:top w:val="nil"/>
              <w:left w:val="nil"/>
              <w:bottom w:val="nil"/>
              <w:right w:val="nil"/>
            </w:tcBorders>
            <w:vAlign w:val="bottom"/>
          </w:tcPr>
          <w:p w14:paraId="29CE7A9F"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r w:rsidRPr="00812AD2">
              <w:rPr>
                <w:rFonts w:ascii="Times New Roman" w:hAnsi="Times New Roman"/>
                <w:color w:val="000000"/>
                <w:sz w:val="24"/>
                <w:szCs w:val="24"/>
              </w:rPr>
              <w:t>Coefficient</w:t>
            </w:r>
          </w:p>
        </w:tc>
        <w:tc>
          <w:tcPr>
            <w:tcW w:w="1612" w:type="dxa"/>
            <w:tcBorders>
              <w:top w:val="nil"/>
              <w:left w:val="nil"/>
              <w:bottom w:val="nil"/>
              <w:right w:val="nil"/>
            </w:tcBorders>
            <w:vAlign w:val="bottom"/>
          </w:tcPr>
          <w:p w14:paraId="7142EE5D"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r w:rsidRPr="00812AD2">
              <w:rPr>
                <w:rFonts w:ascii="Times New Roman" w:hAnsi="Times New Roman"/>
                <w:color w:val="000000"/>
                <w:sz w:val="24"/>
                <w:szCs w:val="24"/>
              </w:rPr>
              <w:t>Std. Error</w:t>
            </w:r>
          </w:p>
        </w:tc>
        <w:tc>
          <w:tcPr>
            <w:tcW w:w="1613" w:type="dxa"/>
            <w:tcBorders>
              <w:top w:val="nil"/>
              <w:left w:val="nil"/>
              <w:bottom w:val="nil"/>
              <w:right w:val="nil"/>
            </w:tcBorders>
            <w:vAlign w:val="bottom"/>
          </w:tcPr>
          <w:p w14:paraId="2FBF665D"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r w:rsidRPr="00812AD2">
              <w:rPr>
                <w:rFonts w:ascii="Times New Roman" w:hAnsi="Times New Roman"/>
                <w:color w:val="000000"/>
                <w:sz w:val="24"/>
                <w:szCs w:val="24"/>
              </w:rPr>
              <w:t>z-Statistic</w:t>
            </w:r>
          </w:p>
        </w:tc>
        <w:tc>
          <w:tcPr>
            <w:tcW w:w="1333" w:type="dxa"/>
            <w:tcBorders>
              <w:top w:val="nil"/>
              <w:left w:val="nil"/>
              <w:bottom w:val="nil"/>
              <w:right w:val="nil"/>
            </w:tcBorders>
            <w:vAlign w:val="bottom"/>
          </w:tcPr>
          <w:p w14:paraId="5CC6CBEF"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r w:rsidRPr="00812AD2">
              <w:rPr>
                <w:rFonts w:ascii="Times New Roman" w:hAnsi="Times New Roman"/>
                <w:color w:val="000000"/>
                <w:sz w:val="24"/>
                <w:szCs w:val="24"/>
              </w:rPr>
              <w:t>Prob.  </w:t>
            </w:r>
          </w:p>
        </w:tc>
      </w:tr>
      <w:tr w:rsidR="00D31621" w:rsidRPr="00812AD2" w14:paraId="053CDD88" w14:textId="77777777" w:rsidTr="00F15AD2">
        <w:trPr>
          <w:trHeight w:hRule="exact" w:val="83"/>
        </w:trPr>
        <w:tc>
          <w:tcPr>
            <w:tcW w:w="2695" w:type="dxa"/>
            <w:tcBorders>
              <w:top w:val="nil"/>
              <w:left w:val="nil"/>
              <w:bottom w:val="double" w:sz="6" w:space="2" w:color="auto"/>
              <w:right w:val="nil"/>
            </w:tcBorders>
            <w:vAlign w:val="bottom"/>
          </w:tcPr>
          <w:p w14:paraId="489C728E"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474" w:type="dxa"/>
            <w:tcBorders>
              <w:top w:val="nil"/>
              <w:left w:val="nil"/>
              <w:bottom w:val="double" w:sz="6" w:space="2" w:color="auto"/>
              <w:right w:val="nil"/>
            </w:tcBorders>
            <w:vAlign w:val="bottom"/>
          </w:tcPr>
          <w:p w14:paraId="34E39218"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612" w:type="dxa"/>
            <w:tcBorders>
              <w:top w:val="nil"/>
              <w:left w:val="nil"/>
              <w:bottom w:val="double" w:sz="6" w:space="2" w:color="auto"/>
              <w:right w:val="nil"/>
            </w:tcBorders>
            <w:vAlign w:val="bottom"/>
          </w:tcPr>
          <w:p w14:paraId="19687AC3"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613" w:type="dxa"/>
            <w:tcBorders>
              <w:top w:val="nil"/>
              <w:left w:val="nil"/>
              <w:bottom w:val="double" w:sz="6" w:space="2" w:color="auto"/>
              <w:right w:val="nil"/>
            </w:tcBorders>
            <w:vAlign w:val="bottom"/>
          </w:tcPr>
          <w:p w14:paraId="583A4EB9"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333" w:type="dxa"/>
            <w:tcBorders>
              <w:top w:val="nil"/>
              <w:left w:val="nil"/>
              <w:bottom w:val="double" w:sz="6" w:space="2" w:color="auto"/>
              <w:right w:val="nil"/>
            </w:tcBorders>
            <w:vAlign w:val="bottom"/>
          </w:tcPr>
          <w:p w14:paraId="4FEAFEC6"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r>
      <w:tr w:rsidR="00D31621" w:rsidRPr="00812AD2" w14:paraId="5FE1E317" w14:textId="77777777" w:rsidTr="00F15AD2">
        <w:trPr>
          <w:trHeight w:hRule="exact" w:val="126"/>
        </w:trPr>
        <w:tc>
          <w:tcPr>
            <w:tcW w:w="2695" w:type="dxa"/>
            <w:tcBorders>
              <w:top w:val="nil"/>
              <w:left w:val="nil"/>
              <w:bottom w:val="nil"/>
              <w:right w:val="nil"/>
            </w:tcBorders>
            <w:vAlign w:val="bottom"/>
          </w:tcPr>
          <w:p w14:paraId="0B0B5797"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474" w:type="dxa"/>
            <w:tcBorders>
              <w:top w:val="nil"/>
              <w:left w:val="nil"/>
              <w:bottom w:val="nil"/>
              <w:right w:val="nil"/>
            </w:tcBorders>
            <w:vAlign w:val="bottom"/>
          </w:tcPr>
          <w:p w14:paraId="4D2C03A3"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612" w:type="dxa"/>
            <w:tcBorders>
              <w:top w:val="nil"/>
              <w:left w:val="nil"/>
              <w:bottom w:val="nil"/>
              <w:right w:val="nil"/>
            </w:tcBorders>
            <w:vAlign w:val="bottom"/>
          </w:tcPr>
          <w:p w14:paraId="2C945E81"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613" w:type="dxa"/>
            <w:tcBorders>
              <w:top w:val="nil"/>
              <w:left w:val="nil"/>
              <w:bottom w:val="nil"/>
              <w:right w:val="nil"/>
            </w:tcBorders>
            <w:vAlign w:val="bottom"/>
          </w:tcPr>
          <w:p w14:paraId="52FA4FFB"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333" w:type="dxa"/>
            <w:tcBorders>
              <w:top w:val="nil"/>
              <w:left w:val="nil"/>
              <w:bottom w:val="nil"/>
              <w:right w:val="nil"/>
            </w:tcBorders>
            <w:vAlign w:val="bottom"/>
          </w:tcPr>
          <w:p w14:paraId="67DB3735"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r>
      <w:tr w:rsidR="00D31621" w:rsidRPr="00812AD2" w14:paraId="14AF1C1C" w14:textId="77777777" w:rsidTr="00F15AD2">
        <w:trPr>
          <w:trHeight w:val="209"/>
        </w:trPr>
        <w:tc>
          <w:tcPr>
            <w:tcW w:w="2695" w:type="dxa"/>
            <w:tcBorders>
              <w:top w:val="nil"/>
              <w:left w:val="nil"/>
              <w:bottom w:val="nil"/>
              <w:right w:val="nil"/>
            </w:tcBorders>
            <w:vAlign w:val="bottom"/>
          </w:tcPr>
          <w:p w14:paraId="77D1C657"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r w:rsidRPr="00812AD2">
              <w:rPr>
                <w:rFonts w:ascii="Times New Roman" w:hAnsi="Times New Roman"/>
                <w:color w:val="000000"/>
                <w:sz w:val="24"/>
                <w:szCs w:val="24"/>
              </w:rPr>
              <w:t>SMR(-1)</w:t>
            </w:r>
          </w:p>
        </w:tc>
        <w:tc>
          <w:tcPr>
            <w:tcW w:w="1474" w:type="dxa"/>
            <w:tcBorders>
              <w:top w:val="nil"/>
              <w:left w:val="nil"/>
              <w:bottom w:val="nil"/>
              <w:right w:val="nil"/>
            </w:tcBorders>
            <w:vAlign w:val="bottom"/>
          </w:tcPr>
          <w:p w14:paraId="45B2E167"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r w:rsidRPr="00812AD2">
              <w:rPr>
                <w:rFonts w:ascii="Times New Roman" w:hAnsi="Times New Roman"/>
                <w:color w:val="000000"/>
                <w:sz w:val="24"/>
                <w:szCs w:val="24"/>
              </w:rPr>
              <w:t>0.968369</w:t>
            </w:r>
          </w:p>
        </w:tc>
        <w:tc>
          <w:tcPr>
            <w:tcW w:w="1612" w:type="dxa"/>
            <w:tcBorders>
              <w:top w:val="nil"/>
              <w:left w:val="nil"/>
              <w:bottom w:val="nil"/>
              <w:right w:val="nil"/>
            </w:tcBorders>
            <w:vAlign w:val="bottom"/>
          </w:tcPr>
          <w:p w14:paraId="7A7E1889"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r w:rsidRPr="00812AD2">
              <w:rPr>
                <w:rFonts w:ascii="Times New Roman" w:hAnsi="Times New Roman"/>
                <w:color w:val="000000"/>
                <w:sz w:val="24"/>
                <w:szCs w:val="24"/>
              </w:rPr>
              <w:t>0.010100</w:t>
            </w:r>
          </w:p>
        </w:tc>
        <w:tc>
          <w:tcPr>
            <w:tcW w:w="1613" w:type="dxa"/>
            <w:tcBorders>
              <w:top w:val="nil"/>
              <w:left w:val="nil"/>
              <w:bottom w:val="nil"/>
              <w:right w:val="nil"/>
            </w:tcBorders>
            <w:vAlign w:val="bottom"/>
          </w:tcPr>
          <w:p w14:paraId="52804418"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r w:rsidRPr="00812AD2">
              <w:rPr>
                <w:rFonts w:ascii="Times New Roman" w:hAnsi="Times New Roman"/>
                <w:color w:val="000000"/>
                <w:sz w:val="24"/>
                <w:szCs w:val="24"/>
              </w:rPr>
              <w:t>95.87872</w:t>
            </w:r>
          </w:p>
        </w:tc>
        <w:tc>
          <w:tcPr>
            <w:tcW w:w="1333" w:type="dxa"/>
            <w:tcBorders>
              <w:top w:val="nil"/>
              <w:left w:val="nil"/>
              <w:bottom w:val="nil"/>
              <w:right w:val="nil"/>
            </w:tcBorders>
            <w:vAlign w:val="bottom"/>
          </w:tcPr>
          <w:p w14:paraId="1DC11E2B"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r w:rsidRPr="00812AD2">
              <w:rPr>
                <w:rFonts w:ascii="Times New Roman" w:hAnsi="Times New Roman"/>
                <w:color w:val="000000"/>
                <w:sz w:val="24"/>
                <w:szCs w:val="24"/>
              </w:rPr>
              <w:t>0.0000</w:t>
            </w:r>
          </w:p>
        </w:tc>
      </w:tr>
      <w:tr w:rsidR="00D31621" w:rsidRPr="00812AD2" w14:paraId="3D52D0C0" w14:textId="77777777" w:rsidTr="00F15AD2">
        <w:trPr>
          <w:trHeight w:hRule="exact" w:val="83"/>
        </w:trPr>
        <w:tc>
          <w:tcPr>
            <w:tcW w:w="2695" w:type="dxa"/>
            <w:tcBorders>
              <w:top w:val="nil"/>
              <w:left w:val="nil"/>
              <w:bottom w:val="double" w:sz="6" w:space="2" w:color="auto"/>
              <w:right w:val="nil"/>
            </w:tcBorders>
            <w:vAlign w:val="bottom"/>
          </w:tcPr>
          <w:p w14:paraId="1CD61266"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474" w:type="dxa"/>
            <w:tcBorders>
              <w:top w:val="nil"/>
              <w:left w:val="nil"/>
              <w:bottom w:val="double" w:sz="6" w:space="2" w:color="auto"/>
              <w:right w:val="nil"/>
            </w:tcBorders>
            <w:vAlign w:val="bottom"/>
          </w:tcPr>
          <w:p w14:paraId="5B8C9DAF"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612" w:type="dxa"/>
            <w:tcBorders>
              <w:top w:val="nil"/>
              <w:left w:val="nil"/>
              <w:bottom w:val="double" w:sz="6" w:space="2" w:color="auto"/>
              <w:right w:val="nil"/>
            </w:tcBorders>
            <w:vAlign w:val="bottom"/>
          </w:tcPr>
          <w:p w14:paraId="3C8A191E"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613" w:type="dxa"/>
            <w:tcBorders>
              <w:top w:val="nil"/>
              <w:left w:val="nil"/>
              <w:bottom w:val="double" w:sz="6" w:space="2" w:color="auto"/>
              <w:right w:val="nil"/>
            </w:tcBorders>
            <w:vAlign w:val="bottom"/>
          </w:tcPr>
          <w:p w14:paraId="18F265DF"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333" w:type="dxa"/>
            <w:tcBorders>
              <w:top w:val="nil"/>
              <w:left w:val="nil"/>
              <w:bottom w:val="double" w:sz="6" w:space="2" w:color="auto"/>
              <w:right w:val="nil"/>
            </w:tcBorders>
            <w:vAlign w:val="bottom"/>
          </w:tcPr>
          <w:p w14:paraId="263AEAEA"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r>
      <w:tr w:rsidR="00D31621" w:rsidRPr="00812AD2" w14:paraId="36B3FF84" w14:textId="77777777" w:rsidTr="00F15AD2">
        <w:trPr>
          <w:trHeight w:hRule="exact" w:val="126"/>
        </w:trPr>
        <w:tc>
          <w:tcPr>
            <w:tcW w:w="2695" w:type="dxa"/>
            <w:tcBorders>
              <w:top w:val="nil"/>
              <w:left w:val="nil"/>
              <w:bottom w:val="nil"/>
              <w:right w:val="nil"/>
            </w:tcBorders>
            <w:vAlign w:val="bottom"/>
          </w:tcPr>
          <w:p w14:paraId="2D1F2301"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474" w:type="dxa"/>
            <w:tcBorders>
              <w:top w:val="nil"/>
              <w:left w:val="nil"/>
              <w:bottom w:val="nil"/>
              <w:right w:val="nil"/>
            </w:tcBorders>
            <w:vAlign w:val="bottom"/>
          </w:tcPr>
          <w:p w14:paraId="1E8E9B42"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612" w:type="dxa"/>
            <w:tcBorders>
              <w:top w:val="nil"/>
              <w:left w:val="nil"/>
              <w:bottom w:val="nil"/>
              <w:right w:val="nil"/>
            </w:tcBorders>
            <w:vAlign w:val="bottom"/>
          </w:tcPr>
          <w:p w14:paraId="5FE6E7CD"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613" w:type="dxa"/>
            <w:tcBorders>
              <w:top w:val="nil"/>
              <w:left w:val="nil"/>
              <w:bottom w:val="nil"/>
              <w:right w:val="nil"/>
            </w:tcBorders>
            <w:vAlign w:val="bottom"/>
          </w:tcPr>
          <w:p w14:paraId="38577F7C"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333" w:type="dxa"/>
            <w:tcBorders>
              <w:top w:val="nil"/>
              <w:left w:val="nil"/>
              <w:bottom w:val="nil"/>
              <w:right w:val="nil"/>
            </w:tcBorders>
            <w:vAlign w:val="bottom"/>
          </w:tcPr>
          <w:p w14:paraId="0FC293FD"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r>
      <w:tr w:rsidR="00D31621" w:rsidRPr="00812AD2" w14:paraId="718FBBE3" w14:textId="77777777" w:rsidTr="00F15AD2">
        <w:trPr>
          <w:trHeight w:val="209"/>
        </w:trPr>
        <w:tc>
          <w:tcPr>
            <w:tcW w:w="2695" w:type="dxa"/>
            <w:tcBorders>
              <w:top w:val="nil"/>
              <w:left w:val="nil"/>
              <w:bottom w:val="nil"/>
              <w:right w:val="nil"/>
            </w:tcBorders>
            <w:vAlign w:val="bottom"/>
          </w:tcPr>
          <w:p w14:paraId="325E440B"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3086" w:type="dxa"/>
            <w:gridSpan w:val="2"/>
            <w:tcBorders>
              <w:top w:val="nil"/>
              <w:left w:val="nil"/>
              <w:bottom w:val="nil"/>
              <w:right w:val="nil"/>
            </w:tcBorders>
            <w:vAlign w:val="bottom"/>
          </w:tcPr>
          <w:p w14:paraId="656532B6"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r w:rsidRPr="00812AD2">
              <w:rPr>
                <w:rFonts w:ascii="Times New Roman" w:hAnsi="Times New Roman"/>
                <w:color w:val="000000"/>
                <w:sz w:val="24"/>
                <w:szCs w:val="24"/>
              </w:rPr>
              <w:t>Variance Equation</w:t>
            </w:r>
          </w:p>
        </w:tc>
        <w:tc>
          <w:tcPr>
            <w:tcW w:w="1613" w:type="dxa"/>
            <w:tcBorders>
              <w:top w:val="nil"/>
              <w:left w:val="nil"/>
              <w:bottom w:val="nil"/>
              <w:right w:val="nil"/>
            </w:tcBorders>
            <w:vAlign w:val="bottom"/>
          </w:tcPr>
          <w:p w14:paraId="76574C5A"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333" w:type="dxa"/>
            <w:tcBorders>
              <w:top w:val="nil"/>
              <w:left w:val="nil"/>
              <w:bottom w:val="nil"/>
              <w:right w:val="nil"/>
            </w:tcBorders>
            <w:vAlign w:val="bottom"/>
          </w:tcPr>
          <w:p w14:paraId="0E19098A"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r>
      <w:tr w:rsidR="00D31621" w:rsidRPr="00812AD2" w14:paraId="718BE815" w14:textId="77777777" w:rsidTr="00F15AD2">
        <w:trPr>
          <w:trHeight w:hRule="exact" w:val="83"/>
        </w:trPr>
        <w:tc>
          <w:tcPr>
            <w:tcW w:w="2695" w:type="dxa"/>
            <w:tcBorders>
              <w:top w:val="nil"/>
              <w:left w:val="nil"/>
              <w:bottom w:val="double" w:sz="6" w:space="2" w:color="auto"/>
              <w:right w:val="nil"/>
            </w:tcBorders>
            <w:vAlign w:val="bottom"/>
          </w:tcPr>
          <w:p w14:paraId="3227DB9E"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474" w:type="dxa"/>
            <w:tcBorders>
              <w:top w:val="nil"/>
              <w:left w:val="nil"/>
              <w:bottom w:val="double" w:sz="6" w:space="2" w:color="auto"/>
              <w:right w:val="nil"/>
            </w:tcBorders>
            <w:vAlign w:val="bottom"/>
          </w:tcPr>
          <w:p w14:paraId="3E210275"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612" w:type="dxa"/>
            <w:tcBorders>
              <w:top w:val="nil"/>
              <w:left w:val="nil"/>
              <w:bottom w:val="double" w:sz="6" w:space="2" w:color="auto"/>
              <w:right w:val="nil"/>
            </w:tcBorders>
            <w:vAlign w:val="bottom"/>
          </w:tcPr>
          <w:p w14:paraId="136815FA"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613" w:type="dxa"/>
            <w:tcBorders>
              <w:top w:val="nil"/>
              <w:left w:val="nil"/>
              <w:bottom w:val="double" w:sz="6" w:space="2" w:color="auto"/>
              <w:right w:val="nil"/>
            </w:tcBorders>
            <w:vAlign w:val="bottom"/>
          </w:tcPr>
          <w:p w14:paraId="1B1FD8A3"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333" w:type="dxa"/>
            <w:tcBorders>
              <w:top w:val="nil"/>
              <w:left w:val="nil"/>
              <w:bottom w:val="double" w:sz="6" w:space="2" w:color="auto"/>
              <w:right w:val="nil"/>
            </w:tcBorders>
            <w:vAlign w:val="bottom"/>
          </w:tcPr>
          <w:p w14:paraId="2FC69D43"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r>
      <w:tr w:rsidR="00D31621" w:rsidRPr="00812AD2" w14:paraId="2FD735F9" w14:textId="77777777" w:rsidTr="00F15AD2">
        <w:trPr>
          <w:trHeight w:hRule="exact" w:val="126"/>
        </w:trPr>
        <w:tc>
          <w:tcPr>
            <w:tcW w:w="2695" w:type="dxa"/>
            <w:tcBorders>
              <w:top w:val="nil"/>
              <w:left w:val="nil"/>
              <w:bottom w:val="nil"/>
              <w:right w:val="nil"/>
            </w:tcBorders>
            <w:vAlign w:val="bottom"/>
          </w:tcPr>
          <w:p w14:paraId="1F53582E"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474" w:type="dxa"/>
            <w:tcBorders>
              <w:top w:val="nil"/>
              <w:left w:val="nil"/>
              <w:bottom w:val="nil"/>
              <w:right w:val="nil"/>
            </w:tcBorders>
            <w:vAlign w:val="bottom"/>
          </w:tcPr>
          <w:p w14:paraId="5B6A9B93"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612" w:type="dxa"/>
            <w:tcBorders>
              <w:top w:val="nil"/>
              <w:left w:val="nil"/>
              <w:bottom w:val="nil"/>
              <w:right w:val="nil"/>
            </w:tcBorders>
            <w:vAlign w:val="bottom"/>
          </w:tcPr>
          <w:p w14:paraId="23DF3F74"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613" w:type="dxa"/>
            <w:tcBorders>
              <w:top w:val="nil"/>
              <w:left w:val="nil"/>
              <w:bottom w:val="nil"/>
              <w:right w:val="nil"/>
            </w:tcBorders>
            <w:vAlign w:val="bottom"/>
          </w:tcPr>
          <w:p w14:paraId="469211F1"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333" w:type="dxa"/>
            <w:tcBorders>
              <w:top w:val="nil"/>
              <w:left w:val="nil"/>
              <w:bottom w:val="nil"/>
              <w:right w:val="nil"/>
            </w:tcBorders>
            <w:vAlign w:val="bottom"/>
          </w:tcPr>
          <w:p w14:paraId="6CC72B5B"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r>
      <w:tr w:rsidR="00D31621" w:rsidRPr="00812AD2" w14:paraId="727824A8" w14:textId="77777777" w:rsidTr="00F15AD2">
        <w:trPr>
          <w:trHeight w:val="209"/>
        </w:trPr>
        <w:tc>
          <w:tcPr>
            <w:tcW w:w="2695" w:type="dxa"/>
            <w:tcBorders>
              <w:top w:val="nil"/>
              <w:left w:val="nil"/>
              <w:bottom w:val="nil"/>
              <w:right w:val="nil"/>
            </w:tcBorders>
            <w:vAlign w:val="bottom"/>
          </w:tcPr>
          <w:p w14:paraId="6E3E6B4B"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r w:rsidRPr="00812AD2">
              <w:rPr>
                <w:rFonts w:ascii="Times New Roman" w:hAnsi="Times New Roman"/>
                <w:color w:val="000000"/>
                <w:position w:val="-6"/>
                <w:sz w:val="24"/>
                <w:szCs w:val="24"/>
              </w:rPr>
              <w:object w:dxaOrig="240" w:dyaOrig="220" w14:anchorId="584DF70B">
                <v:shape id="_x0000_i2227" type="#_x0000_t75" style="width:12pt;height:11.25pt" o:ole="">
                  <v:imagedata r:id="rId20" o:title=""/>
                </v:shape>
                <o:OLEObject Type="Embed" ProgID="Equation.DSMT4" ShapeID="_x0000_i2227" DrawAspect="Content" ObjectID="_1817953503" r:id="rId21"/>
              </w:object>
            </w:r>
          </w:p>
        </w:tc>
        <w:tc>
          <w:tcPr>
            <w:tcW w:w="1474" w:type="dxa"/>
            <w:tcBorders>
              <w:top w:val="nil"/>
              <w:left w:val="nil"/>
              <w:bottom w:val="nil"/>
              <w:right w:val="nil"/>
            </w:tcBorders>
            <w:vAlign w:val="bottom"/>
          </w:tcPr>
          <w:p w14:paraId="6BA71447"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r w:rsidRPr="00812AD2">
              <w:rPr>
                <w:rFonts w:ascii="Times New Roman" w:hAnsi="Times New Roman"/>
                <w:color w:val="000000"/>
                <w:sz w:val="24"/>
                <w:szCs w:val="24"/>
              </w:rPr>
              <w:t>-4.501173</w:t>
            </w:r>
          </w:p>
        </w:tc>
        <w:tc>
          <w:tcPr>
            <w:tcW w:w="1612" w:type="dxa"/>
            <w:tcBorders>
              <w:top w:val="nil"/>
              <w:left w:val="nil"/>
              <w:bottom w:val="nil"/>
              <w:right w:val="nil"/>
            </w:tcBorders>
            <w:vAlign w:val="bottom"/>
          </w:tcPr>
          <w:p w14:paraId="03C1E7B3"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r w:rsidRPr="00812AD2">
              <w:rPr>
                <w:rFonts w:ascii="Times New Roman" w:hAnsi="Times New Roman"/>
                <w:color w:val="000000"/>
                <w:sz w:val="24"/>
                <w:szCs w:val="24"/>
              </w:rPr>
              <w:t>5.420932</w:t>
            </w:r>
          </w:p>
        </w:tc>
        <w:tc>
          <w:tcPr>
            <w:tcW w:w="1613" w:type="dxa"/>
            <w:tcBorders>
              <w:top w:val="nil"/>
              <w:left w:val="nil"/>
              <w:bottom w:val="nil"/>
              <w:right w:val="nil"/>
            </w:tcBorders>
            <w:vAlign w:val="bottom"/>
          </w:tcPr>
          <w:p w14:paraId="40E273E7"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r w:rsidRPr="00812AD2">
              <w:rPr>
                <w:rFonts w:ascii="Times New Roman" w:hAnsi="Times New Roman"/>
                <w:color w:val="000000"/>
                <w:sz w:val="24"/>
                <w:szCs w:val="24"/>
              </w:rPr>
              <w:t>-0.830332</w:t>
            </w:r>
          </w:p>
        </w:tc>
        <w:tc>
          <w:tcPr>
            <w:tcW w:w="1333" w:type="dxa"/>
            <w:tcBorders>
              <w:top w:val="nil"/>
              <w:left w:val="nil"/>
              <w:bottom w:val="nil"/>
              <w:right w:val="nil"/>
            </w:tcBorders>
            <w:vAlign w:val="bottom"/>
          </w:tcPr>
          <w:p w14:paraId="4A852F65"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r w:rsidRPr="00812AD2">
              <w:rPr>
                <w:rFonts w:ascii="Times New Roman" w:hAnsi="Times New Roman"/>
                <w:color w:val="000000"/>
                <w:sz w:val="24"/>
                <w:szCs w:val="24"/>
              </w:rPr>
              <w:t>0.4064</w:t>
            </w:r>
          </w:p>
        </w:tc>
      </w:tr>
      <w:tr w:rsidR="00D31621" w:rsidRPr="00812AD2" w14:paraId="6CAEB815" w14:textId="77777777" w:rsidTr="00F15AD2">
        <w:trPr>
          <w:trHeight w:val="209"/>
        </w:trPr>
        <w:tc>
          <w:tcPr>
            <w:tcW w:w="2695" w:type="dxa"/>
            <w:tcBorders>
              <w:top w:val="nil"/>
              <w:left w:val="nil"/>
              <w:bottom w:val="nil"/>
              <w:right w:val="nil"/>
            </w:tcBorders>
            <w:vAlign w:val="bottom"/>
          </w:tcPr>
          <w:p w14:paraId="0623419D"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r w:rsidRPr="00812AD2">
              <w:rPr>
                <w:rFonts w:ascii="Times New Roman" w:hAnsi="Times New Roman"/>
                <w:color w:val="000000"/>
                <w:position w:val="-6"/>
                <w:sz w:val="24"/>
                <w:szCs w:val="24"/>
              </w:rPr>
              <w:object w:dxaOrig="220" w:dyaOrig="279" w14:anchorId="420B4C25">
                <v:shape id="_x0000_i2228" type="#_x0000_t75" style="width:11.25pt;height:13.5pt" o:ole="">
                  <v:imagedata r:id="rId22" o:title=""/>
                </v:shape>
                <o:OLEObject Type="Embed" ProgID="Equation.DSMT4" ShapeID="_x0000_i2228" DrawAspect="Content" ObjectID="_1817953504" r:id="rId23"/>
              </w:object>
            </w:r>
          </w:p>
        </w:tc>
        <w:tc>
          <w:tcPr>
            <w:tcW w:w="1474" w:type="dxa"/>
            <w:tcBorders>
              <w:top w:val="nil"/>
              <w:left w:val="nil"/>
              <w:bottom w:val="nil"/>
              <w:right w:val="nil"/>
            </w:tcBorders>
            <w:vAlign w:val="bottom"/>
          </w:tcPr>
          <w:p w14:paraId="1198CBD3"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r w:rsidRPr="00812AD2">
              <w:rPr>
                <w:rFonts w:ascii="Times New Roman" w:hAnsi="Times New Roman"/>
                <w:color w:val="000000"/>
                <w:sz w:val="24"/>
                <w:szCs w:val="24"/>
              </w:rPr>
              <w:t>1.392705</w:t>
            </w:r>
          </w:p>
        </w:tc>
        <w:tc>
          <w:tcPr>
            <w:tcW w:w="1612" w:type="dxa"/>
            <w:tcBorders>
              <w:top w:val="nil"/>
              <w:left w:val="nil"/>
              <w:bottom w:val="nil"/>
              <w:right w:val="nil"/>
            </w:tcBorders>
            <w:vAlign w:val="bottom"/>
          </w:tcPr>
          <w:p w14:paraId="2DD02270"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r w:rsidRPr="00812AD2">
              <w:rPr>
                <w:rFonts w:ascii="Times New Roman" w:hAnsi="Times New Roman"/>
                <w:color w:val="000000"/>
                <w:sz w:val="24"/>
                <w:szCs w:val="24"/>
              </w:rPr>
              <w:t>0.392240</w:t>
            </w:r>
          </w:p>
        </w:tc>
        <w:tc>
          <w:tcPr>
            <w:tcW w:w="1613" w:type="dxa"/>
            <w:tcBorders>
              <w:top w:val="nil"/>
              <w:left w:val="nil"/>
              <w:bottom w:val="nil"/>
              <w:right w:val="nil"/>
            </w:tcBorders>
            <w:vAlign w:val="bottom"/>
          </w:tcPr>
          <w:p w14:paraId="24C5F2CA"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r w:rsidRPr="00812AD2">
              <w:rPr>
                <w:rFonts w:ascii="Times New Roman" w:hAnsi="Times New Roman"/>
                <w:color w:val="000000"/>
                <w:sz w:val="24"/>
                <w:szCs w:val="24"/>
              </w:rPr>
              <w:t>3.550646</w:t>
            </w:r>
          </w:p>
        </w:tc>
        <w:tc>
          <w:tcPr>
            <w:tcW w:w="1333" w:type="dxa"/>
            <w:tcBorders>
              <w:top w:val="nil"/>
              <w:left w:val="nil"/>
              <w:bottom w:val="nil"/>
              <w:right w:val="nil"/>
            </w:tcBorders>
            <w:vAlign w:val="bottom"/>
          </w:tcPr>
          <w:p w14:paraId="58FFE987"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r w:rsidRPr="00812AD2">
              <w:rPr>
                <w:rFonts w:ascii="Times New Roman" w:hAnsi="Times New Roman"/>
                <w:color w:val="000000"/>
                <w:sz w:val="24"/>
                <w:szCs w:val="24"/>
              </w:rPr>
              <w:t>0.0004</w:t>
            </w:r>
          </w:p>
        </w:tc>
      </w:tr>
      <w:tr w:rsidR="00D31621" w:rsidRPr="00812AD2" w14:paraId="4A342E00" w14:textId="77777777" w:rsidTr="00F15AD2">
        <w:trPr>
          <w:trHeight w:val="209"/>
        </w:trPr>
        <w:tc>
          <w:tcPr>
            <w:tcW w:w="2695" w:type="dxa"/>
            <w:tcBorders>
              <w:top w:val="nil"/>
              <w:left w:val="nil"/>
              <w:bottom w:val="nil"/>
              <w:right w:val="nil"/>
            </w:tcBorders>
            <w:vAlign w:val="bottom"/>
          </w:tcPr>
          <w:p w14:paraId="05D8E7E2"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r w:rsidRPr="00812AD2">
              <w:rPr>
                <w:rFonts w:ascii="Times New Roman" w:hAnsi="Times New Roman"/>
                <w:color w:val="000000"/>
                <w:position w:val="-6"/>
                <w:sz w:val="24"/>
                <w:szCs w:val="24"/>
              </w:rPr>
              <w:object w:dxaOrig="220" w:dyaOrig="279" w14:anchorId="4674F78A">
                <v:shape id="_x0000_i2229" type="#_x0000_t75" style="width:11.25pt;height:13.5pt" o:ole="">
                  <v:imagedata r:id="rId24" o:title=""/>
                </v:shape>
                <o:OLEObject Type="Embed" ProgID="Equation.DSMT4" ShapeID="_x0000_i2229" DrawAspect="Content" ObjectID="_1817953505" r:id="rId25"/>
              </w:object>
            </w:r>
          </w:p>
        </w:tc>
        <w:tc>
          <w:tcPr>
            <w:tcW w:w="1474" w:type="dxa"/>
            <w:tcBorders>
              <w:top w:val="nil"/>
              <w:left w:val="nil"/>
              <w:bottom w:val="nil"/>
              <w:right w:val="nil"/>
            </w:tcBorders>
            <w:vAlign w:val="bottom"/>
          </w:tcPr>
          <w:p w14:paraId="6D446C17"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r w:rsidRPr="00812AD2">
              <w:rPr>
                <w:rFonts w:ascii="Times New Roman" w:hAnsi="Times New Roman"/>
                <w:color w:val="000000"/>
                <w:sz w:val="24"/>
                <w:szCs w:val="24"/>
              </w:rPr>
              <w:t>0.177959</w:t>
            </w:r>
          </w:p>
        </w:tc>
        <w:tc>
          <w:tcPr>
            <w:tcW w:w="1612" w:type="dxa"/>
            <w:tcBorders>
              <w:top w:val="nil"/>
              <w:left w:val="nil"/>
              <w:bottom w:val="nil"/>
              <w:right w:val="nil"/>
            </w:tcBorders>
            <w:vAlign w:val="bottom"/>
          </w:tcPr>
          <w:p w14:paraId="74F3A7E3"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r w:rsidRPr="00812AD2">
              <w:rPr>
                <w:rFonts w:ascii="Times New Roman" w:hAnsi="Times New Roman"/>
                <w:color w:val="000000"/>
                <w:sz w:val="24"/>
                <w:szCs w:val="24"/>
              </w:rPr>
              <w:t>0.251071</w:t>
            </w:r>
          </w:p>
        </w:tc>
        <w:tc>
          <w:tcPr>
            <w:tcW w:w="1613" w:type="dxa"/>
            <w:tcBorders>
              <w:top w:val="nil"/>
              <w:left w:val="nil"/>
              <w:bottom w:val="nil"/>
              <w:right w:val="nil"/>
            </w:tcBorders>
            <w:vAlign w:val="bottom"/>
          </w:tcPr>
          <w:p w14:paraId="427CA148"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r w:rsidRPr="00812AD2">
              <w:rPr>
                <w:rFonts w:ascii="Times New Roman" w:hAnsi="Times New Roman"/>
                <w:color w:val="000000"/>
                <w:sz w:val="24"/>
                <w:szCs w:val="24"/>
              </w:rPr>
              <w:t>0.708800</w:t>
            </w:r>
          </w:p>
        </w:tc>
        <w:tc>
          <w:tcPr>
            <w:tcW w:w="1333" w:type="dxa"/>
            <w:tcBorders>
              <w:top w:val="nil"/>
              <w:left w:val="nil"/>
              <w:bottom w:val="nil"/>
              <w:right w:val="nil"/>
            </w:tcBorders>
            <w:vAlign w:val="bottom"/>
          </w:tcPr>
          <w:p w14:paraId="42441DB3"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r w:rsidRPr="00812AD2">
              <w:rPr>
                <w:rFonts w:ascii="Times New Roman" w:hAnsi="Times New Roman"/>
                <w:color w:val="000000"/>
                <w:sz w:val="24"/>
                <w:szCs w:val="24"/>
              </w:rPr>
              <w:t>0.4784</w:t>
            </w:r>
          </w:p>
        </w:tc>
      </w:tr>
      <w:tr w:rsidR="00D31621" w:rsidRPr="00812AD2" w14:paraId="2DCA44C0" w14:textId="77777777" w:rsidTr="00F15AD2">
        <w:trPr>
          <w:trHeight w:val="209"/>
        </w:trPr>
        <w:tc>
          <w:tcPr>
            <w:tcW w:w="2695" w:type="dxa"/>
            <w:tcBorders>
              <w:top w:val="nil"/>
              <w:left w:val="nil"/>
              <w:bottom w:val="nil"/>
              <w:right w:val="nil"/>
            </w:tcBorders>
            <w:vAlign w:val="bottom"/>
          </w:tcPr>
          <w:p w14:paraId="4ED584E6"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r w:rsidRPr="00812AD2">
              <w:rPr>
                <w:rFonts w:ascii="Times New Roman" w:hAnsi="Times New Roman"/>
                <w:color w:val="000000"/>
                <w:position w:val="-10"/>
                <w:sz w:val="24"/>
                <w:szCs w:val="24"/>
              </w:rPr>
              <w:object w:dxaOrig="240" w:dyaOrig="320" w14:anchorId="104949A5">
                <v:shape id="_x0000_i2230" type="#_x0000_t75" style="width:12pt;height:16.5pt" o:ole="">
                  <v:imagedata r:id="rId26" o:title=""/>
                </v:shape>
                <o:OLEObject Type="Embed" ProgID="Equation.DSMT4" ShapeID="_x0000_i2230" DrawAspect="Content" ObjectID="_1817953506" r:id="rId27"/>
              </w:object>
            </w:r>
          </w:p>
        </w:tc>
        <w:tc>
          <w:tcPr>
            <w:tcW w:w="1474" w:type="dxa"/>
            <w:tcBorders>
              <w:top w:val="nil"/>
              <w:left w:val="nil"/>
              <w:bottom w:val="nil"/>
              <w:right w:val="nil"/>
            </w:tcBorders>
            <w:vAlign w:val="bottom"/>
          </w:tcPr>
          <w:p w14:paraId="70584FA8"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r w:rsidRPr="00812AD2">
              <w:rPr>
                <w:rFonts w:ascii="Times New Roman" w:hAnsi="Times New Roman"/>
                <w:color w:val="000000"/>
                <w:sz w:val="24"/>
                <w:szCs w:val="24"/>
              </w:rPr>
              <w:t>0.508412</w:t>
            </w:r>
          </w:p>
        </w:tc>
        <w:tc>
          <w:tcPr>
            <w:tcW w:w="1612" w:type="dxa"/>
            <w:tcBorders>
              <w:top w:val="nil"/>
              <w:left w:val="nil"/>
              <w:bottom w:val="nil"/>
              <w:right w:val="nil"/>
            </w:tcBorders>
            <w:vAlign w:val="bottom"/>
          </w:tcPr>
          <w:p w14:paraId="06F4D3A6"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r w:rsidRPr="00812AD2">
              <w:rPr>
                <w:rFonts w:ascii="Times New Roman" w:hAnsi="Times New Roman"/>
                <w:color w:val="000000"/>
                <w:sz w:val="24"/>
                <w:szCs w:val="24"/>
              </w:rPr>
              <w:t>0.162110</w:t>
            </w:r>
          </w:p>
        </w:tc>
        <w:tc>
          <w:tcPr>
            <w:tcW w:w="1613" w:type="dxa"/>
            <w:tcBorders>
              <w:top w:val="nil"/>
              <w:left w:val="nil"/>
              <w:bottom w:val="nil"/>
              <w:right w:val="nil"/>
            </w:tcBorders>
            <w:vAlign w:val="bottom"/>
          </w:tcPr>
          <w:p w14:paraId="79684544"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r w:rsidRPr="00812AD2">
              <w:rPr>
                <w:rFonts w:ascii="Times New Roman" w:hAnsi="Times New Roman"/>
                <w:color w:val="000000"/>
                <w:sz w:val="24"/>
                <w:szCs w:val="24"/>
              </w:rPr>
              <w:t>3.136208</w:t>
            </w:r>
          </w:p>
        </w:tc>
        <w:tc>
          <w:tcPr>
            <w:tcW w:w="1333" w:type="dxa"/>
            <w:tcBorders>
              <w:top w:val="nil"/>
              <w:left w:val="nil"/>
              <w:bottom w:val="nil"/>
              <w:right w:val="nil"/>
            </w:tcBorders>
            <w:vAlign w:val="bottom"/>
          </w:tcPr>
          <w:p w14:paraId="30364A39"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r w:rsidRPr="00812AD2">
              <w:rPr>
                <w:rFonts w:ascii="Times New Roman" w:hAnsi="Times New Roman"/>
                <w:color w:val="000000"/>
                <w:sz w:val="24"/>
                <w:szCs w:val="24"/>
              </w:rPr>
              <w:t>0.0017</w:t>
            </w:r>
          </w:p>
        </w:tc>
      </w:tr>
      <w:tr w:rsidR="00D31621" w:rsidRPr="00812AD2" w14:paraId="2AAFA85D" w14:textId="77777777" w:rsidTr="00F15AD2">
        <w:trPr>
          <w:trHeight w:val="209"/>
        </w:trPr>
        <w:tc>
          <w:tcPr>
            <w:tcW w:w="2695" w:type="dxa"/>
            <w:tcBorders>
              <w:top w:val="nil"/>
              <w:left w:val="nil"/>
              <w:bottom w:val="nil"/>
              <w:right w:val="nil"/>
            </w:tcBorders>
            <w:vAlign w:val="bottom"/>
          </w:tcPr>
          <w:p w14:paraId="43BC3DA3"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r w:rsidRPr="00812AD2">
              <w:rPr>
                <w:rFonts w:ascii="Times New Roman" w:hAnsi="Times New Roman"/>
                <w:color w:val="000000"/>
                <w:position w:val="-10"/>
                <w:sz w:val="24"/>
                <w:szCs w:val="24"/>
              </w:rPr>
              <w:object w:dxaOrig="240" w:dyaOrig="260" w14:anchorId="669AF09E">
                <v:shape id="_x0000_i2231" type="#_x0000_t75" style="width:12pt;height:12.75pt" o:ole="">
                  <v:imagedata r:id="rId28" o:title=""/>
                </v:shape>
                <o:OLEObject Type="Embed" ProgID="Equation.DSMT4" ShapeID="_x0000_i2231" DrawAspect="Content" ObjectID="_1817953507" r:id="rId29"/>
              </w:object>
            </w:r>
          </w:p>
        </w:tc>
        <w:tc>
          <w:tcPr>
            <w:tcW w:w="1474" w:type="dxa"/>
            <w:tcBorders>
              <w:top w:val="nil"/>
              <w:left w:val="nil"/>
              <w:bottom w:val="nil"/>
              <w:right w:val="nil"/>
            </w:tcBorders>
            <w:vAlign w:val="bottom"/>
          </w:tcPr>
          <w:p w14:paraId="27955F6C"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r w:rsidRPr="00812AD2">
              <w:rPr>
                <w:rFonts w:ascii="Times New Roman" w:hAnsi="Times New Roman"/>
                <w:color w:val="000000"/>
                <w:sz w:val="24"/>
                <w:szCs w:val="24"/>
              </w:rPr>
              <w:t>0.300996</w:t>
            </w:r>
          </w:p>
        </w:tc>
        <w:tc>
          <w:tcPr>
            <w:tcW w:w="1612" w:type="dxa"/>
            <w:tcBorders>
              <w:top w:val="nil"/>
              <w:left w:val="nil"/>
              <w:bottom w:val="nil"/>
              <w:right w:val="nil"/>
            </w:tcBorders>
            <w:vAlign w:val="bottom"/>
          </w:tcPr>
          <w:p w14:paraId="287A7778"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r w:rsidRPr="00812AD2">
              <w:rPr>
                <w:rFonts w:ascii="Times New Roman" w:hAnsi="Times New Roman"/>
                <w:color w:val="000000"/>
                <w:sz w:val="24"/>
                <w:szCs w:val="24"/>
              </w:rPr>
              <w:t>0.335184</w:t>
            </w:r>
          </w:p>
        </w:tc>
        <w:tc>
          <w:tcPr>
            <w:tcW w:w="1613" w:type="dxa"/>
            <w:tcBorders>
              <w:top w:val="nil"/>
              <w:left w:val="nil"/>
              <w:bottom w:val="nil"/>
              <w:right w:val="nil"/>
            </w:tcBorders>
            <w:vAlign w:val="bottom"/>
          </w:tcPr>
          <w:p w14:paraId="7D460A23"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r w:rsidRPr="00812AD2">
              <w:rPr>
                <w:rFonts w:ascii="Times New Roman" w:hAnsi="Times New Roman"/>
                <w:color w:val="000000"/>
                <w:sz w:val="24"/>
                <w:szCs w:val="24"/>
              </w:rPr>
              <w:t>0.898002</w:t>
            </w:r>
          </w:p>
        </w:tc>
        <w:tc>
          <w:tcPr>
            <w:tcW w:w="1333" w:type="dxa"/>
            <w:tcBorders>
              <w:top w:val="nil"/>
              <w:left w:val="nil"/>
              <w:bottom w:val="nil"/>
              <w:right w:val="nil"/>
            </w:tcBorders>
            <w:vAlign w:val="bottom"/>
          </w:tcPr>
          <w:p w14:paraId="02FFCEDD"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r w:rsidRPr="00812AD2">
              <w:rPr>
                <w:rFonts w:ascii="Times New Roman" w:hAnsi="Times New Roman"/>
                <w:color w:val="000000"/>
                <w:sz w:val="24"/>
                <w:szCs w:val="24"/>
              </w:rPr>
              <w:t>0.3692</w:t>
            </w:r>
          </w:p>
        </w:tc>
      </w:tr>
      <w:tr w:rsidR="00D31621" w:rsidRPr="00812AD2" w14:paraId="55696B91" w14:textId="77777777" w:rsidTr="00F15AD2">
        <w:trPr>
          <w:trHeight w:hRule="exact" w:val="83"/>
        </w:trPr>
        <w:tc>
          <w:tcPr>
            <w:tcW w:w="2695" w:type="dxa"/>
            <w:tcBorders>
              <w:top w:val="nil"/>
              <w:left w:val="nil"/>
              <w:bottom w:val="double" w:sz="6" w:space="2" w:color="auto"/>
              <w:right w:val="nil"/>
            </w:tcBorders>
            <w:vAlign w:val="bottom"/>
          </w:tcPr>
          <w:p w14:paraId="2FDAB47B"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474" w:type="dxa"/>
            <w:tcBorders>
              <w:top w:val="nil"/>
              <w:left w:val="nil"/>
              <w:bottom w:val="double" w:sz="6" w:space="2" w:color="auto"/>
              <w:right w:val="nil"/>
            </w:tcBorders>
            <w:vAlign w:val="bottom"/>
          </w:tcPr>
          <w:p w14:paraId="744AA21B"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612" w:type="dxa"/>
            <w:tcBorders>
              <w:top w:val="nil"/>
              <w:left w:val="nil"/>
              <w:bottom w:val="double" w:sz="6" w:space="2" w:color="auto"/>
              <w:right w:val="nil"/>
            </w:tcBorders>
            <w:vAlign w:val="bottom"/>
          </w:tcPr>
          <w:p w14:paraId="6E39D453"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613" w:type="dxa"/>
            <w:tcBorders>
              <w:top w:val="nil"/>
              <w:left w:val="nil"/>
              <w:bottom w:val="double" w:sz="6" w:space="2" w:color="auto"/>
              <w:right w:val="nil"/>
            </w:tcBorders>
            <w:vAlign w:val="bottom"/>
          </w:tcPr>
          <w:p w14:paraId="3B93715C"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333" w:type="dxa"/>
            <w:tcBorders>
              <w:top w:val="nil"/>
              <w:left w:val="nil"/>
              <w:bottom w:val="double" w:sz="6" w:space="2" w:color="auto"/>
              <w:right w:val="nil"/>
            </w:tcBorders>
            <w:vAlign w:val="bottom"/>
          </w:tcPr>
          <w:p w14:paraId="22709DFB"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r>
      <w:tr w:rsidR="00D31621" w:rsidRPr="00812AD2" w14:paraId="45227EAA" w14:textId="77777777" w:rsidTr="00F15AD2">
        <w:trPr>
          <w:trHeight w:hRule="exact" w:val="126"/>
        </w:trPr>
        <w:tc>
          <w:tcPr>
            <w:tcW w:w="2695" w:type="dxa"/>
            <w:tcBorders>
              <w:top w:val="nil"/>
              <w:left w:val="nil"/>
              <w:bottom w:val="nil"/>
              <w:right w:val="nil"/>
            </w:tcBorders>
            <w:vAlign w:val="bottom"/>
          </w:tcPr>
          <w:p w14:paraId="48507B28"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474" w:type="dxa"/>
            <w:tcBorders>
              <w:top w:val="nil"/>
              <w:left w:val="nil"/>
              <w:bottom w:val="nil"/>
              <w:right w:val="nil"/>
            </w:tcBorders>
            <w:vAlign w:val="bottom"/>
          </w:tcPr>
          <w:p w14:paraId="5291936F"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612" w:type="dxa"/>
            <w:tcBorders>
              <w:top w:val="nil"/>
              <w:left w:val="nil"/>
              <w:bottom w:val="nil"/>
              <w:right w:val="nil"/>
            </w:tcBorders>
            <w:vAlign w:val="bottom"/>
          </w:tcPr>
          <w:p w14:paraId="35D1E45D"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613" w:type="dxa"/>
            <w:tcBorders>
              <w:top w:val="nil"/>
              <w:left w:val="nil"/>
              <w:bottom w:val="nil"/>
              <w:right w:val="nil"/>
            </w:tcBorders>
            <w:vAlign w:val="bottom"/>
          </w:tcPr>
          <w:p w14:paraId="503291DC"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333" w:type="dxa"/>
            <w:tcBorders>
              <w:top w:val="nil"/>
              <w:left w:val="nil"/>
              <w:bottom w:val="nil"/>
              <w:right w:val="nil"/>
            </w:tcBorders>
            <w:vAlign w:val="bottom"/>
          </w:tcPr>
          <w:p w14:paraId="3F12891A"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r>
      <w:tr w:rsidR="00D31621" w:rsidRPr="00812AD2" w14:paraId="741E6E9A" w14:textId="77777777" w:rsidTr="00F15AD2">
        <w:trPr>
          <w:trHeight w:val="209"/>
        </w:trPr>
        <w:tc>
          <w:tcPr>
            <w:tcW w:w="2695" w:type="dxa"/>
            <w:tcBorders>
              <w:top w:val="nil"/>
              <w:left w:val="nil"/>
              <w:bottom w:val="nil"/>
              <w:right w:val="nil"/>
            </w:tcBorders>
            <w:vAlign w:val="bottom"/>
          </w:tcPr>
          <w:p w14:paraId="57621FE4"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r w:rsidRPr="00812AD2">
              <w:rPr>
                <w:rFonts w:ascii="Times New Roman" w:hAnsi="Times New Roman"/>
                <w:color w:val="000000"/>
                <w:sz w:val="24"/>
                <w:szCs w:val="24"/>
              </w:rPr>
              <w:lastRenderedPageBreak/>
              <w:t>R-squared</w:t>
            </w:r>
          </w:p>
        </w:tc>
        <w:tc>
          <w:tcPr>
            <w:tcW w:w="1474" w:type="dxa"/>
            <w:tcBorders>
              <w:top w:val="nil"/>
              <w:left w:val="nil"/>
              <w:bottom w:val="nil"/>
              <w:right w:val="nil"/>
            </w:tcBorders>
            <w:vAlign w:val="bottom"/>
          </w:tcPr>
          <w:p w14:paraId="6A6E4963"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r w:rsidRPr="00812AD2">
              <w:rPr>
                <w:rFonts w:ascii="Times New Roman" w:hAnsi="Times New Roman"/>
                <w:color w:val="000000"/>
                <w:sz w:val="24"/>
                <w:szCs w:val="24"/>
              </w:rPr>
              <w:t>0.888721</w:t>
            </w:r>
          </w:p>
        </w:tc>
        <w:tc>
          <w:tcPr>
            <w:tcW w:w="3226" w:type="dxa"/>
            <w:gridSpan w:val="2"/>
            <w:tcBorders>
              <w:top w:val="nil"/>
              <w:left w:val="nil"/>
              <w:bottom w:val="nil"/>
              <w:right w:val="nil"/>
            </w:tcBorders>
            <w:vAlign w:val="bottom"/>
          </w:tcPr>
          <w:p w14:paraId="240259D2"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r w:rsidRPr="00812AD2">
              <w:rPr>
                <w:rFonts w:ascii="Times New Roman" w:hAnsi="Times New Roman"/>
                <w:color w:val="000000"/>
                <w:sz w:val="24"/>
                <w:szCs w:val="24"/>
              </w:rPr>
              <w:t>    Mean dependent var</w:t>
            </w:r>
          </w:p>
        </w:tc>
        <w:tc>
          <w:tcPr>
            <w:tcW w:w="1333" w:type="dxa"/>
            <w:tcBorders>
              <w:top w:val="nil"/>
              <w:left w:val="nil"/>
              <w:bottom w:val="nil"/>
              <w:right w:val="nil"/>
            </w:tcBorders>
            <w:vAlign w:val="bottom"/>
          </w:tcPr>
          <w:p w14:paraId="093C94A0"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r w:rsidRPr="00812AD2">
              <w:rPr>
                <w:rFonts w:ascii="Times New Roman" w:hAnsi="Times New Roman"/>
                <w:color w:val="000000"/>
                <w:sz w:val="24"/>
                <w:szCs w:val="24"/>
              </w:rPr>
              <w:t>16.76764</w:t>
            </w:r>
          </w:p>
        </w:tc>
      </w:tr>
      <w:tr w:rsidR="00D31621" w:rsidRPr="00812AD2" w14:paraId="404264B9" w14:textId="77777777" w:rsidTr="00F15AD2">
        <w:trPr>
          <w:trHeight w:val="209"/>
        </w:trPr>
        <w:tc>
          <w:tcPr>
            <w:tcW w:w="2695" w:type="dxa"/>
            <w:tcBorders>
              <w:top w:val="nil"/>
              <w:left w:val="nil"/>
              <w:bottom w:val="nil"/>
              <w:right w:val="nil"/>
            </w:tcBorders>
            <w:vAlign w:val="bottom"/>
          </w:tcPr>
          <w:p w14:paraId="4E85F7CA"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r w:rsidRPr="00812AD2">
              <w:rPr>
                <w:rFonts w:ascii="Times New Roman" w:hAnsi="Times New Roman"/>
                <w:color w:val="000000"/>
                <w:sz w:val="24"/>
                <w:szCs w:val="24"/>
              </w:rPr>
              <w:t>Adjusted R-squared</w:t>
            </w:r>
          </w:p>
        </w:tc>
        <w:tc>
          <w:tcPr>
            <w:tcW w:w="1474" w:type="dxa"/>
            <w:tcBorders>
              <w:top w:val="nil"/>
              <w:left w:val="nil"/>
              <w:bottom w:val="nil"/>
              <w:right w:val="nil"/>
            </w:tcBorders>
            <w:vAlign w:val="bottom"/>
          </w:tcPr>
          <w:p w14:paraId="047FE551"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r w:rsidRPr="00812AD2">
              <w:rPr>
                <w:rFonts w:ascii="Times New Roman" w:hAnsi="Times New Roman"/>
                <w:color w:val="000000"/>
                <w:sz w:val="24"/>
                <w:szCs w:val="24"/>
              </w:rPr>
              <w:t>0.888721</w:t>
            </w:r>
          </w:p>
        </w:tc>
        <w:tc>
          <w:tcPr>
            <w:tcW w:w="3226" w:type="dxa"/>
            <w:gridSpan w:val="2"/>
            <w:tcBorders>
              <w:top w:val="nil"/>
              <w:left w:val="nil"/>
              <w:bottom w:val="nil"/>
              <w:right w:val="nil"/>
            </w:tcBorders>
            <w:vAlign w:val="bottom"/>
          </w:tcPr>
          <w:p w14:paraId="398CFB3D"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r w:rsidRPr="00812AD2">
              <w:rPr>
                <w:rFonts w:ascii="Times New Roman" w:hAnsi="Times New Roman"/>
                <w:color w:val="000000"/>
                <w:sz w:val="24"/>
                <w:szCs w:val="24"/>
              </w:rPr>
              <w:t>    S.D. dependent var</w:t>
            </w:r>
          </w:p>
        </w:tc>
        <w:tc>
          <w:tcPr>
            <w:tcW w:w="1333" w:type="dxa"/>
            <w:tcBorders>
              <w:top w:val="nil"/>
              <w:left w:val="nil"/>
              <w:bottom w:val="nil"/>
              <w:right w:val="nil"/>
            </w:tcBorders>
            <w:vAlign w:val="bottom"/>
          </w:tcPr>
          <w:p w14:paraId="708F3071"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r w:rsidRPr="00812AD2">
              <w:rPr>
                <w:rFonts w:ascii="Times New Roman" w:hAnsi="Times New Roman"/>
                <w:color w:val="000000"/>
                <w:sz w:val="24"/>
                <w:szCs w:val="24"/>
              </w:rPr>
              <w:t>26.43658</w:t>
            </w:r>
          </w:p>
        </w:tc>
      </w:tr>
      <w:tr w:rsidR="00D31621" w:rsidRPr="00812AD2" w14:paraId="7D18F459" w14:textId="77777777" w:rsidTr="00F15AD2">
        <w:trPr>
          <w:trHeight w:val="209"/>
        </w:trPr>
        <w:tc>
          <w:tcPr>
            <w:tcW w:w="2695" w:type="dxa"/>
            <w:tcBorders>
              <w:top w:val="nil"/>
              <w:left w:val="nil"/>
              <w:bottom w:val="nil"/>
              <w:right w:val="nil"/>
            </w:tcBorders>
            <w:vAlign w:val="bottom"/>
          </w:tcPr>
          <w:p w14:paraId="4E1EE8D8"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r w:rsidRPr="00812AD2">
              <w:rPr>
                <w:rFonts w:ascii="Times New Roman" w:hAnsi="Times New Roman"/>
                <w:color w:val="000000"/>
                <w:sz w:val="24"/>
                <w:szCs w:val="24"/>
              </w:rPr>
              <w:t>S.E. of regression</w:t>
            </w:r>
          </w:p>
        </w:tc>
        <w:tc>
          <w:tcPr>
            <w:tcW w:w="1474" w:type="dxa"/>
            <w:tcBorders>
              <w:top w:val="nil"/>
              <w:left w:val="nil"/>
              <w:bottom w:val="nil"/>
              <w:right w:val="nil"/>
            </w:tcBorders>
            <w:vAlign w:val="bottom"/>
          </w:tcPr>
          <w:p w14:paraId="12D785EE"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r w:rsidRPr="00812AD2">
              <w:rPr>
                <w:rFonts w:ascii="Times New Roman" w:hAnsi="Times New Roman"/>
                <w:color w:val="000000"/>
                <w:sz w:val="24"/>
                <w:szCs w:val="24"/>
              </w:rPr>
              <w:t>8.818845</w:t>
            </w:r>
          </w:p>
        </w:tc>
        <w:tc>
          <w:tcPr>
            <w:tcW w:w="3226" w:type="dxa"/>
            <w:gridSpan w:val="2"/>
            <w:tcBorders>
              <w:top w:val="nil"/>
              <w:left w:val="nil"/>
              <w:bottom w:val="nil"/>
              <w:right w:val="nil"/>
            </w:tcBorders>
            <w:vAlign w:val="bottom"/>
          </w:tcPr>
          <w:p w14:paraId="7139BEAB"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r w:rsidRPr="00812AD2">
              <w:rPr>
                <w:rFonts w:ascii="Times New Roman" w:hAnsi="Times New Roman"/>
                <w:color w:val="000000"/>
                <w:sz w:val="24"/>
                <w:szCs w:val="24"/>
              </w:rPr>
              <w:t>    Akaike info criterion</w:t>
            </w:r>
          </w:p>
        </w:tc>
        <w:tc>
          <w:tcPr>
            <w:tcW w:w="1333" w:type="dxa"/>
            <w:tcBorders>
              <w:top w:val="nil"/>
              <w:left w:val="nil"/>
              <w:bottom w:val="nil"/>
              <w:right w:val="nil"/>
            </w:tcBorders>
            <w:vAlign w:val="bottom"/>
          </w:tcPr>
          <w:p w14:paraId="4F54A3B3"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r w:rsidRPr="00812AD2">
              <w:rPr>
                <w:rFonts w:ascii="Times New Roman" w:hAnsi="Times New Roman"/>
                <w:color w:val="000000"/>
                <w:sz w:val="24"/>
                <w:szCs w:val="24"/>
              </w:rPr>
              <w:t>6.633278</w:t>
            </w:r>
          </w:p>
        </w:tc>
      </w:tr>
      <w:tr w:rsidR="00D31621" w:rsidRPr="00812AD2" w14:paraId="721C1159" w14:textId="77777777" w:rsidTr="00F15AD2">
        <w:trPr>
          <w:trHeight w:val="209"/>
        </w:trPr>
        <w:tc>
          <w:tcPr>
            <w:tcW w:w="2695" w:type="dxa"/>
            <w:tcBorders>
              <w:top w:val="nil"/>
              <w:left w:val="nil"/>
              <w:bottom w:val="nil"/>
              <w:right w:val="nil"/>
            </w:tcBorders>
            <w:vAlign w:val="bottom"/>
          </w:tcPr>
          <w:p w14:paraId="4162F0DE"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r w:rsidRPr="00812AD2">
              <w:rPr>
                <w:rFonts w:ascii="Times New Roman" w:hAnsi="Times New Roman"/>
                <w:color w:val="000000"/>
                <w:sz w:val="24"/>
                <w:szCs w:val="24"/>
              </w:rPr>
              <w:t>Sum squared resid</w:t>
            </w:r>
          </w:p>
        </w:tc>
        <w:tc>
          <w:tcPr>
            <w:tcW w:w="1474" w:type="dxa"/>
            <w:tcBorders>
              <w:top w:val="nil"/>
              <w:left w:val="nil"/>
              <w:bottom w:val="nil"/>
              <w:right w:val="nil"/>
            </w:tcBorders>
            <w:vAlign w:val="bottom"/>
          </w:tcPr>
          <w:p w14:paraId="0BBF5C47"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r w:rsidRPr="00812AD2">
              <w:rPr>
                <w:rFonts w:ascii="Times New Roman" w:hAnsi="Times New Roman"/>
                <w:color w:val="000000"/>
                <w:sz w:val="24"/>
                <w:szCs w:val="24"/>
              </w:rPr>
              <w:t>9799.274</w:t>
            </w:r>
          </w:p>
        </w:tc>
        <w:tc>
          <w:tcPr>
            <w:tcW w:w="3226" w:type="dxa"/>
            <w:gridSpan w:val="2"/>
            <w:tcBorders>
              <w:top w:val="nil"/>
              <w:left w:val="nil"/>
              <w:bottom w:val="nil"/>
              <w:right w:val="nil"/>
            </w:tcBorders>
            <w:vAlign w:val="bottom"/>
          </w:tcPr>
          <w:p w14:paraId="4743CB49"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r w:rsidRPr="00812AD2">
              <w:rPr>
                <w:rFonts w:ascii="Times New Roman" w:hAnsi="Times New Roman"/>
                <w:color w:val="000000"/>
                <w:sz w:val="24"/>
                <w:szCs w:val="24"/>
              </w:rPr>
              <w:t>    Schwarz criterion</w:t>
            </w:r>
          </w:p>
        </w:tc>
        <w:tc>
          <w:tcPr>
            <w:tcW w:w="1333" w:type="dxa"/>
            <w:tcBorders>
              <w:top w:val="nil"/>
              <w:left w:val="nil"/>
              <w:bottom w:val="nil"/>
              <w:right w:val="nil"/>
            </w:tcBorders>
            <w:vAlign w:val="bottom"/>
          </w:tcPr>
          <w:p w14:paraId="0EDA91E7"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r w:rsidRPr="00812AD2">
              <w:rPr>
                <w:rFonts w:ascii="Times New Roman" w:hAnsi="Times New Roman"/>
                <w:color w:val="000000"/>
                <w:sz w:val="24"/>
                <w:szCs w:val="24"/>
              </w:rPr>
              <w:t>6.767649</w:t>
            </w:r>
          </w:p>
        </w:tc>
      </w:tr>
      <w:tr w:rsidR="00D31621" w:rsidRPr="00812AD2" w14:paraId="2E1B140B" w14:textId="77777777" w:rsidTr="00F15AD2">
        <w:trPr>
          <w:trHeight w:val="209"/>
        </w:trPr>
        <w:tc>
          <w:tcPr>
            <w:tcW w:w="2695" w:type="dxa"/>
            <w:tcBorders>
              <w:top w:val="nil"/>
              <w:left w:val="nil"/>
              <w:bottom w:val="nil"/>
              <w:right w:val="nil"/>
            </w:tcBorders>
            <w:vAlign w:val="bottom"/>
          </w:tcPr>
          <w:p w14:paraId="39D279A5"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r w:rsidRPr="00812AD2">
              <w:rPr>
                <w:rFonts w:ascii="Times New Roman" w:hAnsi="Times New Roman"/>
                <w:color w:val="000000"/>
                <w:sz w:val="24"/>
                <w:szCs w:val="24"/>
              </w:rPr>
              <w:t>Log likelihood</w:t>
            </w:r>
          </w:p>
        </w:tc>
        <w:tc>
          <w:tcPr>
            <w:tcW w:w="1474" w:type="dxa"/>
            <w:tcBorders>
              <w:top w:val="nil"/>
              <w:left w:val="nil"/>
              <w:bottom w:val="nil"/>
              <w:right w:val="nil"/>
            </w:tcBorders>
            <w:vAlign w:val="bottom"/>
          </w:tcPr>
          <w:p w14:paraId="5A918196"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r w:rsidRPr="00812AD2">
              <w:rPr>
                <w:rFonts w:ascii="Times New Roman" w:hAnsi="Times New Roman"/>
                <w:color w:val="000000"/>
                <w:sz w:val="24"/>
                <w:szCs w:val="24"/>
              </w:rPr>
              <w:t>-415.2131</w:t>
            </w:r>
          </w:p>
        </w:tc>
        <w:tc>
          <w:tcPr>
            <w:tcW w:w="3226" w:type="dxa"/>
            <w:gridSpan w:val="2"/>
            <w:tcBorders>
              <w:top w:val="nil"/>
              <w:left w:val="nil"/>
              <w:bottom w:val="nil"/>
              <w:right w:val="nil"/>
            </w:tcBorders>
            <w:vAlign w:val="bottom"/>
          </w:tcPr>
          <w:p w14:paraId="1B253EBF"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r w:rsidRPr="00812AD2">
              <w:rPr>
                <w:rFonts w:ascii="Times New Roman" w:hAnsi="Times New Roman"/>
                <w:color w:val="000000"/>
                <w:sz w:val="24"/>
                <w:szCs w:val="24"/>
              </w:rPr>
              <w:t>    Hannan-Quinn criter.</w:t>
            </w:r>
          </w:p>
        </w:tc>
        <w:tc>
          <w:tcPr>
            <w:tcW w:w="1333" w:type="dxa"/>
            <w:tcBorders>
              <w:top w:val="nil"/>
              <w:left w:val="nil"/>
              <w:bottom w:val="nil"/>
              <w:right w:val="nil"/>
            </w:tcBorders>
            <w:vAlign w:val="bottom"/>
          </w:tcPr>
          <w:p w14:paraId="7EE4E466"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r w:rsidRPr="00812AD2">
              <w:rPr>
                <w:rFonts w:ascii="Times New Roman" w:hAnsi="Times New Roman"/>
                <w:color w:val="000000"/>
                <w:sz w:val="24"/>
                <w:szCs w:val="24"/>
              </w:rPr>
              <w:t>6.687871</w:t>
            </w:r>
          </w:p>
        </w:tc>
      </w:tr>
      <w:tr w:rsidR="00D31621" w:rsidRPr="00812AD2" w14:paraId="5C9030C4" w14:textId="77777777" w:rsidTr="00F15AD2">
        <w:trPr>
          <w:trHeight w:val="209"/>
        </w:trPr>
        <w:tc>
          <w:tcPr>
            <w:tcW w:w="2695" w:type="dxa"/>
            <w:tcBorders>
              <w:top w:val="nil"/>
              <w:left w:val="nil"/>
              <w:bottom w:val="nil"/>
              <w:right w:val="nil"/>
            </w:tcBorders>
            <w:vAlign w:val="bottom"/>
          </w:tcPr>
          <w:p w14:paraId="5FDCAE8E"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r w:rsidRPr="00812AD2">
              <w:rPr>
                <w:rFonts w:ascii="Times New Roman" w:hAnsi="Times New Roman"/>
                <w:color w:val="000000"/>
                <w:sz w:val="24"/>
                <w:szCs w:val="24"/>
              </w:rPr>
              <w:t>Durbin-Watson stat</w:t>
            </w:r>
          </w:p>
        </w:tc>
        <w:tc>
          <w:tcPr>
            <w:tcW w:w="1474" w:type="dxa"/>
            <w:tcBorders>
              <w:top w:val="nil"/>
              <w:left w:val="nil"/>
              <w:bottom w:val="nil"/>
              <w:right w:val="nil"/>
            </w:tcBorders>
            <w:vAlign w:val="bottom"/>
          </w:tcPr>
          <w:p w14:paraId="30215F25"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r w:rsidRPr="00812AD2">
              <w:rPr>
                <w:rFonts w:ascii="Times New Roman" w:hAnsi="Times New Roman"/>
                <w:color w:val="000000"/>
                <w:sz w:val="24"/>
                <w:szCs w:val="24"/>
              </w:rPr>
              <w:t>1.999999</w:t>
            </w:r>
          </w:p>
        </w:tc>
        <w:tc>
          <w:tcPr>
            <w:tcW w:w="1612" w:type="dxa"/>
            <w:tcBorders>
              <w:top w:val="nil"/>
              <w:left w:val="nil"/>
              <w:bottom w:val="nil"/>
              <w:right w:val="nil"/>
            </w:tcBorders>
            <w:vAlign w:val="bottom"/>
          </w:tcPr>
          <w:p w14:paraId="0B4BD4F4"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p>
        </w:tc>
        <w:tc>
          <w:tcPr>
            <w:tcW w:w="1613" w:type="dxa"/>
            <w:tcBorders>
              <w:top w:val="nil"/>
              <w:left w:val="nil"/>
              <w:bottom w:val="nil"/>
              <w:right w:val="nil"/>
            </w:tcBorders>
            <w:vAlign w:val="bottom"/>
          </w:tcPr>
          <w:p w14:paraId="77354531"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p>
        </w:tc>
        <w:tc>
          <w:tcPr>
            <w:tcW w:w="1333" w:type="dxa"/>
            <w:tcBorders>
              <w:top w:val="nil"/>
              <w:left w:val="nil"/>
              <w:bottom w:val="nil"/>
              <w:right w:val="nil"/>
            </w:tcBorders>
            <w:vAlign w:val="bottom"/>
          </w:tcPr>
          <w:p w14:paraId="51AC5D9D" w14:textId="77777777" w:rsidR="00D31621" w:rsidRPr="00812AD2" w:rsidRDefault="00D31621" w:rsidP="00C45F51">
            <w:pPr>
              <w:autoSpaceDE w:val="0"/>
              <w:autoSpaceDN w:val="0"/>
              <w:adjustRightInd w:val="0"/>
              <w:spacing w:after="0" w:line="240" w:lineRule="auto"/>
              <w:ind w:right="10"/>
              <w:rPr>
                <w:rFonts w:ascii="Times New Roman" w:hAnsi="Times New Roman"/>
                <w:color w:val="000000"/>
                <w:sz w:val="24"/>
                <w:szCs w:val="24"/>
              </w:rPr>
            </w:pPr>
          </w:p>
        </w:tc>
      </w:tr>
      <w:tr w:rsidR="00D31621" w:rsidRPr="00812AD2" w14:paraId="54C50D33" w14:textId="77777777" w:rsidTr="00F15AD2">
        <w:trPr>
          <w:trHeight w:hRule="exact" w:val="83"/>
        </w:trPr>
        <w:tc>
          <w:tcPr>
            <w:tcW w:w="2695" w:type="dxa"/>
            <w:tcBorders>
              <w:top w:val="nil"/>
              <w:left w:val="nil"/>
              <w:bottom w:val="double" w:sz="6" w:space="0" w:color="auto"/>
              <w:right w:val="nil"/>
            </w:tcBorders>
            <w:vAlign w:val="bottom"/>
          </w:tcPr>
          <w:p w14:paraId="22ABBC27"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474" w:type="dxa"/>
            <w:tcBorders>
              <w:top w:val="nil"/>
              <w:left w:val="nil"/>
              <w:bottom w:val="double" w:sz="6" w:space="0" w:color="auto"/>
              <w:right w:val="nil"/>
            </w:tcBorders>
            <w:vAlign w:val="bottom"/>
          </w:tcPr>
          <w:p w14:paraId="315DDBB1"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612" w:type="dxa"/>
            <w:tcBorders>
              <w:top w:val="nil"/>
              <w:left w:val="nil"/>
              <w:bottom w:val="double" w:sz="6" w:space="0" w:color="auto"/>
              <w:right w:val="nil"/>
            </w:tcBorders>
            <w:vAlign w:val="bottom"/>
          </w:tcPr>
          <w:p w14:paraId="78C1DFA0"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613" w:type="dxa"/>
            <w:tcBorders>
              <w:top w:val="nil"/>
              <w:left w:val="nil"/>
              <w:bottom w:val="double" w:sz="6" w:space="0" w:color="auto"/>
              <w:right w:val="nil"/>
            </w:tcBorders>
            <w:vAlign w:val="bottom"/>
          </w:tcPr>
          <w:p w14:paraId="40AD0485"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333" w:type="dxa"/>
            <w:tcBorders>
              <w:top w:val="nil"/>
              <w:left w:val="nil"/>
              <w:bottom w:val="double" w:sz="6" w:space="0" w:color="auto"/>
              <w:right w:val="nil"/>
            </w:tcBorders>
            <w:vAlign w:val="bottom"/>
          </w:tcPr>
          <w:p w14:paraId="489344D9"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r>
      <w:tr w:rsidR="00D31621" w:rsidRPr="00812AD2" w14:paraId="3CB48F82" w14:textId="77777777" w:rsidTr="00F15AD2">
        <w:trPr>
          <w:trHeight w:hRule="exact" w:val="126"/>
        </w:trPr>
        <w:tc>
          <w:tcPr>
            <w:tcW w:w="2695" w:type="dxa"/>
            <w:tcBorders>
              <w:top w:val="nil"/>
              <w:left w:val="nil"/>
              <w:bottom w:val="nil"/>
              <w:right w:val="nil"/>
            </w:tcBorders>
            <w:vAlign w:val="bottom"/>
          </w:tcPr>
          <w:p w14:paraId="26984B99"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474" w:type="dxa"/>
            <w:tcBorders>
              <w:top w:val="nil"/>
              <w:left w:val="nil"/>
              <w:bottom w:val="nil"/>
              <w:right w:val="nil"/>
            </w:tcBorders>
            <w:vAlign w:val="bottom"/>
          </w:tcPr>
          <w:p w14:paraId="3B98FFE7"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612" w:type="dxa"/>
            <w:tcBorders>
              <w:top w:val="nil"/>
              <w:left w:val="nil"/>
              <w:bottom w:val="nil"/>
              <w:right w:val="nil"/>
            </w:tcBorders>
            <w:vAlign w:val="bottom"/>
          </w:tcPr>
          <w:p w14:paraId="779E1A28"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613" w:type="dxa"/>
            <w:tcBorders>
              <w:top w:val="nil"/>
              <w:left w:val="nil"/>
              <w:bottom w:val="nil"/>
              <w:right w:val="nil"/>
            </w:tcBorders>
            <w:vAlign w:val="bottom"/>
          </w:tcPr>
          <w:p w14:paraId="075E5730"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c>
          <w:tcPr>
            <w:tcW w:w="1333" w:type="dxa"/>
            <w:tcBorders>
              <w:top w:val="nil"/>
              <w:left w:val="nil"/>
              <w:bottom w:val="nil"/>
              <w:right w:val="nil"/>
            </w:tcBorders>
            <w:vAlign w:val="bottom"/>
          </w:tcPr>
          <w:p w14:paraId="49437A38" w14:textId="77777777" w:rsidR="00D31621" w:rsidRPr="00812AD2" w:rsidRDefault="00D31621" w:rsidP="00C45F51">
            <w:pPr>
              <w:autoSpaceDE w:val="0"/>
              <w:autoSpaceDN w:val="0"/>
              <w:adjustRightInd w:val="0"/>
              <w:spacing w:after="0" w:line="240" w:lineRule="auto"/>
              <w:rPr>
                <w:rFonts w:ascii="Times New Roman" w:hAnsi="Times New Roman"/>
                <w:color w:val="000000"/>
                <w:sz w:val="24"/>
                <w:szCs w:val="24"/>
              </w:rPr>
            </w:pPr>
          </w:p>
        </w:tc>
      </w:tr>
    </w:tbl>
    <w:p w14:paraId="75F24DE8" w14:textId="77777777" w:rsidR="0002608C" w:rsidRPr="00812AD2" w:rsidRDefault="00D31621" w:rsidP="00C45F51">
      <w:pPr>
        <w:spacing w:line="240" w:lineRule="auto"/>
        <w:jc w:val="both"/>
        <w:rPr>
          <w:rFonts w:ascii="Times New Roman" w:hAnsi="Times New Roman"/>
          <w:b/>
          <w:bCs/>
          <w:i/>
          <w:iCs/>
          <w:sz w:val="24"/>
          <w:szCs w:val="24"/>
        </w:rPr>
      </w:pPr>
      <w:r w:rsidRPr="00812AD2">
        <w:rPr>
          <w:rFonts w:ascii="Times New Roman" w:hAnsi="Times New Roman"/>
          <w:b/>
          <w:bCs/>
          <w:i/>
          <w:iCs/>
          <w:sz w:val="24"/>
          <w:szCs w:val="24"/>
        </w:rPr>
        <w:t xml:space="preserve">              Source: Author’s Computation using Eviews 10</w:t>
      </w:r>
    </w:p>
    <w:p w14:paraId="227838E0" w14:textId="77777777" w:rsidR="00812AD2" w:rsidRDefault="00812AD2" w:rsidP="00812AD2">
      <w:pPr>
        <w:spacing w:line="240" w:lineRule="auto"/>
        <w:rPr>
          <w:rFonts w:ascii="Times New Roman" w:hAnsi="Times New Roman"/>
          <w:sz w:val="24"/>
          <w:szCs w:val="24"/>
        </w:rPr>
        <w:sectPr w:rsidR="00812AD2" w:rsidSect="004267E7">
          <w:type w:val="continuous"/>
          <w:pgSz w:w="12240" w:h="15840"/>
          <w:pgMar w:top="1135" w:right="1440" w:bottom="1440" w:left="1440" w:header="720" w:footer="720" w:gutter="0"/>
          <w:cols w:space="720"/>
          <w:docGrid w:linePitch="360"/>
        </w:sectPr>
      </w:pPr>
    </w:p>
    <w:p w14:paraId="6BA3BBC2" w14:textId="106ABA50" w:rsidR="00D31621" w:rsidRPr="0002608C" w:rsidRDefault="00D31621" w:rsidP="00812AD2">
      <w:pPr>
        <w:spacing w:line="240" w:lineRule="auto"/>
        <w:rPr>
          <w:rFonts w:ascii="Arial" w:hAnsi="Arial" w:cs="Arial"/>
          <w:sz w:val="18"/>
          <w:szCs w:val="18"/>
        </w:rPr>
      </w:pPr>
      <w:r w:rsidRPr="009E128D">
        <w:rPr>
          <w:rFonts w:ascii="Times New Roman" w:hAnsi="Times New Roman"/>
          <w:sz w:val="24"/>
          <w:szCs w:val="24"/>
        </w:rPr>
        <w:t xml:space="preserve">Table </w:t>
      </w:r>
      <w:r w:rsidR="005F1037">
        <w:rPr>
          <w:rFonts w:ascii="Times New Roman" w:hAnsi="Times New Roman"/>
          <w:sz w:val="24"/>
          <w:szCs w:val="24"/>
        </w:rPr>
        <w:t>5</w:t>
      </w:r>
      <w:r>
        <w:rPr>
          <w:rFonts w:ascii="Times New Roman" w:hAnsi="Times New Roman"/>
          <w:sz w:val="24"/>
          <w:szCs w:val="24"/>
        </w:rPr>
        <w:t xml:space="preserve"> </w:t>
      </w:r>
      <w:r w:rsidRPr="009E128D">
        <w:rPr>
          <w:rFonts w:ascii="Times New Roman" w:hAnsi="Times New Roman"/>
          <w:sz w:val="24"/>
          <w:szCs w:val="24"/>
        </w:rPr>
        <w:t>show</w:t>
      </w:r>
      <w:r w:rsidR="005F1037">
        <w:rPr>
          <w:rFonts w:ascii="Times New Roman" w:hAnsi="Times New Roman"/>
          <w:sz w:val="24"/>
          <w:szCs w:val="24"/>
        </w:rPr>
        <w:t>ed</w:t>
      </w:r>
      <w:r w:rsidRPr="009E128D">
        <w:rPr>
          <w:rFonts w:ascii="Times New Roman" w:hAnsi="Times New Roman"/>
          <w:sz w:val="24"/>
          <w:szCs w:val="24"/>
        </w:rPr>
        <w:t xml:space="preserve"> the results for the mean and variance equations from the Exponential General Autoregressive Conditional Heteroskedasticity </w:t>
      </w:r>
      <w:r>
        <w:rPr>
          <w:rFonts w:ascii="Times New Roman" w:hAnsi="Times New Roman"/>
          <w:sz w:val="24"/>
          <w:szCs w:val="24"/>
        </w:rPr>
        <w:t>(</w:t>
      </w:r>
      <w:r w:rsidRPr="009E128D">
        <w:rPr>
          <w:rFonts w:ascii="Times New Roman" w:hAnsi="Times New Roman"/>
          <w:sz w:val="24"/>
          <w:szCs w:val="24"/>
        </w:rPr>
        <w:t>E-GARCH</w:t>
      </w:r>
      <w:r>
        <w:rPr>
          <w:rFonts w:ascii="Times New Roman" w:hAnsi="Times New Roman"/>
          <w:sz w:val="24"/>
          <w:szCs w:val="24"/>
        </w:rPr>
        <w:t>)</w:t>
      </w:r>
      <w:r w:rsidRPr="009E128D">
        <w:rPr>
          <w:rFonts w:ascii="Times New Roman" w:hAnsi="Times New Roman"/>
          <w:sz w:val="24"/>
          <w:szCs w:val="24"/>
        </w:rPr>
        <w:t xml:space="preserve"> model. The variance equation provides information on the persistence and impact of shocks as well as asymmetry and the relationship between stock market returns</w:t>
      </w:r>
      <w:r>
        <w:rPr>
          <w:rFonts w:ascii="Times New Roman" w:hAnsi="Times New Roman"/>
          <w:sz w:val="24"/>
          <w:szCs w:val="24"/>
        </w:rPr>
        <w:t xml:space="preserve"> and economic growth </w:t>
      </w:r>
      <w:r w:rsidRPr="009E128D">
        <w:rPr>
          <w:rFonts w:ascii="Times New Roman" w:hAnsi="Times New Roman"/>
          <w:sz w:val="24"/>
          <w:szCs w:val="24"/>
        </w:rPr>
        <w:t>in</w:t>
      </w:r>
      <w:r>
        <w:rPr>
          <w:rFonts w:ascii="Times New Roman" w:hAnsi="Times New Roman"/>
          <w:sz w:val="24"/>
          <w:szCs w:val="24"/>
        </w:rPr>
        <w:t xml:space="preserve"> Nigeria.</w:t>
      </w:r>
    </w:p>
    <w:p w14:paraId="0366F2B2" w14:textId="69D16E10" w:rsidR="00D31621" w:rsidRDefault="00D31621" w:rsidP="00812AD2">
      <w:pPr>
        <w:spacing w:line="240" w:lineRule="auto"/>
        <w:rPr>
          <w:rFonts w:ascii="Times New Roman" w:hAnsi="Times New Roman"/>
          <w:sz w:val="24"/>
          <w:szCs w:val="24"/>
        </w:rPr>
      </w:pPr>
      <w:r w:rsidRPr="00866D28">
        <w:rPr>
          <w:rFonts w:ascii="Times New Roman" w:hAnsi="Times New Roman"/>
          <w:sz w:val="24"/>
          <w:szCs w:val="24"/>
        </w:rPr>
        <w:t>The coefficient</w:t>
      </w:r>
      <w:r>
        <w:rPr>
          <w:rFonts w:ascii="Times New Roman" w:hAnsi="Times New Roman"/>
          <w:sz w:val="24"/>
          <w:szCs w:val="24"/>
        </w:rPr>
        <w:t xml:space="preserve"> </w:t>
      </w:r>
      <w:r w:rsidRPr="00866D28">
        <w:rPr>
          <w:rFonts w:ascii="Times New Roman" w:hAnsi="Times New Roman"/>
          <w:sz w:val="24"/>
          <w:szCs w:val="24"/>
        </w:rPr>
        <w:t>(</w:t>
      </w:r>
      <w:r w:rsidRPr="00866D28">
        <w:rPr>
          <w:rFonts w:ascii="Times New Roman" w:hAnsi="Times New Roman"/>
          <w:color w:val="000000"/>
          <w:position w:val="-6"/>
          <w:sz w:val="24"/>
          <w:szCs w:val="24"/>
        </w:rPr>
        <w:object w:dxaOrig="220" w:dyaOrig="279" w14:anchorId="610DC7A5">
          <v:shape id="_x0000_i1037" type="#_x0000_t75" style="width:11.25pt;height:13.5pt" o:ole="">
            <v:imagedata r:id="rId24" o:title=""/>
          </v:shape>
          <o:OLEObject Type="Embed" ProgID="Equation.DSMT4" ShapeID="_x0000_i1037" DrawAspect="Content" ObjectID="_1817953508" r:id="rId30"/>
        </w:object>
      </w:r>
      <w:r>
        <w:rPr>
          <w:rFonts w:ascii="Times New Roman" w:hAnsi="Times New Roman"/>
          <w:color w:val="000000"/>
          <w:sz w:val="24"/>
          <w:szCs w:val="24"/>
        </w:rPr>
        <w:t xml:space="preserve">) of </w:t>
      </w:r>
      <w:r w:rsidRPr="00866D28">
        <w:rPr>
          <w:rFonts w:ascii="Times New Roman" w:hAnsi="Times New Roman"/>
          <w:color w:val="000000"/>
          <w:sz w:val="24"/>
          <w:szCs w:val="24"/>
        </w:rPr>
        <w:t>0.177959</w:t>
      </w:r>
      <w:r>
        <w:rPr>
          <w:rFonts w:ascii="Arial" w:hAnsi="Arial" w:cs="Arial"/>
          <w:color w:val="000000"/>
          <w:sz w:val="18"/>
          <w:szCs w:val="18"/>
        </w:rPr>
        <w:t xml:space="preserve"> </w:t>
      </w:r>
      <w:r w:rsidRPr="00866D28">
        <w:rPr>
          <w:rFonts w:ascii="Times New Roman" w:hAnsi="Times New Roman"/>
          <w:sz w:val="24"/>
          <w:szCs w:val="24"/>
        </w:rPr>
        <w:t>measure</w:t>
      </w:r>
      <w:r w:rsidR="005F1037">
        <w:rPr>
          <w:rFonts w:ascii="Times New Roman" w:hAnsi="Times New Roman"/>
          <w:sz w:val="24"/>
          <w:szCs w:val="24"/>
        </w:rPr>
        <w:t>d</w:t>
      </w:r>
      <w:r w:rsidRPr="00866D28">
        <w:rPr>
          <w:rFonts w:ascii="Times New Roman" w:hAnsi="Times New Roman"/>
          <w:sz w:val="24"/>
          <w:szCs w:val="24"/>
        </w:rPr>
        <w:t xml:space="preserve"> the presence of </w:t>
      </w:r>
      <w:r>
        <w:rPr>
          <w:rFonts w:ascii="Times New Roman" w:hAnsi="Times New Roman"/>
          <w:sz w:val="24"/>
          <w:szCs w:val="24"/>
        </w:rPr>
        <w:t xml:space="preserve">information </w:t>
      </w:r>
      <w:r w:rsidRPr="00866D28">
        <w:rPr>
          <w:rFonts w:ascii="Times New Roman" w:hAnsi="Times New Roman"/>
          <w:sz w:val="24"/>
          <w:szCs w:val="24"/>
        </w:rPr>
        <w:t xml:space="preserve">asymmetry. It is however not statistically </w:t>
      </w:r>
      <w:r>
        <w:rPr>
          <w:rFonts w:ascii="Times New Roman" w:hAnsi="Times New Roman"/>
          <w:sz w:val="24"/>
          <w:szCs w:val="24"/>
        </w:rPr>
        <w:t xml:space="preserve">significant given probability value of 0.4784 which is greater than 0.05 significance level. This implies </w:t>
      </w:r>
      <w:r w:rsidRPr="00866D28">
        <w:rPr>
          <w:rFonts w:ascii="Times New Roman" w:hAnsi="Times New Roman"/>
          <w:sz w:val="24"/>
          <w:szCs w:val="24"/>
        </w:rPr>
        <w:t xml:space="preserve">the absence of </w:t>
      </w:r>
      <w:r>
        <w:rPr>
          <w:rFonts w:ascii="Times New Roman" w:hAnsi="Times New Roman"/>
          <w:sz w:val="24"/>
          <w:szCs w:val="24"/>
        </w:rPr>
        <w:t xml:space="preserve">information </w:t>
      </w:r>
      <w:r w:rsidRPr="00866D28">
        <w:rPr>
          <w:rFonts w:ascii="Times New Roman" w:hAnsi="Times New Roman"/>
          <w:sz w:val="24"/>
          <w:szCs w:val="24"/>
        </w:rPr>
        <w:t xml:space="preserve">asymmetry </w:t>
      </w:r>
      <w:r>
        <w:rPr>
          <w:rFonts w:ascii="Times New Roman" w:hAnsi="Times New Roman"/>
          <w:sz w:val="24"/>
          <w:szCs w:val="24"/>
        </w:rPr>
        <w:t xml:space="preserve">which </w:t>
      </w:r>
      <w:r>
        <w:rPr>
          <w:rFonts w:ascii="Times New Roman" w:hAnsi="Times New Roman"/>
          <w:sz w:val="24"/>
          <w:szCs w:val="24"/>
        </w:rPr>
        <w:t>thus reduces</w:t>
      </w:r>
      <w:r w:rsidRPr="00866D28">
        <w:rPr>
          <w:rFonts w:ascii="Times New Roman" w:hAnsi="Times New Roman"/>
          <w:sz w:val="24"/>
          <w:szCs w:val="24"/>
        </w:rPr>
        <w:t xml:space="preserve"> the model to a GARCH </w:t>
      </w:r>
      <w:r>
        <w:rPr>
          <w:rFonts w:ascii="Times New Roman" w:hAnsi="Times New Roman"/>
          <w:sz w:val="24"/>
          <w:szCs w:val="24"/>
        </w:rPr>
        <w:t>type</w:t>
      </w:r>
      <w:r w:rsidRPr="00866D28">
        <w:rPr>
          <w:rFonts w:ascii="Times New Roman" w:hAnsi="Times New Roman"/>
          <w:sz w:val="24"/>
          <w:szCs w:val="24"/>
        </w:rPr>
        <w:t xml:space="preserve">. </w:t>
      </w:r>
      <w:r>
        <w:rPr>
          <w:rFonts w:ascii="Times New Roman" w:hAnsi="Times New Roman"/>
          <w:sz w:val="24"/>
          <w:szCs w:val="24"/>
        </w:rPr>
        <w:t>It means that p</w:t>
      </w:r>
      <w:r w:rsidRPr="00866D28">
        <w:rPr>
          <w:rFonts w:ascii="Times New Roman" w:hAnsi="Times New Roman"/>
          <w:sz w:val="24"/>
          <w:szCs w:val="24"/>
        </w:rPr>
        <w:t>ositive and negative shocks have identical effects on the stock market returns series. That is</w:t>
      </w:r>
      <w:r>
        <w:rPr>
          <w:rFonts w:ascii="Times New Roman" w:hAnsi="Times New Roman"/>
          <w:sz w:val="24"/>
          <w:szCs w:val="24"/>
        </w:rPr>
        <w:t>,</w:t>
      </w:r>
      <w:r w:rsidRPr="00866D28">
        <w:rPr>
          <w:rFonts w:ascii="Times New Roman" w:hAnsi="Times New Roman"/>
          <w:sz w:val="24"/>
          <w:szCs w:val="24"/>
        </w:rPr>
        <w:t xml:space="preserve"> bad and good news will increase volatility of stock market returns in the same magnitude. </w:t>
      </w:r>
      <w:r>
        <w:rPr>
          <w:rFonts w:ascii="Times New Roman" w:hAnsi="Times New Roman"/>
          <w:sz w:val="24"/>
          <w:szCs w:val="24"/>
        </w:rPr>
        <w:t xml:space="preserve">It </w:t>
      </w:r>
      <w:r w:rsidRPr="00866D28">
        <w:rPr>
          <w:rFonts w:ascii="Times New Roman" w:hAnsi="Times New Roman"/>
          <w:sz w:val="24"/>
          <w:szCs w:val="24"/>
        </w:rPr>
        <w:t xml:space="preserve">simply </w:t>
      </w:r>
      <w:r>
        <w:rPr>
          <w:rFonts w:ascii="Times New Roman" w:hAnsi="Times New Roman"/>
          <w:sz w:val="24"/>
          <w:szCs w:val="24"/>
        </w:rPr>
        <w:t>means</w:t>
      </w:r>
      <w:r w:rsidRPr="00866D28">
        <w:rPr>
          <w:rFonts w:ascii="Times New Roman" w:hAnsi="Times New Roman"/>
          <w:sz w:val="24"/>
          <w:szCs w:val="24"/>
        </w:rPr>
        <w:t xml:space="preserve"> that </w:t>
      </w:r>
      <w:r>
        <w:rPr>
          <w:rFonts w:ascii="Times New Roman" w:hAnsi="Times New Roman"/>
          <w:sz w:val="24"/>
          <w:szCs w:val="24"/>
        </w:rPr>
        <w:t xml:space="preserve">capital </w:t>
      </w:r>
      <w:r w:rsidRPr="00866D28">
        <w:rPr>
          <w:rFonts w:ascii="Times New Roman" w:hAnsi="Times New Roman"/>
          <w:sz w:val="24"/>
          <w:szCs w:val="24"/>
        </w:rPr>
        <w:t>investors on the Nigerian stock exchange react</w:t>
      </w:r>
      <w:r>
        <w:rPr>
          <w:rFonts w:ascii="Times New Roman" w:hAnsi="Times New Roman"/>
          <w:sz w:val="24"/>
          <w:szCs w:val="24"/>
        </w:rPr>
        <w:t>s</w:t>
      </w:r>
      <w:r w:rsidRPr="00866D28">
        <w:rPr>
          <w:rFonts w:ascii="Times New Roman" w:hAnsi="Times New Roman"/>
          <w:sz w:val="24"/>
          <w:szCs w:val="24"/>
        </w:rPr>
        <w:t xml:space="preserve"> the same way to information be it positive or negative in making investment decisions. </w:t>
      </w:r>
      <w:r>
        <w:rPr>
          <w:rFonts w:ascii="Times New Roman" w:hAnsi="Times New Roman"/>
          <w:sz w:val="24"/>
          <w:szCs w:val="24"/>
        </w:rPr>
        <w:t xml:space="preserve">The result of the GARCH (1, 1) model due to absence of information asymmetry is presented in table </w:t>
      </w:r>
      <w:r w:rsidR="00812AD2">
        <w:rPr>
          <w:rFonts w:ascii="Times New Roman" w:hAnsi="Times New Roman"/>
          <w:sz w:val="24"/>
          <w:szCs w:val="24"/>
        </w:rPr>
        <w:t>6</w:t>
      </w:r>
      <w:r>
        <w:rPr>
          <w:rFonts w:ascii="Times New Roman" w:hAnsi="Times New Roman"/>
          <w:sz w:val="24"/>
          <w:szCs w:val="24"/>
        </w:rPr>
        <w:t>:</w:t>
      </w:r>
    </w:p>
    <w:p w14:paraId="792AB3C7" w14:textId="77777777" w:rsidR="00812AD2" w:rsidRDefault="00812AD2" w:rsidP="00C45F51">
      <w:pPr>
        <w:spacing w:after="0" w:line="240" w:lineRule="auto"/>
        <w:ind w:firstLine="720"/>
        <w:jc w:val="both"/>
        <w:rPr>
          <w:rFonts w:ascii="Times New Roman" w:hAnsi="Times New Roman"/>
          <w:b/>
          <w:bCs/>
        </w:rPr>
        <w:sectPr w:rsidR="00812AD2" w:rsidSect="00812AD2">
          <w:type w:val="continuous"/>
          <w:pgSz w:w="12240" w:h="15840"/>
          <w:pgMar w:top="1135" w:right="1440" w:bottom="1440" w:left="1440" w:header="720" w:footer="720" w:gutter="0"/>
          <w:cols w:num="2" w:space="720"/>
          <w:docGrid w:linePitch="360"/>
        </w:sectPr>
      </w:pPr>
    </w:p>
    <w:p w14:paraId="06E73896" w14:textId="77777777" w:rsidR="00812AD2" w:rsidRDefault="00812AD2" w:rsidP="00C45F51">
      <w:pPr>
        <w:spacing w:after="0" w:line="240" w:lineRule="auto"/>
        <w:ind w:firstLine="720"/>
        <w:jc w:val="both"/>
        <w:rPr>
          <w:rFonts w:ascii="Times New Roman" w:hAnsi="Times New Roman"/>
          <w:b/>
          <w:bCs/>
        </w:rPr>
      </w:pPr>
    </w:p>
    <w:p w14:paraId="1F795BD3" w14:textId="763FC14A" w:rsidR="00D31621" w:rsidRPr="00812AD2" w:rsidRDefault="00D31621" w:rsidP="00812AD2">
      <w:pPr>
        <w:spacing w:after="0" w:line="240" w:lineRule="auto"/>
        <w:ind w:firstLine="720"/>
        <w:rPr>
          <w:rFonts w:ascii="Times New Roman" w:hAnsi="Times New Roman"/>
          <w:sz w:val="24"/>
          <w:szCs w:val="24"/>
        </w:rPr>
      </w:pPr>
      <w:r w:rsidRPr="00812AD2">
        <w:rPr>
          <w:rFonts w:ascii="Times New Roman" w:hAnsi="Times New Roman"/>
          <w:b/>
          <w:bCs/>
          <w:sz w:val="24"/>
          <w:szCs w:val="24"/>
        </w:rPr>
        <w:t xml:space="preserve">Table </w:t>
      </w:r>
      <w:r w:rsidR="005F1037" w:rsidRPr="00812AD2">
        <w:rPr>
          <w:rFonts w:ascii="Times New Roman" w:hAnsi="Times New Roman"/>
          <w:b/>
          <w:bCs/>
          <w:sz w:val="24"/>
          <w:szCs w:val="24"/>
        </w:rPr>
        <w:t>6</w:t>
      </w:r>
      <w:r w:rsidRPr="00812AD2">
        <w:rPr>
          <w:rFonts w:ascii="Times New Roman" w:hAnsi="Times New Roman"/>
          <w:b/>
          <w:bCs/>
          <w:sz w:val="24"/>
          <w:szCs w:val="24"/>
        </w:rPr>
        <w:t>: GARCH (1,1) Model</w:t>
      </w:r>
    </w:p>
    <w:tbl>
      <w:tblPr>
        <w:tblW w:w="9015" w:type="dxa"/>
        <w:tblInd w:w="773" w:type="dxa"/>
        <w:tblLayout w:type="fixed"/>
        <w:tblCellMar>
          <w:left w:w="0" w:type="dxa"/>
          <w:right w:w="0" w:type="dxa"/>
        </w:tblCellMar>
        <w:tblLook w:val="0000" w:firstRow="0" w:lastRow="0" w:firstColumn="0" w:lastColumn="0" w:noHBand="0" w:noVBand="0"/>
      </w:tblPr>
      <w:tblGrid>
        <w:gridCol w:w="2783"/>
        <w:gridCol w:w="1522"/>
        <w:gridCol w:w="1667"/>
        <w:gridCol w:w="1667"/>
        <w:gridCol w:w="1376"/>
      </w:tblGrid>
      <w:tr w:rsidR="00D31621" w:rsidRPr="00726B58" w14:paraId="71F4DD2B" w14:textId="77777777" w:rsidTr="00812AD2">
        <w:trPr>
          <w:trHeight w:val="257"/>
        </w:trPr>
        <w:tc>
          <w:tcPr>
            <w:tcW w:w="5972" w:type="dxa"/>
            <w:gridSpan w:val="3"/>
            <w:tcBorders>
              <w:top w:val="nil"/>
              <w:left w:val="nil"/>
              <w:bottom w:val="nil"/>
              <w:right w:val="nil"/>
            </w:tcBorders>
            <w:vAlign w:val="bottom"/>
          </w:tcPr>
          <w:p w14:paraId="0DC47A3C" w14:textId="77777777" w:rsidR="00D31621" w:rsidRPr="00726B58" w:rsidRDefault="00D31621" w:rsidP="00C45F51">
            <w:pPr>
              <w:autoSpaceDE w:val="0"/>
              <w:autoSpaceDN w:val="0"/>
              <w:adjustRightInd w:val="0"/>
              <w:spacing w:after="0" w:line="240" w:lineRule="auto"/>
              <w:rPr>
                <w:rFonts w:ascii="Times New Roman" w:hAnsi="Times New Roman"/>
                <w:b/>
                <w:color w:val="000000"/>
                <w:sz w:val="20"/>
                <w:szCs w:val="20"/>
              </w:rPr>
            </w:pPr>
            <w:r w:rsidRPr="00726B58">
              <w:rPr>
                <w:rFonts w:ascii="Times New Roman" w:hAnsi="Times New Roman"/>
                <w:b/>
                <w:color w:val="000000"/>
                <w:sz w:val="20"/>
                <w:szCs w:val="20"/>
              </w:rPr>
              <w:t>Dependent Variable: SMR</w:t>
            </w:r>
          </w:p>
        </w:tc>
        <w:tc>
          <w:tcPr>
            <w:tcW w:w="1667" w:type="dxa"/>
            <w:tcBorders>
              <w:top w:val="nil"/>
              <w:left w:val="nil"/>
              <w:bottom w:val="nil"/>
              <w:right w:val="nil"/>
            </w:tcBorders>
            <w:vAlign w:val="bottom"/>
          </w:tcPr>
          <w:p w14:paraId="4591F556" w14:textId="77777777" w:rsidR="00D31621" w:rsidRPr="00726B58" w:rsidRDefault="00D31621" w:rsidP="00C45F51">
            <w:pPr>
              <w:autoSpaceDE w:val="0"/>
              <w:autoSpaceDN w:val="0"/>
              <w:adjustRightInd w:val="0"/>
              <w:spacing w:after="0" w:line="240" w:lineRule="auto"/>
              <w:rPr>
                <w:rFonts w:ascii="Times New Roman" w:hAnsi="Times New Roman"/>
                <w:b/>
                <w:color w:val="000000"/>
                <w:sz w:val="20"/>
                <w:szCs w:val="20"/>
              </w:rPr>
            </w:pPr>
          </w:p>
        </w:tc>
        <w:tc>
          <w:tcPr>
            <w:tcW w:w="1376" w:type="dxa"/>
            <w:tcBorders>
              <w:top w:val="nil"/>
              <w:left w:val="nil"/>
              <w:bottom w:val="nil"/>
              <w:right w:val="nil"/>
            </w:tcBorders>
            <w:vAlign w:val="bottom"/>
          </w:tcPr>
          <w:p w14:paraId="0B7DBE29" w14:textId="77777777" w:rsidR="00D31621" w:rsidRPr="00726B58" w:rsidRDefault="00D31621" w:rsidP="00C45F51">
            <w:pPr>
              <w:autoSpaceDE w:val="0"/>
              <w:autoSpaceDN w:val="0"/>
              <w:adjustRightInd w:val="0"/>
              <w:spacing w:after="0" w:line="240" w:lineRule="auto"/>
              <w:rPr>
                <w:rFonts w:ascii="Times New Roman" w:hAnsi="Times New Roman"/>
                <w:b/>
                <w:color w:val="000000"/>
                <w:sz w:val="20"/>
                <w:szCs w:val="20"/>
              </w:rPr>
            </w:pPr>
          </w:p>
        </w:tc>
      </w:tr>
      <w:tr w:rsidR="00D31621" w:rsidRPr="00726B58" w14:paraId="76BDAA5C" w14:textId="77777777" w:rsidTr="00812AD2">
        <w:trPr>
          <w:trHeight w:val="257"/>
        </w:trPr>
        <w:tc>
          <w:tcPr>
            <w:tcW w:w="9015" w:type="dxa"/>
            <w:gridSpan w:val="5"/>
            <w:tcBorders>
              <w:top w:val="nil"/>
              <w:left w:val="nil"/>
              <w:bottom w:val="nil"/>
              <w:right w:val="nil"/>
            </w:tcBorders>
            <w:vAlign w:val="bottom"/>
          </w:tcPr>
          <w:p w14:paraId="59D5B640" w14:textId="77777777" w:rsidR="00D31621" w:rsidRPr="00726B58" w:rsidRDefault="00D31621" w:rsidP="00C45F51">
            <w:pPr>
              <w:autoSpaceDE w:val="0"/>
              <w:autoSpaceDN w:val="0"/>
              <w:adjustRightInd w:val="0"/>
              <w:spacing w:after="0" w:line="240" w:lineRule="auto"/>
              <w:rPr>
                <w:rFonts w:ascii="Times New Roman" w:hAnsi="Times New Roman"/>
                <w:b/>
                <w:color w:val="000000"/>
                <w:sz w:val="20"/>
                <w:szCs w:val="20"/>
              </w:rPr>
            </w:pPr>
            <w:r w:rsidRPr="00726B58">
              <w:rPr>
                <w:rFonts w:ascii="Times New Roman" w:hAnsi="Times New Roman"/>
                <w:b/>
                <w:color w:val="000000"/>
                <w:sz w:val="20"/>
                <w:szCs w:val="20"/>
              </w:rPr>
              <w:t>GARCH = C(2) + C(3)*RESID(-1)^2 + C(4)*GARCH(-1) + C(5)*RGDP</w:t>
            </w:r>
          </w:p>
        </w:tc>
      </w:tr>
      <w:tr w:rsidR="00D31621" w:rsidRPr="00726B58" w14:paraId="02517854" w14:textId="77777777" w:rsidTr="00812AD2">
        <w:trPr>
          <w:trHeight w:hRule="exact" w:val="102"/>
        </w:trPr>
        <w:tc>
          <w:tcPr>
            <w:tcW w:w="2783" w:type="dxa"/>
            <w:tcBorders>
              <w:top w:val="nil"/>
              <w:left w:val="nil"/>
              <w:bottom w:val="double" w:sz="6" w:space="2" w:color="auto"/>
              <w:right w:val="nil"/>
            </w:tcBorders>
            <w:vAlign w:val="bottom"/>
          </w:tcPr>
          <w:p w14:paraId="653D87F3"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c>
          <w:tcPr>
            <w:tcW w:w="1522" w:type="dxa"/>
            <w:tcBorders>
              <w:top w:val="nil"/>
              <w:left w:val="nil"/>
              <w:bottom w:val="double" w:sz="6" w:space="2" w:color="auto"/>
              <w:right w:val="nil"/>
            </w:tcBorders>
            <w:vAlign w:val="bottom"/>
          </w:tcPr>
          <w:p w14:paraId="0495714A"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c>
          <w:tcPr>
            <w:tcW w:w="1665" w:type="dxa"/>
            <w:tcBorders>
              <w:top w:val="nil"/>
              <w:left w:val="nil"/>
              <w:bottom w:val="double" w:sz="6" w:space="2" w:color="auto"/>
              <w:right w:val="nil"/>
            </w:tcBorders>
            <w:vAlign w:val="bottom"/>
          </w:tcPr>
          <w:p w14:paraId="7427C898"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c>
          <w:tcPr>
            <w:tcW w:w="1667" w:type="dxa"/>
            <w:tcBorders>
              <w:top w:val="nil"/>
              <w:left w:val="nil"/>
              <w:bottom w:val="double" w:sz="6" w:space="2" w:color="auto"/>
              <w:right w:val="nil"/>
            </w:tcBorders>
            <w:vAlign w:val="bottom"/>
          </w:tcPr>
          <w:p w14:paraId="35476F92"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c>
          <w:tcPr>
            <w:tcW w:w="1376" w:type="dxa"/>
            <w:tcBorders>
              <w:top w:val="nil"/>
              <w:left w:val="nil"/>
              <w:bottom w:val="double" w:sz="6" w:space="2" w:color="auto"/>
              <w:right w:val="nil"/>
            </w:tcBorders>
            <w:vAlign w:val="bottom"/>
          </w:tcPr>
          <w:p w14:paraId="109013BA"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r>
      <w:tr w:rsidR="00D31621" w:rsidRPr="00726B58" w14:paraId="34327164" w14:textId="77777777" w:rsidTr="00812AD2">
        <w:trPr>
          <w:trHeight w:hRule="exact" w:val="154"/>
        </w:trPr>
        <w:tc>
          <w:tcPr>
            <w:tcW w:w="2783" w:type="dxa"/>
            <w:tcBorders>
              <w:top w:val="nil"/>
              <w:left w:val="nil"/>
              <w:bottom w:val="nil"/>
              <w:right w:val="nil"/>
            </w:tcBorders>
            <w:vAlign w:val="bottom"/>
          </w:tcPr>
          <w:p w14:paraId="0A81D302"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c>
          <w:tcPr>
            <w:tcW w:w="1522" w:type="dxa"/>
            <w:tcBorders>
              <w:top w:val="nil"/>
              <w:left w:val="nil"/>
              <w:bottom w:val="nil"/>
              <w:right w:val="nil"/>
            </w:tcBorders>
            <w:vAlign w:val="bottom"/>
          </w:tcPr>
          <w:p w14:paraId="3188B8D0"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c>
          <w:tcPr>
            <w:tcW w:w="1665" w:type="dxa"/>
            <w:tcBorders>
              <w:top w:val="nil"/>
              <w:left w:val="nil"/>
              <w:bottom w:val="nil"/>
              <w:right w:val="nil"/>
            </w:tcBorders>
            <w:vAlign w:val="bottom"/>
          </w:tcPr>
          <w:p w14:paraId="6526E02A"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c>
          <w:tcPr>
            <w:tcW w:w="1667" w:type="dxa"/>
            <w:tcBorders>
              <w:top w:val="nil"/>
              <w:left w:val="nil"/>
              <w:bottom w:val="nil"/>
              <w:right w:val="nil"/>
            </w:tcBorders>
            <w:vAlign w:val="bottom"/>
          </w:tcPr>
          <w:p w14:paraId="1F728955"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c>
          <w:tcPr>
            <w:tcW w:w="1376" w:type="dxa"/>
            <w:tcBorders>
              <w:top w:val="nil"/>
              <w:left w:val="nil"/>
              <w:bottom w:val="nil"/>
              <w:right w:val="nil"/>
            </w:tcBorders>
            <w:vAlign w:val="bottom"/>
          </w:tcPr>
          <w:p w14:paraId="080B4A6A"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r>
      <w:tr w:rsidR="00D31621" w:rsidRPr="00726B58" w14:paraId="1D077244" w14:textId="77777777" w:rsidTr="00812AD2">
        <w:trPr>
          <w:trHeight w:val="257"/>
        </w:trPr>
        <w:tc>
          <w:tcPr>
            <w:tcW w:w="2783" w:type="dxa"/>
            <w:tcBorders>
              <w:top w:val="nil"/>
              <w:left w:val="nil"/>
              <w:bottom w:val="nil"/>
              <w:right w:val="nil"/>
            </w:tcBorders>
            <w:vAlign w:val="bottom"/>
          </w:tcPr>
          <w:p w14:paraId="0E34DB9A"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r w:rsidRPr="00726B58">
              <w:rPr>
                <w:rFonts w:ascii="Times New Roman" w:hAnsi="Times New Roman"/>
                <w:color w:val="000000"/>
                <w:sz w:val="20"/>
                <w:szCs w:val="20"/>
              </w:rPr>
              <w:t>Variable</w:t>
            </w:r>
          </w:p>
        </w:tc>
        <w:tc>
          <w:tcPr>
            <w:tcW w:w="1522" w:type="dxa"/>
            <w:tcBorders>
              <w:top w:val="nil"/>
              <w:left w:val="nil"/>
              <w:bottom w:val="nil"/>
              <w:right w:val="nil"/>
            </w:tcBorders>
            <w:vAlign w:val="bottom"/>
          </w:tcPr>
          <w:p w14:paraId="1CD9675B" w14:textId="77777777" w:rsidR="00D31621" w:rsidRPr="00726B58" w:rsidRDefault="00D31621" w:rsidP="00C45F51">
            <w:pPr>
              <w:autoSpaceDE w:val="0"/>
              <w:autoSpaceDN w:val="0"/>
              <w:adjustRightInd w:val="0"/>
              <w:spacing w:after="0" w:line="240" w:lineRule="auto"/>
              <w:ind w:right="10"/>
              <w:rPr>
                <w:rFonts w:ascii="Times New Roman" w:hAnsi="Times New Roman"/>
                <w:color w:val="000000"/>
                <w:sz w:val="20"/>
                <w:szCs w:val="20"/>
              </w:rPr>
            </w:pPr>
            <w:r w:rsidRPr="00726B58">
              <w:rPr>
                <w:rFonts w:ascii="Times New Roman" w:hAnsi="Times New Roman"/>
                <w:color w:val="000000"/>
                <w:sz w:val="20"/>
                <w:szCs w:val="20"/>
              </w:rPr>
              <w:t>Coefficient</w:t>
            </w:r>
          </w:p>
        </w:tc>
        <w:tc>
          <w:tcPr>
            <w:tcW w:w="1665" w:type="dxa"/>
            <w:tcBorders>
              <w:top w:val="nil"/>
              <w:left w:val="nil"/>
              <w:bottom w:val="nil"/>
              <w:right w:val="nil"/>
            </w:tcBorders>
            <w:vAlign w:val="bottom"/>
          </w:tcPr>
          <w:p w14:paraId="5B5EE1AD" w14:textId="77777777" w:rsidR="00D31621" w:rsidRPr="00726B58" w:rsidRDefault="00D31621" w:rsidP="00C45F51">
            <w:pPr>
              <w:autoSpaceDE w:val="0"/>
              <w:autoSpaceDN w:val="0"/>
              <w:adjustRightInd w:val="0"/>
              <w:spacing w:after="0" w:line="240" w:lineRule="auto"/>
              <w:ind w:right="10"/>
              <w:rPr>
                <w:rFonts w:ascii="Times New Roman" w:hAnsi="Times New Roman"/>
                <w:color w:val="000000"/>
                <w:sz w:val="20"/>
                <w:szCs w:val="20"/>
              </w:rPr>
            </w:pPr>
            <w:r w:rsidRPr="00726B58">
              <w:rPr>
                <w:rFonts w:ascii="Times New Roman" w:hAnsi="Times New Roman"/>
                <w:color w:val="000000"/>
                <w:sz w:val="20"/>
                <w:szCs w:val="20"/>
              </w:rPr>
              <w:t>Std. Error</w:t>
            </w:r>
          </w:p>
        </w:tc>
        <w:tc>
          <w:tcPr>
            <w:tcW w:w="1667" w:type="dxa"/>
            <w:tcBorders>
              <w:top w:val="nil"/>
              <w:left w:val="nil"/>
              <w:bottom w:val="nil"/>
              <w:right w:val="nil"/>
            </w:tcBorders>
            <w:vAlign w:val="bottom"/>
          </w:tcPr>
          <w:p w14:paraId="62049EF5" w14:textId="77777777" w:rsidR="00D31621" w:rsidRPr="00726B58" w:rsidRDefault="00D31621" w:rsidP="00C45F51">
            <w:pPr>
              <w:autoSpaceDE w:val="0"/>
              <w:autoSpaceDN w:val="0"/>
              <w:adjustRightInd w:val="0"/>
              <w:spacing w:after="0" w:line="240" w:lineRule="auto"/>
              <w:ind w:right="10"/>
              <w:rPr>
                <w:rFonts w:ascii="Times New Roman" w:hAnsi="Times New Roman"/>
                <w:color w:val="000000"/>
                <w:sz w:val="20"/>
                <w:szCs w:val="20"/>
              </w:rPr>
            </w:pPr>
            <w:r w:rsidRPr="00726B58">
              <w:rPr>
                <w:rFonts w:ascii="Times New Roman" w:hAnsi="Times New Roman"/>
                <w:color w:val="000000"/>
                <w:sz w:val="20"/>
                <w:szCs w:val="20"/>
              </w:rPr>
              <w:t>z-Statistic</w:t>
            </w:r>
          </w:p>
        </w:tc>
        <w:tc>
          <w:tcPr>
            <w:tcW w:w="1376" w:type="dxa"/>
            <w:tcBorders>
              <w:top w:val="nil"/>
              <w:left w:val="nil"/>
              <w:bottom w:val="nil"/>
              <w:right w:val="nil"/>
            </w:tcBorders>
            <w:vAlign w:val="bottom"/>
          </w:tcPr>
          <w:p w14:paraId="66531988" w14:textId="77777777" w:rsidR="00D31621" w:rsidRPr="00726B58" w:rsidRDefault="00D31621" w:rsidP="00C45F51">
            <w:pPr>
              <w:autoSpaceDE w:val="0"/>
              <w:autoSpaceDN w:val="0"/>
              <w:adjustRightInd w:val="0"/>
              <w:spacing w:after="0" w:line="240" w:lineRule="auto"/>
              <w:ind w:right="10"/>
              <w:rPr>
                <w:rFonts w:ascii="Times New Roman" w:hAnsi="Times New Roman"/>
                <w:color w:val="000000"/>
                <w:sz w:val="20"/>
                <w:szCs w:val="20"/>
              </w:rPr>
            </w:pPr>
            <w:r w:rsidRPr="00726B58">
              <w:rPr>
                <w:rFonts w:ascii="Times New Roman" w:hAnsi="Times New Roman"/>
                <w:color w:val="000000"/>
                <w:sz w:val="20"/>
                <w:szCs w:val="20"/>
              </w:rPr>
              <w:t>Prob.  </w:t>
            </w:r>
          </w:p>
        </w:tc>
      </w:tr>
      <w:tr w:rsidR="00D31621" w:rsidRPr="00726B58" w14:paraId="1E44D486" w14:textId="77777777" w:rsidTr="00812AD2">
        <w:trPr>
          <w:trHeight w:hRule="exact" w:val="102"/>
        </w:trPr>
        <w:tc>
          <w:tcPr>
            <w:tcW w:w="2783" w:type="dxa"/>
            <w:tcBorders>
              <w:top w:val="nil"/>
              <w:left w:val="nil"/>
              <w:bottom w:val="double" w:sz="6" w:space="2" w:color="auto"/>
              <w:right w:val="nil"/>
            </w:tcBorders>
            <w:vAlign w:val="bottom"/>
          </w:tcPr>
          <w:p w14:paraId="41B757D8"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c>
          <w:tcPr>
            <w:tcW w:w="1522" w:type="dxa"/>
            <w:tcBorders>
              <w:top w:val="nil"/>
              <w:left w:val="nil"/>
              <w:bottom w:val="double" w:sz="6" w:space="2" w:color="auto"/>
              <w:right w:val="nil"/>
            </w:tcBorders>
            <w:vAlign w:val="bottom"/>
          </w:tcPr>
          <w:p w14:paraId="31B1DBB3"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c>
          <w:tcPr>
            <w:tcW w:w="1665" w:type="dxa"/>
            <w:tcBorders>
              <w:top w:val="nil"/>
              <w:left w:val="nil"/>
              <w:bottom w:val="double" w:sz="6" w:space="2" w:color="auto"/>
              <w:right w:val="nil"/>
            </w:tcBorders>
            <w:vAlign w:val="bottom"/>
          </w:tcPr>
          <w:p w14:paraId="0F4640E4"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c>
          <w:tcPr>
            <w:tcW w:w="1667" w:type="dxa"/>
            <w:tcBorders>
              <w:top w:val="nil"/>
              <w:left w:val="nil"/>
              <w:bottom w:val="double" w:sz="6" w:space="2" w:color="auto"/>
              <w:right w:val="nil"/>
            </w:tcBorders>
            <w:vAlign w:val="bottom"/>
          </w:tcPr>
          <w:p w14:paraId="15341CA9"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c>
          <w:tcPr>
            <w:tcW w:w="1376" w:type="dxa"/>
            <w:tcBorders>
              <w:top w:val="nil"/>
              <w:left w:val="nil"/>
              <w:bottom w:val="double" w:sz="6" w:space="2" w:color="auto"/>
              <w:right w:val="nil"/>
            </w:tcBorders>
            <w:vAlign w:val="bottom"/>
          </w:tcPr>
          <w:p w14:paraId="0B3C2ADB"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r>
      <w:tr w:rsidR="00D31621" w:rsidRPr="00726B58" w14:paraId="2088C3CD" w14:textId="77777777" w:rsidTr="00812AD2">
        <w:trPr>
          <w:trHeight w:hRule="exact" w:val="154"/>
        </w:trPr>
        <w:tc>
          <w:tcPr>
            <w:tcW w:w="2783" w:type="dxa"/>
            <w:tcBorders>
              <w:top w:val="nil"/>
              <w:left w:val="nil"/>
              <w:bottom w:val="nil"/>
              <w:right w:val="nil"/>
            </w:tcBorders>
            <w:vAlign w:val="bottom"/>
          </w:tcPr>
          <w:p w14:paraId="5199DEA9"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c>
          <w:tcPr>
            <w:tcW w:w="1522" w:type="dxa"/>
            <w:tcBorders>
              <w:top w:val="nil"/>
              <w:left w:val="nil"/>
              <w:bottom w:val="nil"/>
              <w:right w:val="nil"/>
            </w:tcBorders>
            <w:vAlign w:val="bottom"/>
          </w:tcPr>
          <w:p w14:paraId="16FFEC43"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c>
          <w:tcPr>
            <w:tcW w:w="1665" w:type="dxa"/>
            <w:tcBorders>
              <w:top w:val="nil"/>
              <w:left w:val="nil"/>
              <w:bottom w:val="nil"/>
              <w:right w:val="nil"/>
            </w:tcBorders>
            <w:vAlign w:val="bottom"/>
          </w:tcPr>
          <w:p w14:paraId="73178B45"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c>
          <w:tcPr>
            <w:tcW w:w="1667" w:type="dxa"/>
            <w:tcBorders>
              <w:top w:val="nil"/>
              <w:left w:val="nil"/>
              <w:bottom w:val="nil"/>
              <w:right w:val="nil"/>
            </w:tcBorders>
            <w:vAlign w:val="bottom"/>
          </w:tcPr>
          <w:p w14:paraId="6946DA76"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c>
          <w:tcPr>
            <w:tcW w:w="1376" w:type="dxa"/>
            <w:tcBorders>
              <w:top w:val="nil"/>
              <w:left w:val="nil"/>
              <w:bottom w:val="nil"/>
              <w:right w:val="nil"/>
            </w:tcBorders>
            <w:vAlign w:val="bottom"/>
          </w:tcPr>
          <w:p w14:paraId="5E37DF92"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r>
      <w:tr w:rsidR="00D31621" w:rsidRPr="00726B58" w14:paraId="4F07194F" w14:textId="77777777" w:rsidTr="00812AD2">
        <w:trPr>
          <w:trHeight w:val="257"/>
        </w:trPr>
        <w:tc>
          <w:tcPr>
            <w:tcW w:w="2783" w:type="dxa"/>
            <w:tcBorders>
              <w:top w:val="nil"/>
              <w:left w:val="nil"/>
              <w:bottom w:val="nil"/>
              <w:right w:val="nil"/>
            </w:tcBorders>
            <w:vAlign w:val="bottom"/>
          </w:tcPr>
          <w:p w14:paraId="39CC4832"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r w:rsidRPr="00726B58">
              <w:rPr>
                <w:rFonts w:ascii="Times New Roman" w:hAnsi="Times New Roman"/>
                <w:color w:val="000000"/>
                <w:sz w:val="20"/>
                <w:szCs w:val="20"/>
              </w:rPr>
              <w:t>SMR(-1)</w:t>
            </w:r>
          </w:p>
        </w:tc>
        <w:tc>
          <w:tcPr>
            <w:tcW w:w="1522" w:type="dxa"/>
            <w:tcBorders>
              <w:top w:val="nil"/>
              <w:left w:val="nil"/>
              <w:bottom w:val="nil"/>
              <w:right w:val="nil"/>
            </w:tcBorders>
            <w:vAlign w:val="bottom"/>
          </w:tcPr>
          <w:p w14:paraId="6CFA6CE5" w14:textId="77777777" w:rsidR="00D31621" w:rsidRPr="00726B58" w:rsidRDefault="00D31621" w:rsidP="00C45F51">
            <w:pPr>
              <w:autoSpaceDE w:val="0"/>
              <w:autoSpaceDN w:val="0"/>
              <w:adjustRightInd w:val="0"/>
              <w:spacing w:after="0" w:line="240" w:lineRule="auto"/>
              <w:ind w:right="10"/>
              <w:rPr>
                <w:rFonts w:ascii="Times New Roman" w:hAnsi="Times New Roman"/>
                <w:color w:val="000000"/>
                <w:sz w:val="20"/>
                <w:szCs w:val="20"/>
              </w:rPr>
            </w:pPr>
            <w:r w:rsidRPr="00726B58">
              <w:rPr>
                <w:rFonts w:ascii="Times New Roman" w:hAnsi="Times New Roman"/>
                <w:color w:val="000000"/>
                <w:sz w:val="20"/>
                <w:szCs w:val="20"/>
              </w:rPr>
              <w:t>0.949695</w:t>
            </w:r>
          </w:p>
        </w:tc>
        <w:tc>
          <w:tcPr>
            <w:tcW w:w="1665" w:type="dxa"/>
            <w:tcBorders>
              <w:top w:val="nil"/>
              <w:left w:val="nil"/>
              <w:bottom w:val="nil"/>
              <w:right w:val="nil"/>
            </w:tcBorders>
            <w:vAlign w:val="bottom"/>
          </w:tcPr>
          <w:p w14:paraId="5E307903" w14:textId="77777777" w:rsidR="00D31621" w:rsidRPr="00726B58" w:rsidRDefault="00D31621" w:rsidP="00C45F51">
            <w:pPr>
              <w:autoSpaceDE w:val="0"/>
              <w:autoSpaceDN w:val="0"/>
              <w:adjustRightInd w:val="0"/>
              <w:spacing w:after="0" w:line="240" w:lineRule="auto"/>
              <w:ind w:right="10"/>
              <w:rPr>
                <w:rFonts w:ascii="Times New Roman" w:hAnsi="Times New Roman"/>
                <w:color w:val="000000"/>
                <w:sz w:val="20"/>
                <w:szCs w:val="20"/>
              </w:rPr>
            </w:pPr>
            <w:r w:rsidRPr="00726B58">
              <w:rPr>
                <w:rFonts w:ascii="Times New Roman" w:hAnsi="Times New Roman"/>
                <w:color w:val="000000"/>
                <w:sz w:val="20"/>
                <w:szCs w:val="20"/>
              </w:rPr>
              <w:t>0.014030</w:t>
            </w:r>
          </w:p>
        </w:tc>
        <w:tc>
          <w:tcPr>
            <w:tcW w:w="1667" w:type="dxa"/>
            <w:tcBorders>
              <w:top w:val="nil"/>
              <w:left w:val="nil"/>
              <w:bottom w:val="nil"/>
              <w:right w:val="nil"/>
            </w:tcBorders>
            <w:vAlign w:val="bottom"/>
          </w:tcPr>
          <w:p w14:paraId="049F509E" w14:textId="77777777" w:rsidR="00D31621" w:rsidRPr="00726B58" w:rsidRDefault="00D31621" w:rsidP="00C45F51">
            <w:pPr>
              <w:autoSpaceDE w:val="0"/>
              <w:autoSpaceDN w:val="0"/>
              <w:adjustRightInd w:val="0"/>
              <w:spacing w:after="0" w:line="240" w:lineRule="auto"/>
              <w:ind w:right="10"/>
              <w:rPr>
                <w:rFonts w:ascii="Times New Roman" w:hAnsi="Times New Roman"/>
                <w:color w:val="000000"/>
                <w:sz w:val="20"/>
                <w:szCs w:val="20"/>
              </w:rPr>
            </w:pPr>
            <w:r w:rsidRPr="00726B58">
              <w:rPr>
                <w:rFonts w:ascii="Times New Roman" w:hAnsi="Times New Roman"/>
                <w:color w:val="000000"/>
                <w:sz w:val="20"/>
                <w:szCs w:val="20"/>
              </w:rPr>
              <w:t>67.68948</w:t>
            </w:r>
          </w:p>
        </w:tc>
        <w:tc>
          <w:tcPr>
            <w:tcW w:w="1376" w:type="dxa"/>
            <w:tcBorders>
              <w:top w:val="nil"/>
              <w:left w:val="nil"/>
              <w:bottom w:val="nil"/>
              <w:right w:val="nil"/>
            </w:tcBorders>
            <w:vAlign w:val="bottom"/>
          </w:tcPr>
          <w:p w14:paraId="6EE47FC8" w14:textId="77777777" w:rsidR="00D31621" w:rsidRPr="00726B58" w:rsidRDefault="00D31621" w:rsidP="00C45F51">
            <w:pPr>
              <w:autoSpaceDE w:val="0"/>
              <w:autoSpaceDN w:val="0"/>
              <w:adjustRightInd w:val="0"/>
              <w:spacing w:after="0" w:line="240" w:lineRule="auto"/>
              <w:ind w:right="10"/>
              <w:rPr>
                <w:rFonts w:ascii="Times New Roman" w:hAnsi="Times New Roman"/>
                <w:color w:val="000000"/>
                <w:sz w:val="20"/>
                <w:szCs w:val="20"/>
              </w:rPr>
            </w:pPr>
            <w:r w:rsidRPr="00726B58">
              <w:rPr>
                <w:rFonts w:ascii="Times New Roman" w:hAnsi="Times New Roman"/>
                <w:color w:val="000000"/>
                <w:sz w:val="20"/>
                <w:szCs w:val="20"/>
              </w:rPr>
              <w:t>0.0000</w:t>
            </w:r>
          </w:p>
        </w:tc>
      </w:tr>
      <w:tr w:rsidR="00D31621" w:rsidRPr="00726B58" w14:paraId="63183E62" w14:textId="77777777" w:rsidTr="00812AD2">
        <w:trPr>
          <w:trHeight w:hRule="exact" w:val="102"/>
        </w:trPr>
        <w:tc>
          <w:tcPr>
            <w:tcW w:w="2783" w:type="dxa"/>
            <w:tcBorders>
              <w:top w:val="nil"/>
              <w:left w:val="nil"/>
              <w:bottom w:val="double" w:sz="6" w:space="2" w:color="auto"/>
              <w:right w:val="nil"/>
            </w:tcBorders>
            <w:vAlign w:val="bottom"/>
          </w:tcPr>
          <w:p w14:paraId="5E62DD10"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c>
          <w:tcPr>
            <w:tcW w:w="1522" w:type="dxa"/>
            <w:tcBorders>
              <w:top w:val="nil"/>
              <w:left w:val="nil"/>
              <w:bottom w:val="double" w:sz="6" w:space="2" w:color="auto"/>
              <w:right w:val="nil"/>
            </w:tcBorders>
            <w:vAlign w:val="bottom"/>
          </w:tcPr>
          <w:p w14:paraId="11C7A833"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c>
          <w:tcPr>
            <w:tcW w:w="1665" w:type="dxa"/>
            <w:tcBorders>
              <w:top w:val="nil"/>
              <w:left w:val="nil"/>
              <w:bottom w:val="double" w:sz="6" w:space="2" w:color="auto"/>
              <w:right w:val="nil"/>
            </w:tcBorders>
            <w:vAlign w:val="bottom"/>
          </w:tcPr>
          <w:p w14:paraId="338C69E5"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c>
          <w:tcPr>
            <w:tcW w:w="1667" w:type="dxa"/>
            <w:tcBorders>
              <w:top w:val="nil"/>
              <w:left w:val="nil"/>
              <w:bottom w:val="double" w:sz="6" w:space="2" w:color="auto"/>
              <w:right w:val="nil"/>
            </w:tcBorders>
            <w:vAlign w:val="bottom"/>
          </w:tcPr>
          <w:p w14:paraId="2CC746F7"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c>
          <w:tcPr>
            <w:tcW w:w="1376" w:type="dxa"/>
            <w:tcBorders>
              <w:top w:val="nil"/>
              <w:left w:val="nil"/>
              <w:bottom w:val="double" w:sz="6" w:space="2" w:color="auto"/>
              <w:right w:val="nil"/>
            </w:tcBorders>
            <w:vAlign w:val="bottom"/>
          </w:tcPr>
          <w:p w14:paraId="73FA4439"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r>
      <w:tr w:rsidR="00D31621" w:rsidRPr="00726B58" w14:paraId="0D3CB438" w14:textId="77777777" w:rsidTr="00812AD2">
        <w:trPr>
          <w:trHeight w:hRule="exact" w:val="154"/>
        </w:trPr>
        <w:tc>
          <w:tcPr>
            <w:tcW w:w="2783" w:type="dxa"/>
            <w:tcBorders>
              <w:top w:val="nil"/>
              <w:left w:val="nil"/>
              <w:bottom w:val="nil"/>
              <w:right w:val="nil"/>
            </w:tcBorders>
            <w:vAlign w:val="bottom"/>
          </w:tcPr>
          <w:p w14:paraId="341E2339"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c>
          <w:tcPr>
            <w:tcW w:w="1522" w:type="dxa"/>
            <w:tcBorders>
              <w:top w:val="nil"/>
              <w:left w:val="nil"/>
              <w:bottom w:val="nil"/>
              <w:right w:val="nil"/>
            </w:tcBorders>
            <w:vAlign w:val="bottom"/>
          </w:tcPr>
          <w:p w14:paraId="033A1196"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c>
          <w:tcPr>
            <w:tcW w:w="1665" w:type="dxa"/>
            <w:tcBorders>
              <w:top w:val="nil"/>
              <w:left w:val="nil"/>
              <w:bottom w:val="nil"/>
              <w:right w:val="nil"/>
            </w:tcBorders>
            <w:vAlign w:val="bottom"/>
          </w:tcPr>
          <w:p w14:paraId="65C14CBB"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c>
          <w:tcPr>
            <w:tcW w:w="1667" w:type="dxa"/>
            <w:tcBorders>
              <w:top w:val="nil"/>
              <w:left w:val="nil"/>
              <w:bottom w:val="nil"/>
              <w:right w:val="nil"/>
            </w:tcBorders>
            <w:vAlign w:val="bottom"/>
          </w:tcPr>
          <w:p w14:paraId="43A98657"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c>
          <w:tcPr>
            <w:tcW w:w="1376" w:type="dxa"/>
            <w:tcBorders>
              <w:top w:val="nil"/>
              <w:left w:val="nil"/>
              <w:bottom w:val="nil"/>
              <w:right w:val="nil"/>
            </w:tcBorders>
            <w:vAlign w:val="bottom"/>
          </w:tcPr>
          <w:p w14:paraId="5993915E"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r>
      <w:tr w:rsidR="00D31621" w:rsidRPr="00726B58" w14:paraId="2CD4861E" w14:textId="77777777" w:rsidTr="00812AD2">
        <w:trPr>
          <w:trHeight w:val="257"/>
        </w:trPr>
        <w:tc>
          <w:tcPr>
            <w:tcW w:w="2783" w:type="dxa"/>
            <w:tcBorders>
              <w:top w:val="nil"/>
              <w:left w:val="nil"/>
              <w:bottom w:val="nil"/>
              <w:right w:val="nil"/>
            </w:tcBorders>
            <w:vAlign w:val="bottom"/>
          </w:tcPr>
          <w:p w14:paraId="6CDA7F7D"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c>
          <w:tcPr>
            <w:tcW w:w="3188" w:type="dxa"/>
            <w:gridSpan w:val="2"/>
            <w:tcBorders>
              <w:top w:val="nil"/>
              <w:left w:val="nil"/>
              <w:bottom w:val="nil"/>
              <w:right w:val="nil"/>
            </w:tcBorders>
            <w:vAlign w:val="bottom"/>
          </w:tcPr>
          <w:p w14:paraId="1559D2A0"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r w:rsidRPr="00726B58">
              <w:rPr>
                <w:rFonts w:ascii="Times New Roman" w:hAnsi="Times New Roman"/>
                <w:color w:val="000000"/>
                <w:sz w:val="20"/>
                <w:szCs w:val="20"/>
              </w:rPr>
              <w:t>Variance Equation</w:t>
            </w:r>
          </w:p>
        </w:tc>
        <w:tc>
          <w:tcPr>
            <w:tcW w:w="1667" w:type="dxa"/>
            <w:tcBorders>
              <w:top w:val="nil"/>
              <w:left w:val="nil"/>
              <w:bottom w:val="nil"/>
              <w:right w:val="nil"/>
            </w:tcBorders>
            <w:vAlign w:val="bottom"/>
          </w:tcPr>
          <w:p w14:paraId="31F2137A"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c>
          <w:tcPr>
            <w:tcW w:w="1376" w:type="dxa"/>
            <w:tcBorders>
              <w:top w:val="nil"/>
              <w:left w:val="nil"/>
              <w:bottom w:val="nil"/>
              <w:right w:val="nil"/>
            </w:tcBorders>
            <w:vAlign w:val="bottom"/>
          </w:tcPr>
          <w:p w14:paraId="2EE1F082"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r>
      <w:tr w:rsidR="00D31621" w:rsidRPr="00726B58" w14:paraId="24F5A946" w14:textId="77777777" w:rsidTr="00812AD2">
        <w:trPr>
          <w:trHeight w:hRule="exact" w:val="102"/>
        </w:trPr>
        <w:tc>
          <w:tcPr>
            <w:tcW w:w="2783" w:type="dxa"/>
            <w:tcBorders>
              <w:top w:val="nil"/>
              <w:left w:val="nil"/>
              <w:bottom w:val="double" w:sz="6" w:space="2" w:color="auto"/>
              <w:right w:val="nil"/>
            </w:tcBorders>
            <w:vAlign w:val="bottom"/>
          </w:tcPr>
          <w:p w14:paraId="7029ED09"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c>
          <w:tcPr>
            <w:tcW w:w="1522" w:type="dxa"/>
            <w:tcBorders>
              <w:top w:val="nil"/>
              <w:left w:val="nil"/>
              <w:bottom w:val="double" w:sz="6" w:space="2" w:color="auto"/>
              <w:right w:val="nil"/>
            </w:tcBorders>
            <w:vAlign w:val="bottom"/>
          </w:tcPr>
          <w:p w14:paraId="13775EB2"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c>
          <w:tcPr>
            <w:tcW w:w="1665" w:type="dxa"/>
            <w:tcBorders>
              <w:top w:val="nil"/>
              <w:left w:val="nil"/>
              <w:bottom w:val="double" w:sz="6" w:space="2" w:color="auto"/>
              <w:right w:val="nil"/>
            </w:tcBorders>
            <w:vAlign w:val="bottom"/>
          </w:tcPr>
          <w:p w14:paraId="65787FD8"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c>
          <w:tcPr>
            <w:tcW w:w="1667" w:type="dxa"/>
            <w:tcBorders>
              <w:top w:val="nil"/>
              <w:left w:val="nil"/>
              <w:bottom w:val="double" w:sz="6" w:space="2" w:color="auto"/>
              <w:right w:val="nil"/>
            </w:tcBorders>
            <w:vAlign w:val="bottom"/>
          </w:tcPr>
          <w:p w14:paraId="5ACD6F9D"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c>
          <w:tcPr>
            <w:tcW w:w="1376" w:type="dxa"/>
            <w:tcBorders>
              <w:top w:val="nil"/>
              <w:left w:val="nil"/>
              <w:bottom w:val="double" w:sz="6" w:space="2" w:color="auto"/>
              <w:right w:val="nil"/>
            </w:tcBorders>
            <w:vAlign w:val="bottom"/>
          </w:tcPr>
          <w:p w14:paraId="163FB454"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r>
      <w:tr w:rsidR="00D31621" w:rsidRPr="00726B58" w14:paraId="6EA87C77" w14:textId="77777777" w:rsidTr="00812AD2">
        <w:trPr>
          <w:trHeight w:hRule="exact" w:val="154"/>
        </w:trPr>
        <w:tc>
          <w:tcPr>
            <w:tcW w:w="2783" w:type="dxa"/>
            <w:tcBorders>
              <w:top w:val="nil"/>
              <w:left w:val="nil"/>
              <w:bottom w:val="nil"/>
              <w:right w:val="nil"/>
            </w:tcBorders>
            <w:vAlign w:val="bottom"/>
          </w:tcPr>
          <w:p w14:paraId="7F6BA317"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c>
          <w:tcPr>
            <w:tcW w:w="1522" w:type="dxa"/>
            <w:tcBorders>
              <w:top w:val="nil"/>
              <w:left w:val="nil"/>
              <w:bottom w:val="nil"/>
              <w:right w:val="nil"/>
            </w:tcBorders>
            <w:vAlign w:val="bottom"/>
          </w:tcPr>
          <w:p w14:paraId="5F5CA031"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c>
          <w:tcPr>
            <w:tcW w:w="1665" w:type="dxa"/>
            <w:tcBorders>
              <w:top w:val="nil"/>
              <w:left w:val="nil"/>
              <w:bottom w:val="nil"/>
              <w:right w:val="nil"/>
            </w:tcBorders>
            <w:vAlign w:val="bottom"/>
          </w:tcPr>
          <w:p w14:paraId="7F7A54EF"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c>
          <w:tcPr>
            <w:tcW w:w="1667" w:type="dxa"/>
            <w:tcBorders>
              <w:top w:val="nil"/>
              <w:left w:val="nil"/>
              <w:bottom w:val="nil"/>
              <w:right w:val="nil"/>
            </w:tcBorders>
            <w:vAlign w:val="bottom"/>
          </w:tcPr>
          <w:p w14:paraId="13194C90"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c>
          <w:tcPr>
            <w:tcW w:w="1376" w:type="dxa"/>
            <w:tcBorders>
              <w:top w:val="nil"/>
              <w:left w:val="nil"/>
              <w:bottom w:val="nil"/>
              <w:right w:val="nil"/>
            </w:tcBorders>
            <w:vAlign w:val="bottom"/>
          </w:tcPr>
          <w:p w14:paraId="4C9AEDFA"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r>
      <w:tr w:rsidR="00D31621" w:rsidRPr="00726B58" w14:paraId="14E4E7E4" w14:textId="77777777" w:rsidTr="00812AD2">
        <w:trPr>
          <w:trHeight w:val="257"/>
        </w:trPr>
        <w:tc>
          <w:tcPr>
            <w:tcW w:w="2783" w:type="dxa"/>
            <w:tcBorders>
              <w:top w:val="nil"/>
              <w:left w:val="nil"/>
              <w:bottom w:val="nil"/>
              <w:right w:val="nil"/>
            </w:tcBorders>
            <w:vAlign w:val="bottom"/>
          </w:tcPr>
          <w:p w14:paraId="50BBC99B"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r w:rsidRPr="00726B58">
              <w:rPr>
                <w:rFonts w:ascii="Times New Roman" w:hAnsi="Times New Roman"/>
                <w:color w:val="000000"/>
                <w:sz w:val="20"/>
                <w:szCs w:val="20"/>
              </w:rPr>
              <w:t>C</w:t>
            </w:r>
          </w:p>
        </w:tc>
        <w:tc>
          <w:tcPr>
            <w:tcW w:w="1522" w:type="dxa"/>
            <w:tcBorders>
              <w:top w:val="nil"/>
              <w:left w:val="nil"/>
              <w:bottom w:val="nil"/>
              <w:right w:val="nil"/>
            </w:tcBorders>
            <w:vAlign w:val="bottom"/>
          </w:tcPr>
          <w:p w14:paraId="4F321A32" w14:textId="77777777" w:rsidR="00D31621" w:rsidRPr="00726B58" w:rsidRDefault="00D31621" w:rsidP="00C45F51">
            <w:pPr>
              <w:autoSpaceDE w:val="0"/>
              <w:autoSpaceDN w:val="0"/>
              <w:adjustRightInd w:val="0"/>
              <w:spacing w:after="0" w:line="240" w:lineRule="auto"/>
              <w:ind w:right="10"/>
              <w:rPr>
                <w:rFonts w:ascii="Times New Roman" w:hAnsi="Times New Roman"/>
                <w:color w:val="000000"/>
                <w:sz w:val="20"/>
                <w:szCs w:val="20"/>
              </w:rPr>
            </w:pPr>
            <w:r w:rsidRPr="00726B58">
              <w:rPr>
                <w:rFonts w:ascii="Times New Roman" w:hAnsi="Times New Roman"/>
                <w:color w:val="000000"/>
                <w:sz w:val="20"/>
                <w:szCs w:val="20"/>
              </w:rPr>
              <w:t>-284.9988</w:t>
            </w:r>
          </w:p>
        </w:tc>
        <w:tc>
          <w:tcPr>
            <w:tcW w:w="1665" w:type="dxa"/>
            <w:tcBorders>
              <w:top w:val="nil"/>
              <w:left w:val="nil"/>
              <w:bottom w:val="nil"/>
              <w:right w:val="nil"/>
            </w:tcBorders>
            <w:vAlign w:val="bottom"/>
          </w:tcPr>
          <w:p w14:paraId="5023D6AA" w14:textId="77777777" w:rsidR="00D31621" w:rsidRPr="00726B58" w:rsidRDefault="00D31621" w:rsidP="00C45F51">
            <w:pPr>
              <w:autoSpaceDE w:val="0"/>
              <w:autoSpaceDN w:val="0"/>
              <w:adjustRightInd w:val="0"/>
              <w:spacing w:after="0" w:line="240" w:lineRule="auto"/>
              <w:ind w:right="10"/>
              <w:rPr>
                <w:rFonts w:ascii="Times New Roman" w:hAnsi="Times New Roman"/>
                <w:color w:val="000000"/>
                <w:sz w:val="20"/>
                <w:szCs w:val="20"/>
              </w:rPr>
            </w:pPr>
            <w:r w:rsidRPr="00726B58">
              <w:rPr>
                <w:rFonts w:ascii="Times New Roman" w:hAnsi="Times New Roman"/>
                <w:color w:val="000000"/>
                <w:sz w:val="20"/>
                <w:szCs w:val="20"/>
              </w:rPr>
              <w:t>141.2364</w:t>
            </w:r>
          </w:p>
        </w:tc>
        <w:tc>
          <w:tcPr>
            <w:tcW w:w="1667" w:type="dxa"/>
            <w:tcBorders>
              <w:top w:val="nil"/>
              <w:left w:val="nil"/>
              <w:bottom w:val="nil"/>
              <w:right w:val="nil"/>
            </w:tcBorders>
            <w:vAlign w:val="bottom"/>
          </w:tcPr>
          <w:p w14:paraId="09EF242F" w14:textId="77777777" w:rsidR="00D31621" w:rsidRPr="00726B58" w:rsidRDefault="00D31621" w:rsidP="00C45F51">
            <w:pPr>
              <w:autoSpaceDE w:val="0"/>
              <w:autoSpaceDN w:val="0"/>
              <w:adjustRightInd w:val="0"/>
              <w:spacing w:after="0" w:line="240" w:lineRule="auto"/>
              <w:ind w:right="10"/>
              <w:rPr>
                <w:rFonts w:ascii="Times New Roman" w:hAnsi="Times New Roman"/>
                <w:color w:val="000000"/>
                <w:sz w:val="20"/>
                <w:szCs w:val="20"/>
              </w:rPr>
            </w:pPr>
            <w:r w:rsidRPr="00726B58">
              <w:rPr>
                <w:rFonts w:ascii="Times New Roman" w:hAnsi="Times New Roman"/>
                <w:color w:val="000000"/>
                <w:sz w:val="20"/>
                <w:szCs w:val="20"/>
              </w:rPr>
              <w:t>-2.017885</w:t>
            </w:r>
          </w:p>
        </w:tc>
        <w:tc>
          <w:tcPr>
            <w:tcW w:w="1376" w:type="dxa"/>
            <w:tcBorders>
              <w:top w:val="nil"/>
              <w:left w:val="nil"/>
              <w:bottom w:val="nil"/>
              <w:right w:val="nil"/>
            </w:tcBorders>
            <w:vAlign w:val="bottom"/>
          </w:tcPr>
          <w:p w14:paraId="364BCC2F" w14:textId="77777777" w:rsidR="00D31621" w:rsidRPr="00726B58" w:rsidRDefault="00D31621" w:rsidP="00C45F51">
            <w:pPr>
              <w:autoSpaceDE w:val="0"/>
              <w:autoSpaceDN w:val="0"/>
              <w:adjustRightInd w:val="0"/>
              <w:spacing w:after="0" w:line="240" w:lineRule="auto"/>
              <w:ind w:right="10"/>
              <w:rPr>
                <w:rFonts w:ascii="Times New Roman" w:hAnsi="Times New Roman"/>
                <w:color w:val="000000"/>
                <w:sz w:val="20"/>
                <w:szCs w:val="20"/>
              </w:rPr>
            </w:pPr>
            <w:r w:rsidRPr="00726B58">
              <w:rPr>
                <w:rFonts w:ascii="Times New Roman" w:hAnsi="Times New Roman"/>
                <w:color w:val="000000"/>
                <w:sz w:val="20"/>
                <w:szCs w:val="20"/>
              </w:rPr>
              <w:t>0.0436</w:t>
            </w:r>
          </w:p>
        </w:tc>
      </w:tr>
      <w:tr w:rsidR="00D31621" w:rsidRPr="00726B58" w14:paraId="236D8B83" w14:textId="77777777" w:rsidTr="00812AD2">
        <w:trPr>
          <w:trHeight w:val="257"/>
        </w:trPr>
        <w:tc>
          <w:tcPr>
            <w:tcW w:w="2783" w:type="dxa"/>
            <w:tcBorders>
              <w:top w:val="nil"/>
              <w:left w:val="nil"/>
              <w:bottom w:val="nil"/>
              <w:right w:val="nil"/>
            </w:tcBorders>
            <w:vAlign w:val="bottom"/>
          </w:tcPr>
          <w:p w14:paraId="2CA0CDE0"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r w:rsidRPr="00726B58">
              <w:rPr>
                <w:rFonts w:ascii="Times New Roman" w:hAnsi="Times New Roman"/>
                <w:color w:val="000000"/>
                <w:sz w:val="20"/>
                <w:szCs w:val="20"/>
              </w:rPr>
              <w:t>RESID(-1)^2 (</w:t>
            </w:r>
            <w:r w:rsidRPr="00726B58">
              <w:rPr>
                <w:rFonts w:ascii="Times New Roman" w:hAnsi="Times New Roman"/>
                <w:color w:val="000000"/>
                <w:position w:val="-10"/>
                <w:sz w:val="20"/>
                <w:szCs w:val="20"/>
              </w:rPr>
              <w:object w:dxaOrig="240" w:dyaOrig="320" w14:anchorId="68B0F482">
                <v:shape id="_x0000_i2440" type="#_x0000_t75" style="width:12pt;height:16.5pt" o:ole="">
                  <v:imagedata r:id="rId31" o:title=""/>
                </v:shape>
                <o:OLEObject Type="Embed" ProgID="Equation.DSMT4" ShapeID="_x0000_i2440" DrawAspect="Content" ObjectID="_1817953509" r:id="rId32"/>
              </w:object>
            </w:r>
            <w:r w:rsidRPr="00726B58">
              <w:rPr>
                <w:rFonts w:ascii="Times New Roman" w:hAnsi="Times New Roman"/>
                <w:color w:val="000000"/>
                <w:sz w:val="20"/>
                <w:szCs w:val="20"/>
              </w:rPr>
              <w:t>)</w:t>
            </w:r>
          </w:p>
        </w:tc>
        <w:tc>
          <w:tcPr>
            <w:tcW w:w="1522" w:type="dxa"/>
            <w:tcBorders>
              <w:top w:val="nil"/>
              <w:left w:val="nil"/>
              <w:bottom w:val="nil"/>
              <w:right w:val="nil"/>
            </w:tcBorders>
            <w:vAlign w:val="bottom"/>
          </w:tcPr>
          <w:p w14:paraId="3006DF1F" w14:textId="77777777" w:rsidR="00D31621" w:rsidRPr="00726B58" w:rsidRDefault="00D31621" w:rsidP="00C45F51">
            <w:pPr>
              <w:autoSpaceDE w:val="0"/>
              <w:autoSpaceDN w:val="0"/>
              <w:adjustRightInd w:val="0"/>
              <w:spacing w:after="0" w:line="240" w:lineRule="auto"/>
              <w:ind w:right="10"/>
              <w:rPr>
                <w:rFonts w:ascii="Times New Roman" w:hAnsi="Times New Roman"/>
                <w:color w:val="000000"/>
                <w:sz w:val="20"/>
                <w:szCs w:val="20"/>
              </w:rPr>
            </w:pPr>
            <w:r w:rsidRPr="00726B58">
              <w:rPr>
                <w:rFonts w:ascii="Times New Roman" w:hAnsi="Times New Roman"/>
                <w:color w:val="000000"/>
                <w:sz w:val="20"/>
                <w:szCs w:val="20"/>
              </w:rPr>
              <w:t>1.010836</w:t>
            </w:r>
          </w:p>
        </w:tc>
        <w:tc>
          <w:tcPr>
            <w:tcW w:w="1665" w:type="dxa"/>
            <w:tcBorders>
              <w:top w:val="nil"/>
              <w:left w:val="nil"/>
              <w:bottom w:val="nil"/>
              <w:right w:val="nil"/>
            </w:tcBorders>
            <w:vAlign w:val="bottom"/>
          </w:tcPr>
          <w:p w14:paraId="12AA6C73" w14:textId="77777777" w:rsidR="00D31621" w:rsidRPr="00726B58" w:rsidRDefault="00D31621" w:rsidP="00C45F51">
            <w:pPr>
              <w:autoSpaceDE w:val="0"/>
              <w:autoSpaceDN w:val="0"/>
              <w:adjustRightInd w:val="0"/>
              <w:spacing w:after="0" w:line="240" w:lineRule="auto"/>
              <w:ind w:right="10"/>
              <w:rPr>
                <w:rFonts w:ascii="Times New Roman" w:hAnsi="Times New Roman"/>
                <w:color w:val="000000"/>
                <w:sz w:val="20"/>
                <w:szCs w:val="20"/>
              </w:rPr>
            </w:pPr>
            <w:r w:rsidRPr="00726B58">
              <w:rPr>
                <w:rFonts w:ascii="Times New Roman" w:hAnsi="Times New Roman"/>
                <w:color w:val="000000"/>
                <w:sz w:val="20"/>
                <w:szCs w:val="20"/>
              </w:rPr>
              <w:t>0.335879</w:t>
            </w:r>
          </w:p>
        </w:tc>
        <w:tc>
          <w:tcPr>
            <w:tcW w:w="1667" w:type="dxa"/>
            <w:tcBorders>
              <w:top w:val="nil"/>
              <w:left w:val="nil"/>
              <w:bottom w:val="nil"/>
              <w:right w:val="nil"/>
            </w:tcBorders>
            <w:vAlign w:val="bottom"/>
          </w:tcPr>
          <w:p w14:paraId="2F0F367E" w14:textId="77777777" w:rsidR="00D31621" w:rsidRPr="00726B58" w:rsidRDefault="00D31621" w:rsidP="00C45F51">
            <w:pPr>
              <w:autoSpaceDE w:val="0"/>
              <w:autoSpaceDN w:val="0"/>
              <w:adjustRightInd w:val="0"/>
              <w:spacing w:after="0" w:line="240" w:lineRule="auto"/>
              <w:ind w:right="10"/>
              <w:rPr>
                <w:rFonts w:ascii="Times New Roman" w:hAnsi="Times New Roman"/>
                <w:color w:val="000000"/>
                <w:sz w:val="20"/>
                <w:szCs w:val="20"/>
              </w:rPr>
            </w:pPr>
            <w:r w:rsidRPr="00726B58">
              <w:rPr>
                <w:rFonts w:ascii="Times New Roman" w:hAnsi="Times New Roman"/>
                <w:color w:val="000000"/>
                <w:sz w:val="20"/>
                <w:szCs w:val="20"/>
              </w:rPr>
              <w:t>3.009527</w:t>
            </w:r>
          </w:p>
        </w:tc>
        <w:tc>
          <w:tcPr>
            <w:tcW w:w="1376" w:type="dxa"/>
            <w:tcBorders>
              <w:top w:val="nil"/>
              <w:left w:val="nil"/>
              <w:bottom w:val="nil"/>
              <w:right w:val="nil"/>
            </w:tcBorders>
            <w:vAlign w:val="bottom"/>
          </w:tcPr>
          <w:p w14:paraId="75AA5AE2" w14:textId="77777777" w:rsidR="00D31621" w:rsidRPr="00726B58" w:rsidRDefault="00D31621" w:rsidP="00C45F51">
            <w:pPr>
              <w:autoSpaceDE w:val="0"/>
              <w:autoSpaceDN w:val="0"/>
              <w:adjustRightInd w:val="0"/>
              <w:spacing w:after="0" w:line="240" w:lineRule="auto"/>
              <w:ind w:right="10"/>
              <w:rPr>
                <w:rFonts w:ascii="Times New Roman" w:hAnsi="Times New Roman"/>
                <w:color w:val="000000"/>
                <w:sz w:val="20"/>
                <w:szCs w:val="20"/>
              </w:rPr>
            </w:pPr>
            <w:r w:rsidRPr="00726B58">
              <w:rPr>
                <w:rFonts w:ascii="Times New Roman" w:hAnsi="Times New Roman"/>
                <w:color w:val="000000"/>
                <w:sz w:val="20"/>
                <w:szCs w:val="20"/>
              </w:rPr>
              <w:t>0.0026</w:t>
            </w:r>
          </w:p>
        </w:tc>
      </w:tr>
      <w:tr w:rsidR="00D31621" w:rsidRPr="00726B58" w14:paraId="4A81B8F5" w14:textId="77777777" w:rsidTr="00812AD2">
        <w:trPr>
          <w:trHeight w:val="257"/>
        </w:trPr>
        <w:tc>
          <w:tcPr>
            <w:tcW w:w="2783" w:type="dxa"/>
            <w:tcBorders>
              <w:top w:val="nil"/>
              <w:left w:val="nil"/>
              <w:bottom w:val="nil"/>
              <w:right w:val="nil"/>
            </w:tcBorders>
            <w:vAlign w:val="bottom"/>
          </w:tcPr>
          <w:p w14:paraId="3C8DDA5C"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r w:rsidRPr="00726B58">
              <w:rPr>
                <w:rFonts w:ascii="Times New Roman" w:hAnsi="Times New Roman"/>
                <w:color w:val="000000"/>
                <w:sz w:val="20"/>
                <w:szCs w:val="20"/>
              </w:rPr>
              <w:t>GARCH(-1)(</w:t>
            </w:r>
            <w:r w:rsidRPr="00726B58">
              <w:rPr>
                <w:rFonts w:ascii="Times New Roman" w:hAnsi="Times New Roman"/>
                <w:color w:val="000000"/>
                <w:position w:val="-10"/>
                <w:sz w:val="20"/>
                <w:szCs w:val="20"/>
              </w:rPr>
              <w:object w:dxaOrig="240" w:dyaOrig="260" w14:anchorId="67A10AD2">
                <v:shape id="_x0000_i2441" type="#_x0000_t75" style="width:12pt;height:12.75pt" o:ole="">
                  <v:imagedata r:id="rId33" o:title=""/>
                </v:shape>
                <o:OLEObject Type="Embed" ProgID="Equation.DSMT4" ShapeID="_x0000_i2441" DrawAspect="Content" ObjectID="_1817953510" r:id="rId34"/>
              </w:object>
            </w:r>
            <w:r w:rsidRPr="00726B58">
              <w:rPr>
                <w:rFonts w:ascii="Times New Roman" w:hAnsi="Times New Roman"/>
                <w:color w:val="000000"/>
                <w:sz w:val="20"/>
                <w:szCs w:val="20"/>
              </w:rPr>
              <w:t>)</w:t>
            </w:r>
          </w:p>
        </w:tc>
        <w:tc>
          <w:tcPr>
            <w:tcW w:w="1522" w:type="dxa"/>
            <w:tcBorders>
              <w:top w:val="nil"/>
              <w:left w:val="nil"/>
              <w:bottom w:val="nil"/>
              <w:right w:val="nil"/>
            </w:tcBorders>
            <w:vAlign w:val="bottom"/>
          </w:tcPr>
          <w:p w14:paraId="28FED6FC" w14:textId="77777777" w:rsidR="00D31621" w:rsidRPr="00726B58" w:rsidRDefault="00D31621" w:rsidP="00C45F51">
            <w:pPr>
              <w:autoSpaceDE w:val="0"/>
              <w:autoSpaceDN w:val="0"/>
              <w:adjustRightInd w:val="0"/>
              <w:spacing w:after="0" w:line="240" w:lineRule="auto"/>
              <w:ind w:right="10"/>
              <w:rPr>
                <w:rFonts w:ascii="Times New Roman" w:hAnsi="Times New Roman"/>
                <w:color w:val="000000"/>
                <w:sz w:val="20"/>
                <w:szCs w:val="20"/>
              </w:rPr>
            </w:pPr>
            <w:r w:rsidRPr="00726B58">
              <w:rPr>
                <w:rFonts w:ascii="Times New Roman" w:hAnsi="Times New Roman"/>
                <w:color w:val="000000"/>
                <w:sz w:val="20"/>
                <w:szCs w:val="20"/>
              </w:rPr>
              <w:t>-0.072176</w:t>
            </w:r>
          </w:p>
        </w:tc>
        <w:tc>
          <w:tcPr>
            <w:tcW w:w="1665" w:type="dxa"/>
            <w:tcBorders>
              <w:top w:val="nil"/>
              <w:left w:val="nil"/>
              <w:bottom w:val="nil"/>
              <w:right w:val="nil"/>
            </w:tcBorders>
            <w:vAlign w:val="bottom"/>
          </w:tcPr>
          <w:p w14:paraId="538A5A09" w14:textId="77777777" w:rsidR="00D31621" w:rsidRPr="00726B58" w:rsidRDefault="00D31621" w:rsidP="00C45F51">
            <w:pPr>
              <w:autoSpaceDE w:val="0"/>
              <w:autoSpaceDN w:val="0"/>
              <w:adjustRightInd w:val="0"/>
              <w:spacing w:after="0" w:line="240" w:lineRule="auto"/>
              <w:ind w:right="10"/>
              <w:rPr>
                <w:rFonts w:ascii="Times New Roman" w:hAnsi="Times New Roman"/>
                <w:color w:val="000000"/>
                <w:sz w:val="20"/>
                <w:szCs w:val="20"/>
              </w:rPr>
            </w:pPr>
            <w:r w:rsidRPr="00726B58">
              <w:rPr>
                <w:rFonts w:ascii="Times New Roman" w:hAnsi="Times New Roman"/>
                <w:color w:val="000000"/>
                <w:sz w:val="20"/>
                <w:szCs w:val="20"/>
              </w:rPr>
              <w:t>0.041010</w:t>
            </w:r>
          </w:p>
        </w:tc>
        <w:tc>
          <w:tcPr>
            <w:tcW w:w="1667" w:type="dxa"/>
            <w:tcBorders>
              <w:top w:val="nil"/>
              <w:left w:val="nil"/>
              <w:bottom w:val="nil"/>
              <w:right w:val="nil"/>
            </w:tcBorders>
            <w:vAlign w:val="bottom"/>
          </w:tcPr>
          <w:p w14:paraId="7DACF8F6" w14:textId="77777777" w:rsidR="00D31621" w:rsidRPr="00726B58" w:rsidRDefault="00D31621" w:rsidP="00C45F51">
            <w:pPr>
              <w:autoSpaceDE w:val="0"/>
              <w:autoSpaceDN w:val="0"/>
              <w:adjustRightInd w:val="0"/>
              <w:spacing w:after="0" w:line="240" w:lineRule="auto"/>
              <w:ind w:right="10"/>
              <w:rPr>
                <w:rFonts w:ascii="Times New Roman" w:hAnsi="Times New Roman"/>
                <w:color w:val="000000"/>
                <w:sz w:val="20"/>
                <w:szCs w:val="20"/>
              </w:rPr>
            </w:pPr>
            <w:r w:rsidRPr="00726B58">
              <w:rPr>
                <w:rFonts w:ascii="Times New Roman" w:hAnsi="Times New Roman"/>
                <w:color w:val="000000"/>
                <w:sz w:val="20"/>
                <w:szCs w:val="20"/>
              </w:rPr>
              <w:t>-1.759961</w:t>
            </w:r>
          </w:p>
        </w:tc>
        <w:tc>
          <w:tcPr>
            <w:tcW w:w="1376" w:type="dxa"/>
            <w:tcBorders>
              <w:top w:val="nil"/>
              <w:left w:val="nil"/>
              <w:bottom w:val="nil"/>
              <w:right w:val="nil"/>
            </w:tcBorders>
            <w:vAlign w:val="bottom"/>
          </w:tcPr>
          <w:p w14:paraId="6FD7F292" w14:textId="77777777" w:rsidR="00D31621" w:rsidRPr="00726B58" w:rsidRDefault="00D31621" w:rsidP="00C45F51">
            <w:pPr>
              <w:autoSpaceDE w:val="0"/>
              <w:autoSpaceDN w:val="0"/>
              <w:adjustRightInd w:val="0"/>
              <w:spacing w:after="0" w:line="240" w:lineRule="auto"/>
              <w:ind w:right="10"/>
              <w:rPr>
                <w:rFonts w:ascii="Times New Roman" w:hAnsi="Times New Roman"/>
                <w:color w:val="000000"/>
                <w:sz w:val="20"/>
                <w:szCs w:val="20"/>
              </w:rPr>
            </w:pPr>
            <w:r w:rsidRPr="00726B58">
              <w:rPr>
                <w:rFonts w:ascii="Times New Roman" w:hAnsi="Times New Roman"/>
                <w:color w:val="000000"/>
                <w:sz w:val="20"/>
                <w:szCs w:val="20"/>
              </w:rPr>
              <w:t>0.0887</w:t>
            </w:r>
          </w:p>
        </w:tc>
      </w:tr>
      <w:tr w:rsidR="00D31621" w:rsidRPr="00726B58" w14:paraId="660FFEEC" w14:textId="77777777" w:rsidTr="00812AD2">
        <w:trPr>
          <w:trHeight w:val="257"/>
        </w:trPr>
        <w:tc>
          <w:tcPr>
            <w:tcW w:w="2783" w:type="dxa"/>
            <w:tcBorders>
              <w:top w:val="nil"/>
              <w:left w:val="nil"/>
              <w:bottom w:val="nil"/>
              <w:right w:val="nil"/>
            </w:tcBorders>
            <w:vAlign w:val="bottom"/>
          </w:tcPr>
          <w:p w14:paraId="6DA17AD3"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r w:rsidRPr="00726B58">
              <w:rPr>
                <w:rFonts w:ascii="Times New Roman" w:hAnsi="Times New Roman"/>
                <w:color w:val="000000"/>
                <w:sz w:val="20"/>
                <w:szCs w:val="20"/>
              </w:rPr>
              <w:t>RGDP</w:t>
            </w:r>
          </w:p>
        </w:tc>
        <w:tc>
          <w:tcPr>
            <w:tcW w:w="1522" w:type="dxa"/>
            <w:tcBorders>
              <w:top w:val="nil"/>
              <w:left w:val="nil"/>
              <w:bottom w:val="nil"/>
              <w:right w:val="nil"/>
            </w:tcBorders>
            <w:vAlign w:val="bottom"/>
          </w:tcPr>
          <w:p w14:paraId="66F1D91A" w14:textId="77777777" w:rsidR="00D31621" w:rsidRPr="00726B58" w:rsidRDefault="00D31621" w:rsidP="00C45F51">
            <w:pPr>
              <w:autoSpaceDE w:val="0"/>
              <w:autoSpaceDN w:val="0"/>
              <w:adjustRightInd w:val="0"/>
              <w:spacing w:after="0" w:line="240" w:lineRule="auto"/>
              <w:ind w:right="10"/>
              <w:rPr>
                <w:rFonts w:ascii="Times New Roman" w:hAnsi="Times New Roman"/>
                <w:color w:val="000000"/>
                <w:sz w:val="20"/>
                <w:szCs w:val="20"/>
              </w:rPr>
            </w:pPr>
            <w:r w:rsidRPr="00726B58">
              <w:rPr>
                <w:rFonts w:ascii="Times New Roman" w:hAnsi="Times New Roman"/>
                <w:color w:val="000000"/>
                <w:sz w:val="20"/>
                <w:szCs w:val="20"/>
              </w:rPr>
              <w:t>17.33680</w:t>
            </w:r>
          </w:p>
        </w:tc>
        <w:tc>
          <w:tcPr>
            <w:tcW w:w="1665" w:type="dxa"/>
            <w:tcBorders>
              <w:top w:val="nil"/>
              <w:left w:val="nil"/>
              <w:bottom w:val="nil"/>
              <w:right w:val="nil"/>
            </w:tcBorders>
            <w:vAlign w:val="bottom"/>
          </w:tcPr>
          <w:p w14:paraId="67229C60" w14:textId="77777777" w:rsidR="00D31621" w:rsidRPr="00726B58" w:rsidRDefault="00D31621" w:rsidP="00C45F51">
            <w:pPr>
              <w:autoSpaceDE w:val="0"/>
              <w:autoSpaceDN w:val="0"/>
              <w:adjustRightInd w:val="0"/>
              <w:spacing w:after="0" w:line="240" w:lineRule="auto"/>
              <w:ind w:right="10"/>
              <w:rPr>
                <w:rFonts w:ascii="Times New Roman" w:hAnsi="Times New Roman"/>
                <w:color w:val="000000"/>
                <w:sz w:val="20"/>
                <w:szCs w:val="20"/>
              </w:rPr>
            </w:pPr>
            <w:r w:rsidRPr="00726B58">
              <w:rPr>
                <w:rFonts w:ascii="Times New Roman" w:hAnsi="Times New Roman"/>
                <w:color w:val="000000"/>
                <w:sz w:val="20"/>
                <w:szCs w:val="20"/>
              </w:rPr>
              <w:t>8.363419</w:t>
            </w:r>
          </w:p>
        </w:tc>
        <w:tc>
          <w:tcPr>
            <w:tcW w:w="1667" w:type="dxa"/>
            <w:tcBorders>
              <w:top w:val="nil"/>
              <w:left w:val="nil"/>
              <w:bottom w:val="nil"/>
              <w:right w:val="nil"/>
            </w:tcBorders>
            <w:vAlign w:val="bottom"/>
          </w:tcPr>
          <w:p w14:paraId="35D5F83A" w14:textId="77777777" w:rsidR="00D31621" w:rsidRPr="00726B58" w:rsidRDefault="00D31621" w:rsidP="00C45F51">
            <w:pPr>
              <w:autoSpaceDE w:val="0"/>
              <w:autoSpaceDN w:val="0"/>
              <w:adjustRightInd w:val="0"/>
              <w:spacing w:after="0" w:line="240" w:lineRule="auto"/>
              <w:ind w:right="10"/>
              <w:rPr>
                <w:rFonts w:ascii="Times New Roman" w:hAnsi="Times New Roman"/>
                <w:color w:val="000000"/>
                <w:sz w:val="20"/>
                <w:szCs w:val="20"/>
              </w:rPr>
            </w:pPr>
            <w:r w:rsidRPr="00726B58">
              <w:rPr>
                <w:rFonts w:ascii="Times New Roman" w:hAnsi="Times New Roman"/>
                <w:color w:val="000000"/>
                <w:sz w:val="20"/>
                <w:szCs w:val="20"/>
              </w:rPr>
              <w:t>2.072932</w:t>
            </w:r>
          </w:p>
        </w:tc>
        <w:tc>
          <w:tcPr>
            <w:tcW w:w="1376" w:type="dxa"/>
            <w:tcBorders>
              <w:top w:val="nil"/>
              <w:left w:val="nil"/>
              <w:bottom w:val="nil"/>
              <w:right w:val="nil"/>
            </w:tcBorders>
            <w:vAlign w:val="bottom"/>
          </w:tcPr>
          <w:p w14:paraId="6CA08B61" w14:textId="77777777" w:rsidR="00D31621" w:rsidRPr="00726B58" w:rsidRDefault="00D31621" w:rsidP="00C45F51">
            <w:pPr>
              <w:autoSpaceDE w:val="0"/>
              <w:autoSpaceDN w:val="0"/>
              <w:adjustRightInd w:val="0"/>
              <w:spacing w:after="0" w:line="240" w:lineRule="auto"/>
              <w:ind w:right="10"/>
              <w:rPr>
                <w:rFonts w:ascii="Times New Roman" w:hAnsi="Times New Roman"/>
                <w:color w:val="000000"/>
                <w:sz w:val="20"/>
                <w:szCs w:val="20"/>
              </w:rPr>
            </w:pPr>
            <w:r w:rsidRPr="00726B58">
              <w:rPr>
                <w:rFonts w:ascii="Times New Roman" w:hAnsi="Times New Roman"/>
                <w:color w:val="000000"/>
                <w:sz w:val="20"/>
                <w:szCs w:val="20"/>
              </w:rPr>
              <w:t>0.0382</w:t>
            </w:r>
          </w:p>
        </w:tc>
      </w:tr>
      <w:tr w:rsidR="00D31621" w:rsidRPr="00726B58" w14:paraId="09A957BE" w14:textId="77777777" w:rsidTr="00812AD2">
        <w:trPr>
          <w:trHeight w:hRule="exact" w:val="102"/>
        </w:trPr>
        <w:tc>
          <w:tcPr>
            <w:tcW w:w="2783" w:type="dxa"/>
            <w:tcBorders>
              <w:top w:val="nil"/>
              <w:left w:val="nil"/>
              <w:bottom w:val="double" w:sz="6" w:space="2" w:color="auto"/>
              <w:right w:val="nil"/>
            </w:tcBorders>
            <w:vAlign w:val="bottom"/>
          </w:tcPr>
          <w:p w14:paraId="0EB39926"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c>
          <w:tcPr>
            <w:tcW w:w="1522" w:type="dxa"/>
            <w:tcBorders>
              <w:top w:val="nil"/>
              <w:left w:val="nil"/>
              <w:bottom w:val="double" w:sz="6" w:space="2" w:color="auto"/>
              <w:right w:val="nil"/>
            </w:tcBorders>
            <w:vAlign w:val="bottom"/>
          </w:tcPr>
          <w:p w14:paraId="1B07127C"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c>
          <w:tcPr>
            <w:tcW w:w="1665" w:type="dxa"/>
            <w:tcBorders>
              <w:top w:val="nil"/>
              <w:left w:val="nil"/>
              <w:bottom w:val="double" w:sz="6" w:space="2" w:color="auto"/>
              <w:right w:val="nil"/>
            </w:tcBorders>
            <w:vAlign w:val="bottom"/>
          </w:tcPr>
          <w:p w14:paraId="795CE40D"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c>
          <w:tcPr>
            <w:tcW w:w="1667" w:type="dxa"/>
            <w:tcBorders>
              <w:top w:val="nil"/>
              <w:left w:val="nil"/>
              <w:bottom w:val="double" w:sz="6" w:space="2" w:color="auto"/>
              <w:right w:val="nil"/>
            </w:tcBorders>
            <w:vAlign w:val="bottom"/>
          </w:tcPr>
          <w:p w14:paraId="7BA5D216"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c>
          <w:tcPr>
            <w:tcW w:w="1376" w:type="dxa"/>
            <w:tcBorders>
              <w:top w:val="nil"/>
              <w:left w:val="nil"/>
              <w:bottom w:val="double" w:sz="6" w:space="2" w:color="auto"/>
              <w:right w:val="nil"/>
            </w:tcBorders>
            <w:vAlign w:val="bottom"/>
          </w:tcPr>
          <w:p w14:paraId="23799081"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r>
      <w:tr w:rsidR="00D31621" w:rsidRPr="00726B58" w14:paraId="15B05782" w14:textId="77777777" w:rsidTr="00812AD2">
        <w:trPr>
          <w:trHeight w:hRule="exact" w:val="154"/>
        </w:trPr>
        <w:tc>
          <w:tcPr>
            <w:tcW w:w="2783" w:type="dxa"/>
            <w:tcBorders>
              <w:top w:val="nil"/>
              <w:left w:val="nil"/>
              <w:bottom w:val="nil"/>
              <w:right w:val="nil"/>
            </w:tcBorders>
            <w:vAlign w:val="bottom"/>
          </w:tcPr>
          <w:p w14:paraId="4097D450"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c>
          <w:tcPr>
            <w:tcW w:w="1522" w:type="dxa"/>
            <w:tcBorders>
              <w:top w:val="nil"/>
              <w:left w:val="nil"/>
              <w:bottom w:val="nil"/>
              <w:right w:val="nil"/>
            </w:tcBorders>
            <w:vAlign w:val="bottom"/>
          </w:tcPr>
          <w:p w14:paraId="1BB8D50F"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c>
          <w:tcPr>
            <w:tcW w:w="1665" w:type="dxa"/>
            <w:tcBorders>
              <w:top w:val="nil"/>
              <w:left w:val="nil"/>
              <w:bottom w:val="nil"/>
              <w:right w:val="nil"/>
            </w:tcBorders>
            <w:vAlign w:val="bottom"/>
          </w:tcPr>
          <w:p w14:paraId="1CD26BAE"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c>
          <w:tcPr>
            <w:tcW w:w="1667" w:type="dxa"/>
            <w:tcBorders>
              <w:top w:val="nil"/>
              <w:left w:val="nil"/>
              <w:bottom w:val="nil"/>
              <w:right w:val="nil"/>
            </w:tcBorders>
            <w:vAlign w:val="bottom"/>
          </w:tcPr>
          <w:p w14:paraId="4F79B3C6"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c>
          <w:tcPr>
            <w:tcW w:w="1376" w:type="dxa"/>
            <w:tcBorders>
              <w:top w:val="nil"/>
              <w:left w:val="nil"/>
              <w:bottom w:val="nil"/>
              <w:right w:val="nil"/>
            </w:tcBorders>
            <w:vAlign w:val="bottom"/>
          </w:tcPr>
          <w:p w14:paraId="0AF28A4D"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p>
        </w:tc>
      </w:tr>
      <w:tr w:rsidR="00D31621" w:rsidRPr="00726B58" w14:paraId="108F1264" w14:textId="77777777" w:rsidTr="00812AD2">
        <w:trPr>
          <w:trHeight w:val="257"/>
        </w:trPr>
        <w:tc>
          <w:tcPr>
            <w:tcW w:w="2783" w:type="dxa"/>
            <w:tcBorders>
              <w:top w:val="nil"/>
              <w:left w:val="nil"/>
              <w:bottom w:val="nil"/>
              <w:right w:val="nil"/>
            </w:tcBorders>
            <w:vAlign w:val="bottom"/>
          </w:tcPr>
          <w:p w14:paraId="2919DE29"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r w:rsidRPr="00726B58">
              <w:rPr>
                <w:rFonts w:ascii="Times New Roman" w:hAnsi="Times New Roman"/>
                <w:color w:val="000000"/>
                <w:sz w:val="20"/>
                <w:szCs w:val="20"/>
              </w:rPr>
              <w:t>R-squared</w:t>
            </w:r>
          </w:p>
        </w:tc>
        <w:tc>
          <w:tcPr>
            <w:tcW w:w="1522" w:type="dxa"/>
            <w:tcBorders>
              <w:top w:val="nil"/>
              <w:left w:val="nil"/>
              <w:bottom w:val="nil"/>
              <w:right w:val="nil"/>
            </w:tcBorders>
            <w:vAlign w:val="bottom"/>
          </w:tcPr>
          <w:p w14:paraId="606C8CC1" w14:textId="77777777" w:rsidR="00D31621" w:rsidRPr="00726B58" w:rsidRDefault="00D31621" w:rsidP="00C45F51">
            <w:pPr>
              <w:autoSpaceDE w:val="0"/>
              <w:autoSpaceDN w:val="0"/>
              <w:adjustRightInd w:val="0"/>
              <w:spacing w:after="0" w:line="240" w:lineRule="auto"/>
              <w:ind w:right="10"/>
              <w:rPr>
                <w:rFonts w:ascii="Times New Roman" w:hAnsi="Times New Roman"/>
                <w:color w:val="000000"/>
                <w:sz w:val="20"/>
                <w:szCs w:val="20"/>
              </w:rPr>
            </w:pPr>
            <w:r w:rsidRPr="00726B58">
              <w:rPr>
                <w:rFonts w:ascii="Times New Roman" w:hAnsi="Times New Roman"/>
                <w:color w:val="000000"/>
                <w:sz w:val="20"/>
                <w:szCs w:val="20"/>
              </w:rPr>
              <w:t>0.888680</w:t>
            </w:r>
          </w:p>
        </w:tc>
        <w:tc>
          <w:tcPr>
            <w:tcW w:w="3333" w:type="dxa"/>
            <w:gridSpan w:val="2"/>
            <w:tcBorders>
              <w:top w:val="nil"/>
              <w:left w:val="nil"/>
              <w:bottom w:val="nil"/>
              <w:right w:val="nil"/>
            </w:tcBorders>
            <w:vAlign w:val="bottom"/>
          </w:tcPr>
          <w:p w14:paraId="3F60BB5A" w14:textId="77777777" w:rsidR="00D31621" w:rsidRPr="00726B58" w:rsidRDefault="00D31621" w:rsidP="00C45F51">
            <w:pPr>
              <w:autoSpaceDE w:val="0"/>
              <w:autoSpaceDN w:val="0"/>
              <w:adjustRightInd w:val="0"/>
              <w:spacing w:after="0" w:line="240" w:lineRule="auto"/>
              <w:ind w:right="10"/>
              <w:rPr>
                <w:rFonts w:ascii="Times New Roman" w:hAnsi="Times New Roman"/>
                <w:color w:val="000000"/>
                <w:sz w:val="20"/>
                <w:szCs w:val="20"/>
              </w:rPr>
            </w:pPr>
            <w:r w:rsidRPr="00726B58">
              <w:rPr>
                <w:rFonts w:ascii="Times New Roman" w:hAnsi="Times New Roman"/>
                <w:color w:val="000000"/>
                <w:sz w:val="20"/>
                <w:szCs w:val="20"/>
              </w:rPr>
              <w:t>    Mean dependent var</w:t>
            </w:r>
          </w:p>
        </w:tc>
        <w:tc>
          <w:tcPr>
            <w:tcW w:w="1376" w:type="dxa"/>
            <w:tcBorders>
              <w:top w:val="nil"/>
              <w:left w:val="nil"/>
              <w:bottom w:val="nil"/>
              <w:right w:val="nil"/>
            </w:tcBorders>
            <w:vAlign w:val="bottom"/>
          </w:tcPr>
          <w:p w14:paraId="7D005378" w14:textId="77777777" w:rsidR="00D31621" w:rsidRPr="00726B58" w:rsidRDefault="00D31621" w:rsidP="00C45F51">
            <w:pPr>
              <w:autoSpaceDE w:val="0"/>
              <w:autoSpaceDN w:val="0"/>
              <w:adjustRightInd w:val="0"/>
              <w:spacing w:after="0" w:line="240" w:lineRule="auto"/>
              <w:ind w:right="10"/>
              <w:rPr>
                <w:rFonts w:ascii="Times New Roman" w:hAnsi="Times New Roman"/>
                <w:color w:val="000000"/>
                <w:sz w:val="20"/>
                <w:szCs w:val="20"/>
              </w:rPr>
            </w:pPr>
            <w:r w:rsidRPr="00726B58">
              <w:rPr>
                <w:rFonts w:ascii="Times New Roman" w:hAnsi="Times New Roman"/>
                <w:color w:val="000000"/>
                <w:sz w:val="20"/>
                <w:szCs w:val="20"/>
              </w:rPr>
              <w:t>16.76764</w:t>
            </w:r>
          </w:p>
        </w:tc>
      </w:tr>
      <w:tr w:rsidR="00D31621" w:rsidRPr="00726B58" w14:paraId="5299BF5A" w14:textId="77777777" w:rsidTr="00812AD2">
        <w:trPr>
          <w:trHeight w:val="257"/>
        </w:trPr>
        <w:tc>
          <w:tcPr>
            <w:tcW w:w="2783" w:type="dxa"/>
            <w:tcBorders>
              <w:top w:val="nil"/>
              <w:left w:val="nil"/>
              <w:bottom w:val="nil"/>
              <w:right w:val="nil"/>
            </w:tcBorders>
            <w:vAlign w:val="bottom"/>
          </w:tcPr>
          <w:p w14:paraId="5BC13A1A"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r w:rsidRPr="00726B58">
              <w:rPr>
                <w:rFonts w:ascii="Times New Roman" w:hAnsi="Times New Roman"/>
                <w:color w:val="000000"/>
                <w:sz w:val="20"/>
                <w:szCs w:val="20"/>
              </w:rPr>
              <w:t>Adjusted R-squared</w:t>
            </w:r>
          </w:p>
        </w:tc>
        <w:tc>
          <w:tcPr>
            <w:tcW w:w="1522" w:type="dxa"/>
            <w:tcBorders>
              <w:top w:val="nil"/>
              <w:left w:val="nil"/>
              <w:bottom w:val="nil"/>
              <w:right w:val="nil"/>
            </w:tcBorders>
            <w:vAlign w:val="bottom"/>
          </w:tcPr>
          <w:p w14:paraId="1EDEE4FE" w14:textId="77777777" w:rsidR="00D31621" w:rsidRPr="00726B58" w:rsidRDefault="00D31621" w:rsidP="00C45F51">
            <w:pPr>
              <w:autoSpaceDE w:val="0"/>
              <w:autoSpaceDN w:val="0"/>
              <w:adjustRightInd w:val="0"/>
              <w:spacing w:after="0" w:line="240" w:lineRule="auto"/>
              <w:ind w:right="10"/>
              <w:rPr>
                <w:rFonts w:ascii="Times New Roman" w:hAnsi="Times New Roman"/>
                <w:color w:val="000000"/>
                <w:sz w:val="20"/>
                <w:szCs w:val="20"/>
              </w:rPr>
            </w:pPr>
            <w:r w:rsidRPr="00726B58">
              <w:rPr>
                <w:rFonts w:ascii="Times New Roman" w:hAnsi="Times New Roman"/>
                <w:color w:val="000000"/>
                <w:sz w:val="20"/>
                <w:szCs w:val="20"/>
              </w:rPr>
              <w:t>0.888680</w:t>
            </w:r>
          </w:p>
        </w:tc>
        <w:tc>
          <w:tcPr>
            <w:tcW w:w="3333" w:type="dxa"/>
            <w:gridSpan w:val="2"/>
            <w:tcBorders>
              <w:top w:val="nil"/>
              <w:left w:val="nil"/>
              <w:bottom w:val="nil"/>
              <w:right w:val="nil"/>
            </w:tcBorders>
            <w:vAlign w:val="bottom"/>
          </w:tcPr>
          <w:p w14:paraId="6803AD2D" w14:textId="77777777" w:rsidR="00D31621" w:rsidRPr="00726B58" w:rsidRDefault="00D31621" w:rsidP="00C45F51">
            <w:pPr>
              <w:autoSpaceDE w:val="0"/>
              <w:autoSpaceDN w:val="0"/>
              <w:adjustRightInd w:val="0"/>
              <w:spacing w:after="0" w:line="240" w:lineRule="auto"/>
              <w:ind w:right="10"/>
              <w:rPr>
                <w:rFonts w:ascii="Times New Roman" w:hAnsi="Times New Roman"/>
                <w:color w:val="000000"/>
                <w:sz w:val="20"/>
                <w:szCs w:val="20"/>
              </w:rPr>
            </w:pPr>
            <w:r w:rsidRPr="00726B58">
              <w:rPr>
                <w:rFonts w:ascii="Times New Roman" w:hAnsi="Times New Roman"/>
                <w:color w:val="000000"/>
                <w:sz w:val="20"/>
                <w:szCs w:val="20"/>
              </w:rPr>
              <w:t>    S.D. dependent var</w:t>
            </w:r>
          </w:p>
        </w:tc>
        <w:tc>
          <w:tcPr>
            <w:tcW w:w="1376" w:type="dxa"/>
            <w:tcBorders>
              <w:top w:val="nil"/>
              <w:left w:val="nil"/>
              <w:bottom w:val="nil"/>
              <w:right w:val="nil"/>
            </w:tcBorders>
            <w:vAlign w:val="bottom"/>
          </w:tcPr>
          <w:p w14:paraId="70178D6F" w14:textId="77777777" w:rsidR="00D31621" w:rsidRPr="00726B58" w:rsidRDefault="00D31621" w:rsidP="00C45F51">
            <w:pPr>
              <w:autoSpaceDE w:val="0"/>
              <w:autoSpaceDN w:val="0"/>
              <w:adjustRightInd w:val="0"/>
              <w:spacing w:after="0" w:line="240" w:lineRule="auto"/>
              <w:ind w:right="10"/>
              <w:rPr>
                <w:rFonts w:ascii="Times New Roman" w:hAnsi="Times New Roman"/>
                <w:color w:val="000000"/>
                <w:sz w:val="20"/>
                <w:szCs w:val="20"/>
              </w:rPr>
            </w:pPr>
            <w:r w:rsidRPr="00726B58">
              <w:rPr>
                <w:rFonts w:ascii="Times New Roman" w:hAnsi="Times New Roman"/>
                <w:color w:val="000000"/>
                <w:sz w:val="20"/>
                <w:szCs w:val="20"/>
              </w:rPr>
              <w:t>26.43658</w:t>
            </w:r>
          </w:p>
        </w:tc>
      </w:tr>
      <w:tr w:rsidR="00D31621" w:rsidRPr="00726B58" w14:paraId="5CC0BB50" w14:textId="77777777" w:rsidTr="00812AD2">
        <w:trPr>
          <w:trHeight w:val="257"/>
        </w:trPr>
        <w:tc>
          <w:tcPr>
            <w:tcW w:w="2783" w:type="dxa"/>
            <w:tcBorders>
              <w:top w:val="nil"/>
              <w:left w:val="nil"/>
              <w:bottom w:val="nil"/>
              <w:right w:val="nil"/>
            </w:tcBorders>
            <w:vAlign w:val="bottom"/>
          </w:tcPr>
          <w:p w14:paraId="6F4ECC6A"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r w:rsidRPr="00726B58">
              <w:rPr>
                <w:rFonts w:ascii="Times New Roman" w:hAnsi="Times New Roman"/>
                <w:color w:val="000000"/>
                <w:sz w:val="20"/>
                <w:szCs w:val="20"/>
              </w:rPr>
              <w:t>S.E. of regression</w:t>
            </w:r>
          </w:p>
        </w:tc>
        <w:tc>
          <w:tcPr>
            <w:tcW w:w="1522" w:type="dxa"/>
            <w:tcBorders>
              <w:top w:val="nil"/>
              <w:left w:val="nil"/>
              <w:bottom w:val="nil"/>
              <w:right w:val="nil"/>
            </w:tcBorders>
            <w:vAlign w:val="bottom"/>
          </w:tcPr>
          <w:p w14:paraId="3D04EDDA" w14:textId="77777777" w:rsidR="00D31621" w:rsidRPr="00726B58" w:rsidRDefault="00D31621" w:rsidP="00C45F51">
            <w:pPr>
              <w:autoSpaceDE w:val="0"/>
              <w:autoSpaceDN w:val="0"/>
              <w:adjustRightInd w:val="0"/>
              <w:spacing w:after="0" w:line="240" w:lineRule="auto"/>
              <w:ind w:right="10"/>
              <w:rPr>
                <w:rFonts w:ascii="Times New Roman" w:hAnsi="Times New Roman"/>
                <w:color w:val="000000"/>
                <w:sz w:val="20"/>
                <w:szCs w:val="20"/>
              </w:rPr>
            </w:pPr>
            <w:r w:rsidRPr="00726B58">
              <w:rPr>
                <w:rFonts w:ascii="Times New Roman" w:hAnsi="Times New Roman"/>
                <w:color w:val="000000"/>
                <w:sz w:val="20"/>
                <w:szCs w:val="20"/>
              </w:rPr>
              <w:t>8.820475</w:t>
            </w:r>
          </w:p>
        </w:tc>
        <w:tc>
          <w:tcPr>
            <w:tcW w:w="3333" w:type="dxa"/>
            <w:gridSpan w:val="2"/>
            <w:tcBorders>
              <w:top w:val="nil"/>
              <w:left w:val="nil"/>
              <w:bottom w:val="nil"/>
              <w:right w:val="nil"/>
            </w:tcBorders>
            <w:vAlign w:val="bottom"/>
          </w:tcPr>
          <w:p w14:paraId="01259B0B" w14:textId="77777777" w:rsidR="00D31621" w:rsidRPr="00726B58" w:rsidRDefault="00D31621" w:rsidP="00C45F51">
            <w:pPr>
              <w:autoSpaceDE w:val="0"/>
              <w:autoSpaceDN w:val="0"/>
              <w:adjustRightInd w:val="0"/>
              <w:spacing w:after="0" w:line="240" w:lineRule="auto"/>
              <w:ind w:right="10"/>
              <w:rPr>
                <w:rFonts w:ascii="Times New Roman" w:hAnsi="Times New Roman"/>
                <w:color w:val="000000"/>
                <w:sz w:val="20"/>
                <w:szCs w:val="20"/>
              </w:rPr>
            </w:pPr>
            <w:r w:rsidRPr="00726B58">
              <w:rPr>
                <w:rFonts w:ascii="Times New Roman" w:hAnsi="Times New Roman"/>
                <w:color w:val="000000"/>
                <w:sz w:val="20"/>
                <w:szCs w:val="20"/>
              </w:rPr>
              <w:t>    Akaike info criterion</w:t>
            </w:r>
          </w:p>
        </w:tc>
        <w:tc>
          <w:tcPr>
            <w:tcW w:w="1376" w:type="dxa"/>
            <w:tcBorders>
              <w:top w:val="nil"/>
              <w:left w:val="nil"/>
              <w:bottom w:val="nil"/>
              <w:right w:val="nil"/>
            </w:tcBorders>
            <w:vAlign w:val="bottom"/>
          </w:tcPr>
          <w:p w14:paraId="1AB9961E" w14:textId="77777777" w:rsidR="00D31621" w:rsidRPr="00726B58" w:rsidRDefault="00D31621" w:rsidP="00C45F51">
            <w:pPr>
              <w:autoSpaceDE w:val="0"/>
              <w:autoSpaceDN w:val="0"/>
              <w:adjustRightInd w:val="0"/>
              <w:spacing w:after="0" w:line="240" w:lineRule="auto"/>
              <w:ind w:right="10"/>
              <w:rPr>
                <w:rFonts w:ascii="Times New Roman" w:hAnsi="Times New Roman"/>
                <w:color w:val="000000"/>
                <w:sz w:val="20"/>
                <w:szCs w:val="20"/>
              </w:rPr>
            </w:pPr>
            <w:r w:rsidRPr="00726B58">
              <w:rPr>
                <w:rFonts w:ascii="Times New Roman" w:hAnsi="Times New Roman"/>
                <w:color w:val="000000"/>
                <w:sz w:val="20"/>
                <w:szCs w:val="20"/>
              </w:rPr>
              <w:t>6.566849</w:t>
            </w:r>
          </w:p>
        </w:tc>
      </w:tr>
      <w:tr w:rsidR="00D31621" w:rsidRPr="00726B58" w14:paraId="00A2E143" w14:textId="77777777" w:rsidTr="00812AD2">
        <w:trPr>
          <w:trHeight w:val="257"/>
        </w:trPr>
        <w:tc>
          <w:tcPr>
            <w:tcW w:w="2783" w:type="dxa"/>
            <w:tcBorders>
              <w:top w:val="nil"/>
              <w:left w:val="nil"/>
              <w:bottom w:val="nil"/>
              <w:right w:val="nil"/>
            </w:tcBorders>
            <w:vAlign w:val="bottom"/>
          </w:tcPr>
          <w:p w14:paraId="68DEDD2A"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r w:rsidRPr="00726B58">
              <w:rPr>
                <w:rFonts w:ascii="Times New Roman" w:hAnsi="Times New Roman"/>
                <w:color w:val="000000"/>
                <w:sz w:val="20"/>
                <w:szCs w:val="20"/>
              </w:rPr>
              <w:t>Sum squared resid</w:t>
            </w:r>
          </w:p>
        </w:tc>
        <w:tc>
          <w:tcPr>
            <w:tcW w:w="1522" w:type="dxa"/>
            <w:tcBorders>
              <w:top w:val="nil"/>
              <w:left w:val="nil"/>
              <w:bottom w:val="nil"/>
              <w:right w:val="nil"/>
            </w:tcBorders>
            <w:vAlign w:val="bottom"/>
          </w:tcPr>
          <w:p w14:paraId="48D78865" w14:textId="77777777" w:rsidR="00D31621" w:rsidRPr="00726B58" w:rsidRDefault="00D31621" w:rsidP="00C45F51">
            <w:pPr>
              <w:autoSpaceDE w:val="0"/>
              <w:autoSpaceDN w:val="0"/>
              <w:adjustRightInd w:val="0"/>
              <w:spacing w:after="0" w:line="240" w:lineRule="auto"/>
              <w:ind w:right="10"/>
              <w:rPr>
                <w:rFonts w:ascii="Times New Roman" w:hAnsi="Times New Roman"/>
                <w:color w:val="000000"/>
                <w:sz w:val="20"/>
                <w:szCs w:val="20"/>
              </w:rPr>
            </w:pPr>
            <w:r w:rsidRPr="00726B58">
              <w:rPr>
                <w:rFonts w:ascii="Times New Roman" w:hAnsi="Times New Roman"/>
                <w:color w:val="000000"/>
                <w:sz w:val="20"/>
                <w:szCs w:val="20"/>
              </w:rPr>
              <w:t>9802.898</w:t>
            </w:r>
          </w:p>
        </w:tc>
        <w:tc>
          <w:tcPr>
            <w:tcW w:w="3333" w:type="dxa"/>
            <w:gridSpan w:val="2"/>
            <w:tcBorders>
              <w:top w:val="nil"/>
              <w:left w:val="nil"/>
              <w:bottom w:val="nil"/>
              <w:right w:val="nil"/>
            </w:tcBorders>
            <w:vAlign w:val="bottom"/>
          </w:tcPr>
          <w:p w14:paraId="0F98795D" w14:textId="77777777" w:rsidR="00D31621" w:rsidRPr="00726B58" w:rsidRDefault="00D31621" w:rsidP="00C45F51">
            <w:pPr>
              <w:autoSpaceDE w:val="0"/>
              <w:autoSpaceDN w:val="0"/>
              <w:adjustRightInd w:val="0"/>
              <w:spacing w:after="0" w:line="240" w:lineRule="auto"/>
              <w:ind w:right="10"/>
              <w:rPr>
                <w:rFonts w:ascii="Times New Roman" w:hAnsi="Times New Roman"/>
                <w:color w:val="000000"/>
                <w:sz w:val="20"/>
                <w:szCs w:val="20"/>
              </w:rPr>
            </w:pPr>
            <w:r w:rsidRPr="00726B58">
              <w:rPr>
                <w:rFonts w:ascii="Times New Roman" w:hAnsi="Times New Roman"/>
                <w:color w:val="000000"/>
                <w:sz w:val="20"/>
                <w:szCs w:val="20"/>
              </w:rPr>
              <w:t>    Schwarz criterion</w:t>
            </w:r>
          </w:p>
        </w:tc>
        <w:tc>
          <w:tcPr>
            <w:tcW w:w="1376" w:type="dxa"/>
            <w:tcBorders>
              <w:top w:val="nil"/>
              <w:left w:val="nil"/>
              <w:bottom w:val="nil"/>
              <w:right w:val="nil"/>
            </w:tcBorders>
            <w:vAlign w:val="bottom"/>
          </w:tcPr>
          <w:p w14:paraId="6774A320" w14:textId="77777777" w:rsidR="00D31621" w:rsidRPr="00726B58" w:rsidRDefault="00D31621" w:rsidP="00C45F51">
            <w:pPr>
              <w:autoSpaceDE w:val="0"/>
              <w:autoSpaceDN w:val="0"/>
              <w:adjustRightInd w:val="0"/>
              <w:spacing w:after="0" w:line="240" w:lineRule="auto"/>
              <w:ind w:right="10"/>
              <w:rPr>
                <w:rFonts w:ascii="Times New Roman" w:hAnsi="Times New Roman"/>
                <w:color w:val="000000"/>
                <w:sz w:val="20"/>
                <w:szCs w:val="20"/>
              </w:rPr>
            </w:pPr>
            <w:r w:rsidRPr="00726B58">
              <w:rPr>
                <w:rFonts w:ascii="Times New Roman" w:hAnsi="Times New Roman"/>
                <w:color w:val="000000"/>
                <w:sz w:val="20"/>
                <w:szCs w:val="20"/>
              </w:rPr>
              <w:t>6.678825</w:t>
            </w:r>
          </w:p>
        </w:tc>
      </w:tr>
      <w:tr w:rsidR="00D31621" w:rsidRPr="00726B58" w14:paraId="4FD12ABE" w14:textId="77777777" w:rsidTr="00812AD2">
        <w:trPr>
          <w:trHeight w:val="257"/>
        </w:trPr>
        <w:tc>
          <w:tcPr>
            <w:tcW w:w="2783" w:type="dxa"/>
            <w:tcBorders>
              <w:top w:val="nil"/>
              <w:left w:val="nil"/>
              <w:bottom w:val="nil"/>
              <w:right w:val="nil"/>
            </w:tcBorders>
            <w:vAlign w:val="bottom"/>
          </w:tcPr>
          <w:p w14:paraId="03A88AA1"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r w:rsidRPr="00726B58">
              <w:rPr>
                <w:rFonts w:ascii="Times New Roman" w:hAnsi="Times New Roman"/>
                <w:color w:val="000000"/>
                <w:sz w:val="20"/>
                <w:szCs w:val="20"/>
              </w:rPr>
              <w:t>Log likelihood</w:t>
            </w:r>
          </w:p>
        </w:tc>
        <w:tc>
          <w:tcPr>
            <w:tcW w:w="1522" w:type="dxa"/>
            <w:tcBorders>
              <w:top w:val="nil"/>
              <w:left w:val="nil"/>
              <w:bottom w:val="nil"/>
              <w:right w:val="nil"/>
            </w:tcBorders>
            <w:vAlign w:val="bottom"/>
          </w:tcPr>
          <w:p w14:paraId="73DAFA4F" w14:textId="77777777" w:rsidR="00D31621" w:rsidRPr="00726B58" w:rsidRDefault="00D31621" w:rsidP="00C45F51">
            <w:pPr>
              <w:autoSpaceDE w:val="0"/>
              <w:autoSpaceDN w:val="0"/>
              <w:adjustRightInd w:val="0"/>
              <w:spacing w:after="0" w:line="240" w:lineRule="auto"/>
              <w:ind w:right="10"/>
              <w:rPr>
                <w:rFonts w:ascii="Times New Roman" w:hAnsi="Times New Roman"/>
                <w:color w:val="000000"/>
                <w:sz w:val="20"/>
                <w:szCs w:val="20"/>
              </w:rPr>
            </w:pPr>
            <w:r w:rsidRPr="00726B58">
              <w:rPr>
                <w:rFonts w:ascii="Times New Roman" w:hAnsi="Times New Roman"/>
                <w:color w:val="000000"/>
                <w:sz w:val="20"/>
                <w:szCs w:val="20"/>
              </w:rPr>
              <w:t>-411.9949</w:t>
            </w:r>
          </w:p>
        </w:tc>
        <w:tc>
          <w:tcPr>
            <w:tcW w:w="3333" w:type="dxa"/>
            <w:gridSpan w:val="2"/>
            <w:tcBorders>
              <w:top w:val="nil"/>
              <w:left w:val="nil"/>
              <w:bottom w:val="nil"/>
              <w:right w:val="nil"/>
            </w:tcBorders>
            <w:vAlign w:val="bottom"/>
          </w:tcPr>
          <w:p w14:paraId="32C19A66" w14:textId="77777777" w:rsidR="00D31621" w:rsidRPr="00726B58" w:rsidRDefault="00D31621" w:rsidP="00C45F51">
            <w:pPr>
              <w:autoSpaceDE w:val="0"/>
              <w:autoSpaceDN w:val="0"/>
              <w:adjustRightInd w:val="0"/>
              <w:spacing w:after="0" w:line="240" w:lineRule="auto"/>
              <w:ind w:right="10"/>
              <w:rPr>
                <w:rFonts w:ascii="Times New Roman" w:hAnsi="Times New Roman"/>
                <w:color w:val="000000"/>
                <w:sz w:val="20"/>
                <w:szCs w:val="20"/>
              </w:rPr>
            </w:pPr>
            <w:r w:rsidRPr="00726B58">
              <w:rPr>
                <w:rFonts w:ascii="Times New Roman" w:hAnsi="Times New Roman"/>
                <w:color w:val="000000"/>
                <w:sz w:val="20"/>
                <w:szCs w:val="20"/>
              </w:rPr>
              <w:t>    Hannan-Quinn criter.</w:t>
            </w:r>
          </w:p>
        </w:tc>
        <w:tc>
          <w:tcPr>
            <w:tcW w:w="1376" w:type="dxa"/>
            <w:tcBorders>
              <w:top w:val="nil"/>
              <w:left w:val="nil"/>
              <w:bottom w:val="nil"/>
              <w:right w:val="nil"/>
            </w:tcBorders>
            <w:vAlign w:val="bottom"/>
          </w:tcPr>
          <w:p w14:paraId="484D12A5" w14:textId="77777777" w:rsidR="00D31621" w:rsidRPr="00726B58" w:rsidRDefault="00D31621" w:rsidP="00C45F51">
            <w:pPr>
              <w:autoSpaceDE w:val="0"/>
              <w:autoSpaceDN w:val="0"/>
              <w:adjustRightInd w:val="0"/>
              <w:spacing w:after="0" w:line="240" w:lineRule="auto"/>
              <w:ind w:right="10"/>
              <w:rPr>
                <w:rFonts w:ascii="Times New Roman" w:hAnsi="Times New Roman"/>
                <w:color w:val="000000"/>
                <w:sz w:val="20"/>
                <w:szCs w:val="20"/>
              </w:rPr>
            </w:pPr>
            <w:r w:rsidRPr="00726B58">
              <w:rPr>
                <w:rFonts w:ascii="Times New Roman" w:hAnsi="Times New Roman"/>
                <w:color w:val="000000"/>
                <w:sz w:val="20"/>
                <w:szCs w:val="20"/>
              </w:rPr>
              <w:t>6.612343</w:t>
            </w:r>
          </w:p>
        </w:tc>
      </w:tr>
      <w:tr w:rsidR="00D31621" w:rsidRPr="00726B58" w14:paraId="655F4B7F" w14:textId="77777777" w:rsidTr="00812AD2">
        <w:trPr>
          <w:trHeight w:val="257"/>
        </w:trPr>
        <w:tc>
          <w:tcPr>
            <w:tcW w:w="2783" w:type="dxa"/>
            <w:tcBorders>
              <w:top w:val="nil"/>
              <w:left w:val="nil"/>
              <w:bottom w:val="nil"/>
              <w:right w:val="nil"/>
            </w:tcBorders>
            <w:vAlign w:val="bottom"/>
          </w:tcPr>
          <w:p w14:paraId="26619CF5" w14:textId="77777777" w:rsidR="00D31621" w:rsidRPr="00726B58" w:rsidRDefault="00D31621" w:rsidP="00C45F51">
            <w:pPr>
              <w:autoSpaceDE w:val="0"/>
              <w:autoSpaceDN w:val="0"/>
              <w:adjustRightInd w:val="0"/>
              <w:spacing w:after="0" w:line="240" w:lineRule="auto"/>
              <w:rPr>
                <w:rFonts w:ascii="Times New Roman" w:hAnsi="Times New Roman"/>
                <w:color w:val="000000"/>
                <w:sz w:val="20"/>
                <w:szCs w:val="20"/>
              </w:rPr>
            </w:pPr>
            <w:r w:rsidRPr="00726B58">
              <w:rPr>
                <w:rFonts w:ascii="Times New Roman" w:hAnsi="Times New Roman"/>
                <w:color w:val="000000"/>
                <w:sz w:val="20"/>
                <w:szCs w:val="20"/>
              </w:rPr>
              <w:t>Durbin-Watson stat</w:t>
            </w:r>
          </w:p>
        </w:tc>
        <w:tc>
          <w:tcPr>
            <w:tcW w:w="1522" w:type="dxa"/>
            <w:tcBorders>
              <w:top w:val="nil"/>
              <w:left w:val="nil"/>
              <w:bottom w:val="nil"/>
              <w:right w:val="nil"/>
            </w:tcBorders>
            <w:vAlign w:val="bottom"/>
          </w:tcPr>
          <w:p w14:paraId="09CF25FE" w14:textId="77777777" w:rsidR="00D31621" w:rsidRPr="00726B58" w:rsidRDefault="00D31621" w:rsidP="00C45F51">
            <w:pPr>
              <w:autoSpaceDE w:val="0"/>
              <w:autoSpaceDN w:val="0"/>
              <w:adjustRightInd w:val="0"/>
              <w:spacing w:after="0" w:line="240" w:lineRule="auto"/>
              <w:ind w:right="10"/>
              <w:rPr>
                <w:rFonts w:ascii="Times New Roman" w:hAnsi="Times New Roman"/>
                <w:color w:val="000000"/>
                <w:sz w:val="20"/>
                <w:szCs w:val="20"/>
              </w:rPr>
            </w:pPr>
            <w:r w:rsidRPr="00726B58">
              <w:rPr>
                <w:rFonts w:ascii="Times New Roman" w:hAnsi="Times New Roman"/>
                <w:color w:val="000000"/>
                <w:sz w:val="20"/>
                <w:szCs w:val="20"/>
              </w:rPr>
              <w:t>1.978128</w:t>
            </w:r>
          </w:p>
        </w:tc>
        <w:tc>
          <w:tcPr>
            <w:tcW w:w="1665" w:type="dxa"/>
            <w:tcBorders>
              <w:top w:val="nil"/>
              <w:left w:val="nil"/>
              <w:bottom w:val="nil"/>
              <w:right w:val="nil"/>
            </w:tcBorders>
            <w:vAlign w:val="bottom"/>
          </w:tcPr>
          <w:p w14:paraId="6AF14395" w14:textId="77777777" w:rsidR="00D31621" w:rsidRPr="00726B58" w:rsidRDefault="00D31621" w:rsidP="00C45F51">
            <w:pPr>
              <w:autoSpaceDE w:val="0"/>
              <w:autoSpaceDN w:val="0"/>
              <w:adjustRightInd w:val="0"/>
              <w:spacing w:after="0" w:line="240" w:lineRule="auto"/>
              <w:ind w:right="10"/>
              <w:rPr>
                <w:rFonts w:ascii="Times New Roman" w:hAnsi="Times New Roman"/>
                <w:color w:val="000000"/>
                <w:sz w:val="20"/>
                <w:szCs w:val="20"/>
              </w:rPr>
            </w:pPr>
          </w:p>
        </w:tc>
        <w:tc>
          <w:tcPr>
            <w:tcW w:w="1667" w:type="dxa"/>
            <w:tcBorders>
              <w:top w:val="nil"/>
              <w:left w:val="nil"/>
              <w:bottom w:val="nil"/>
              <w:right w:val="nil"/>
            </w:tcBorders>
            <w:vAlign w:val="bottom"/>
          </w:tcPr>
          <w:p w14:paraId="44BAA1D1" w14:textId="77777777" w:rsidR="00D31621" w:rsidRPr="00726B58" w:rsidRDefault="00D31621" w:rsidP="00C45F51">
            <w:pPr>
              <w:autoSpaceDE w:val="0"/>
              <w:autoSpaceDN w:val="0"/>
              <w:adjustRightInd w:val="0"/>
              <w:spacing w:after="0" w:line="240" w:lineRule="auto"/>
              <w:ind w:right="10"/>
              <w:rPr>
                <w:rFonts w:ascii="Times New Roman" w:hAnsi="Times New Roman"/>
                <w:color w:val="000000"/>
                <w:sz w:val="20"/>
                <w:szCs w:val="20"/>
              </w:rPr>
            </w:pPr>
          </w:p>
        </w:tc>
        <w:tc>
          <w:tcPr>
            <w:tcW w:w="1376" w:type="dxa"/>
            <w:tcBorders>
              <w:top w:val="nil"/>
              <w:left w:val="nil"/>
              <w:bottom w:val="nil"/>
              <w:right w:val="nil"/>
            </w:tcBorders>
            <w:vAlign w:val="bottom"/>
          </w:tcPr>
          <w:p w14:paraId="46DE9DFA" w14:textId="77777777" w:rsidR="00D31621" w:rsidRPr="00726B58" w:rsidRDefault="00D31621" w:rsidP="00C45F51">
            <w:pPr>
              <w:autoSpaceDE w:val="0"/>
              <w:autoSpaceDN w:val="0"/>
              <w:adjustRightInd w:val="0"/>
              <w:spacing w:after="0" w:line="240" w:lineRule="auto"/>
              <w:ind w:right="10"/>
              <w:rPr>
                <w:rFonts w:ascii="Times New Roman" w:hAnsi="Times New Roman"/>
                <w:color w:val="000000"/>
                <w:sz w:val="20"/>
                <w:szCs w:val="20"/>
              </w:rPr>
            </w:pPr>
          </w:p>
        </w:tc>
      </w:tr>
      <w:tr w:rsidR="00D31621" w:rsidRPr="00177CE3" w14:paraId="6D773C8E" w14:textId="77777777" w:rsidTr="00812AD2">
        <w:trPr>
          <w:trHeight w:hRule="exact" w:val="102"/>
        </w:trPr>
        <w:tc>
          <w:tcPr>
            <w:tcW w:w="2783" w:type="dxa"/>
            <w:tcBorders>
              <w:top w:val="nil"/>
              <w:left w:val="nil"/>
              <w:bottom w:val="double" w:sz="6" w:space="0" w:color="auto"/>
              <w:right w:val="nil"/>
            </w:tcBorders>
            <w:vAlign w:val="bottom"/>
          </w:tcPr>
          <w:p w14:paraId="13E03283" w14:textId="77777777" w:rsidR="00D31621" w:rsidRPr="00177CE3" w:rsidRDefault="00D31621" w:rsidP="00C45F51">
            <w:pPr>
              <w:autoSpaceDE w:val="0"/>
              <w:autoSpaceDN w:val="0"/>
              <w:adjustRightInd w:val="0"/>
              <w:spacing w:after="0" w:line="240" w:lineRule="auto"/>
              <w:rPr>
                <w:rFonts w:ascii="Times New Roman" w:hAnsi="Times New Roman"/>
                <w:color w:val="000000"/>
              </w:rPr>
            </w:pPr>
          </w:p>
        </w:tc>
        <w:tc>
          <w:tcPr>
            <w:tcW w:w="1522" w:type="dxa"/>
            <w:tcBorders>
              <w:top w:val="nil"/>
              <w:left w:val="nil"/>
              <w:bottom w:val="double" w:sz="6" w:space="0" w:color="auto"/>
              <w:right w:val="nil"/>
            </w:tcBorders>
            <w:vAlign w:val="bottom"/>
          </w:tcPr>
          <w:p w14:paraId="1AFE8A3C" w14:textId="77777777" w:rsidR="00D31621" w:rsidRPr="00177CE3" w:rsidRDefault="00D31621" w:rsidP="00C45F51">
            <w:pPr>
              <w:autoSpaceDE w:val="0"/>
              <w:autoSpaceDN w:val="0"/>
              <w:adjustRightInd w:val="0"/>
              <w:spacing w:after="0" w:line="240" w:lineRule="auto"/>
              <w:rPr>
                <w:rFonts w:ascii="Times New Roman" w:hAnsi="Times New Roman"/>
                <w:color w:val="000000"/>
              </w:rPr>
            </w:pPr>
          </w:p>
        </w:tc>
        <w:tc>
          <w:tcPr>
            <w:tcW w:w="1665" w:type="dxa"/>
            <w:tcBorders>
              <w:top w:val="nil"/>
              <w:left w:val="nil"/>
              <w:bottom w:val="double" w:sz="6" w:space="0" w:color="auto"/>
              <w:right w:val="nil"/>
            </w:tcBorders>
            <w:vAlign w:val="bottom"/>
          </w:tcPr>
          <w:p w14:paraId="3209CD94" w14:textId="77777777" w:rsidR="00D31621" w:rsidRPr="00177CE3" w:rsidRDefault="00D31621" w:rsidP="00C45F51">
            <w:pPr>
              <w:autoSpaceDE w:val="0"/>
              <w:autoSpaceDN w:val="0"/>
              <w:adjustRightInd w:val="0"/>
              <w:spacing w:after="0" w:line="240" w:lineRule="auto"/>
              <w:rPr>
                <w:rFonts w:ascii="Times New Roman" w:hAnsi="Times New Roman"/>
                <w:color w:val="000000"/>
              </w:rPr>
            </w:pPr>
          </w:p>
        </w:tc>
        <w:tc>
          <w:tcPr>
            <w:tcW w:w="1667" w:type="dxa"/>
            <w:tcBorders>
              <w:top w:val="nil"/>
              <w:left w:val="nil"/>
              <w:bottom w:val="double" w:sz="6" w:space="0" w:color="auto"/>
              <w:right w:val="nil"/>
            </w:tcBorders>
            <w:vAlign w:val="bottom"/>
          </w:tcPr>
          <w:p w14:paraId="3D207FEE" w14:textId="77777777" w:rsidR="00D31621" w:rsidRPr="00177CE3" w:rsidRDefault="00D31621" w:rsidP="00C45F51">
            <w:pPr>
              <w:autoSpaceDE w:val="0"/>
              <w:autoSpaceDN w:val="0"/>
              <w:adjustRightInd w:val="0"/>
              <w:spacing w:after="0" w:line="240" w:lineRule="auto"/>
              <w:rPr>
                <w:rFonts w:ascii="Times New Roman" w:hAnsi="Times New Roman"/>
                <w:color w:val="000000"/>
              </w:rPr>
            </w:pPr>
          </w:p>
        </w:tc>
        <w:tc>
          <w:tcPr>
            <w:tcW w:w="1376" w:type="dxa"/>
            <w:tcBorders>
              <w:top w:val="nil"/>
              <w:left w:val="nil"/>
              <w:bottom w:val="double" w:sz="6" w:space="0" w:color="auto"/>
              <w:right w:val="nil"/>
            </w:tcBorders>
            <w:vAlign w:val="bottom"/>
          </w:tcPr>
          <w:p w14:paraId="22D8AD25" w14:textId="77777777" w:rsidR="00D31621" w:rsidRPr="00177CE3" w:rsidRDefault="00D31621" w:rsidP="00C45F51">
            <w:pPr>
              <w:autoSpaceDE w:val="0"/>
              <w:autoSpaceDN w:val="0"/>
              <w:adjustRightInd w:val="0"/>
              <w:spacing w:after="0" w:line="240" w:lineRule="auto"/>
              <w:rPr>
                <w:rFonts w:ascii="Times New Roman" w:hAnsi="Times New Roman"/>
                <w:color w:val="000000"/>
              </w:rPr>
            </w:pPr>
          </w:p>
        </w:tc>
      </w:tr>
      <w:tr w:rsidR="00D31621" w14:paraId="723E3117" w14:textId="77777777" w:rsidTr="00812AD2">
        <w:trPr>
          <w:trHeight w:hRule="exact" w:val="154"/>
        </w:trPr>
        <w:tc>
          <w:tcPr>
            <w:tcW w:w="2783" w:type="dxa"/>
            <w:tcBorders>
              <w:top w:val="nil"/>
              <w:left w:val="nil"/>
              <w:bottom w:val="nil"/>
              <w:right w:val="nil"/>
            </w:tcBorders>
            <w:vAlign w:val="bottom"/>
          </w:tcPr>
          <w:p w14:paraId="125B04CE"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1522" w:type="dxa"/>
            <w:tcBorders>
              <w:top w:val="nil"/>
              <w:left w:val="nil"/>
              <w:bottom w:val="nil"/>
              <w:right w:val="nil"/>
            </w:tcBorders>
            <w:vAlign w:val="bottom"/>
          </w:tcPr>
          <w:p w14:paraId="48D417FF"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1665" w:type="dxa"/>
            <w:tcBorders>
              <w:top w:val="nil"/>
              <w:left w:val="nil"/>
              <w:bottom w:val="nil"/>
              <w:right w:val="nil"/>
            </w:tcBorders>
            <w:vAlign w:val="bottom"/>
          </w:tcPr>
          <w:p w14:paraId="0BA95E38"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1667" w:type="dxa"/>
            <w:tcBorders>
              <w:top w:val="nil"/>
              <w:left w:val="nil"/>
              <w:bottom w:val="nil"/>
              <w:right w:val="nil"/>
            </w:tcBorders>
            <w:vAlign w:val="bottom"/>
          </w:tcPr>
          <w:p w14:paraId="7B902FE1"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1376" w:type="dxa"/>
            <w:tcBorders>
              <w:top w:val="nil"/>
              <w:left w:val="nil"/>
              <w:bottom w:val="nil"/>
              <w:right w:val="nil"/>
            </w:tcBorders>
            <w:vAlign w:val="bottom"/>
          </w:tcPr>
          <w:p w14:paraId="6589CB03"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r>
    </w:tbl>
    <w:p w14:paraId="56EE3AFC" w14:textId="77777777" w:rsidR="0002608C" w:rsidRPr="00812AD2" w:rsidRDefault="00D31621" w:rsidP="00C45F51">
      <w:pPr>
        <w:spacing w:line="240" w:lineRule="auto"/>
        <w:jc w:val="both"/>
        <w:rPr>
          <w:rFonts w:ascii="Times New Roman" w:hAnsi="Times New Roman"/>
          <w:b/>
          <w:bCs/>
          <w:i/>
          <w:iCs/>
          <w:sz w:val="20"/>
          <w:szCs w:val="20"/>
        </w:rPr>
      </w:pPr>
      <w:r>
        <w:rPr>
          <w:rFonts w:ascii="Arial" w:hAnsi="Arial" w:cs="Arial"/>
          <w:sz w:val="18"/>
          <w:szCs w:val="18"/>
        </w:rPr>
        <w:t xml:space="preserve">                   </w:t>
      </w:r>
      <w:r w:rsidRPr="00812AD2">
        <w:rPr>
          <w:rFonts w:ascii="Times New Roman" w:hAnsi="Times New Roman"/>
          <w:b/>
          <w:bCs/>
          <w:i/>
          <w:iCs/>
          <w:sz w:val="20"/>
          <w:szCs w:val="20"/>
        </w:rPr>
        <w:t>Source: Author’s Computation using Eviews 10</w:t>
      </w:r>
    </w:p>
    <w:p w14:paraId="1F86A105" w14:textId="77777777" w:rsidR="00812AD2" w:rsidRDefault="00812AD2" w:rsidP="00812AD2">
      <w:pPr>
        <w:spacing w:line="240" w:lineRule="auto"/>
        <w:rPr>
          <w:rFonts w:ascii="Times New Roman" w:hAnsi="Times New Roman"/>
          <w:sz w:val="24"/>
          <w:szCs w:val="24"/>
        </w:rPr>
        <w:sectPr w:rsidR="00812AD2" w:rsidSect="004267E7">
          <w:type w:val="continuous"/>
          <w:pgSz w:w="12240" w:h="15840"/>
          <w:pgMar w:top="1135" w:right="1440" w:bottom="1440" w:left="1440" w:header="720" w:footer="720" w:gutter="0"/>
          <w:cols w:space="720"/>
          <w:docGrid w:linePitch="360"/>
        </w:sectPr>
      </w:pPr>
    </w:p>
    <w:p w14:paraId="0C59CAAA" w14:textId="7D9BB792" w:rsidR="00D31621" w:rsidRDefault="00D31621" w:rsidP="00812AD2">
      <w:pPr>
        <w:spacing w:line="240" w:lineRule="auto"/>
        <w:rPr>
          <w:rFonts w:ascii="Times New Roman" w:hAnsi="Times New Roman"/>
          <w:sz w:val="24"/>
          <w:szCs w:val="24"/>
        </w:rPr>
      </w:pPr>
      <w:r w:rsidRPr="00726B58">
        <w:rPr>
          <w:rFonts w:ascii="Times New Roman" w:hAnsi="Times New Roman"/>
          <w:sz w:val="24"/>
          <w:szCs w:val="24"/>
        </w:rPr>
        <w:lastRenderedPageBreak/>
        <w:t xml:space="preserve">Table </w:t>
      </w:r>
      <w:r w:rsidR="005F1037">
        <w:rPr>
          <w:rFonts w:ascii="Times New Roman" w:hAnsi="Times New Roman"/>
          <w:sz w:val="24"/>
          <w:szCs w:val="24"/>
        </w:rPr>
        <w:t>6</w:t>
      </w:r>
      <w:r w:rsidRPr="00726B58">
        <w:rPr>
          <w:rFonts w:ascii="Times New Roman" w:hAnsi="Times New Roman"/>
          <w:sz w:val="24"/>
          <w:szCs w:val="24"/>
        </w:rPr>
        <w:t xml:space="preserve">, </w:t>
      </w:r>
      <w:r>
        <w:rPr>
          <w:rFonts w:ascii="Times New Roman" w:hAnsi="Times New Roman"/>
          <w:sz w:val="24"/>
          <w:szCs w:val="24"/>
        </w:rPr>
        <w:t>provide</w:t>
      </w:r>
      <w:r w:rsidR="005F1037">
        <w:rPr>
          <w:rFonts w:ascii="Times New Roman" w:hAnsi="Times New Roman"/>
          <w:sz w:val="24"/>
          <w:szCs w:val="24"/>
        </w:rPr>
        <w:t>d</w:t>
      </w:r>
      <w:r>
        <w:rPr>
          <w:rFonts w:ascii="Times New Roman" w:hAnsi="Times New Roman"/>
          <w:sz w:val="24"/>
          <w:szCs w:val="24"/>
        </w:rPr>
        <w:t xml:space="preserve"> information about predicting volatility, the persistence of shock, the impact of shock and the relationship between stock market returns and economic growth</w:t>
      </w:r>
      <w:r w:rsidR="0002608C">
        <w:rPr>
          <w:rFonts w:ascii="Times New Roman" w:hAnsi="Times New Roman"/>
          <w:sz w:val="24"/>
          <w:szCs w:val="24"/>
        </w:rPr>
        <w:t xml:space="preserve">. </w:t>
      </w:r>
      <w:r w:rsidRPr="00205C75">
        <w:rPr>
          <w:rFonts w:ascii="Times New Roman" w:hAnsi="Times New Roman"/>
          <w:sz w:val="24"/>
          <w:szCs w:val="24"/>
        </w:rPr>
        <w:t>The variance equation indicate</w:t>
      </w:r>
      <w:r w:rsidR="00AD25CA">
        <w:rPr>
          <w:rFonts w:ascii="Times New Roman" w:hAnsi="Times New Roman"/>
          <w:sz w:val="24"/>
          <w:szCs w:val="24"/>
        </w:rPr>
        <w:t>d</w:t>
      </w:r>
      <w:r w:rsidRPr="00205C75">
        <w:rPr>
          <w:rFonts w:ascii="Times New Roman" w:hAnsi="Times New Roman"/>
          <w:sz w:val="24"/>
          <w:szCs w:val="24"/>
        </w:rPr>
        <w:t xml:space="preserve"> that the probability of </w:t>
      </w:r>
      <w:r w:rsidRPr="00205C75">
        <w:rPr>
          <w:rFonts w:ascii="Times New Roman" w:hAnsi="Times New Roman"/>
          <w:color w:val="000000"/>
          <w:sz w:val="24"/>
          <w:szCs w:val="24"/>
        </w:rPr>
        <w:t>RESID (-1) ^2 (</w:t>
      </w:r>
      <w:r w:rsidRPr="00205C75">
        <w:rPr>
          <w:rFonts w:ascii="Times New Roman" w:hAnsi="Times New Roman"/>
          <w:color w:val="000000"/>
          <w:position w:val="-10"/>
          <w:sz w:val="24"/>
          <w:szCs w:val="24"/>
        </w:rPr>
        <w:object w:dxaOrig="240" w:dyaOrig="320" w14:anchorId="28291433">
          <v:shape id="_x0000_i1040" type="#_x0000_t75" style="width:12pt;height:16.5pt" o:ole="">
            <v:imagedata r:id="rId31" o:title=""/>
          </v:shape>
          <o:OLEObject Type="Embed" ProgID="Equation.DSMT4" ShapeID="_x0000_i1040" DrawAspect="Content" ObjectID="_1817953511" r:id="rId35"/>
        </w:object>
      </w:r>
      <w:r w:rsidRPr="00205C75">
        <w:rPr>
          <w:rFonts w:ascii="Times New Roman" w:hAnsi="Times New Roman"/>
          <w:color w:val="000000"/>
          <w:sz w:val="24"/>
          <w:szCs w:val="24"/>
        </w:rPr>
        <w:t>) (ARCH term) is equal to 0.0026, that is less than 5 percent which means that the ARCH term is significantly predicting volatility in the model. However, the probability of the GARCH (-1)(</w:t>
      </w:r>
      <w:r w:rsidRPr="00205C75">
        <w:rPr>
          <w:rFonts w:ascii="Times New Roman" w:hAnsi="Times New Roman"/>
          <w:color w:val="000000"/>
          <w:position w:val="-10"/>
          <w:sz w:val="24"/>
          <w:szCs w:val="24"/>
        </w:rPr>
        <w:object w:dxaOrig="240" w:dyaOrig="260" w14:anchorId="4AF8B04F">
          <v:shape id="_x0000_i1041" type="#_x0000_t75" style="width:12pt;height:12.75pt" o:ole="">
            <v:imagedata r:id="rId33" o:title=""/>
          </v:shape>
          <o:OLEObject Type="Embed" ProgID="Equation.DSMT4" ShapeID="_x0000_i1041" DrawAspect="Content" ObjectID="_1817953512" r:id="rId36"/>
        </w:object>
      </w:r>
      <w:r w:rsidRPr="00205C75">
        <w:rPr>
          <w:rFonts w:ascii="Times New Roman" w:hAnsi="Times New Roman"/>
          <w:color w:val="000000"/>
          <w:sz w:val="24"/>
          <w:szCs w:val="24"/>
        </w:rPr>
        <w:t>) (GARCH term)</w:t>
      </w:r>
      <w:r>
        <w:rPr>
          <w:rFonts w:ascii="Times New Roman" w:hAnsi="Times New Roman"/>
          <w:color w:val="000000"/>
          <w:sz w:val="24"/>
          <w:szCs w:val="24"/>
        </w:rPr>
        <w:t xml:space="preserve"> is equal to 0.0887 which is great than 5 percent implying that GARCH term is insignificant and cannot predict volatility. The value of the adjusted R-squared is equal to 88.86%. This means that the model 88.86 % healthy.</w:t>
      </w:r>
    </w:p>
    <w:p w14:paraId="6BC08B8F" w14:textId="34F34102" w:rsidR="00D31621" w:rsidRDefault="00D31621" w:rsidP="00812AD2">
      <w:pPr>
        <w:spacing w:line="240" w:lineRule="auto"/>
        <w:rPr>
          <w:rFonts w:ascii="Times New Roman" w:hAnsi="Times New Roman"/>
          <w:sz w:val="24"/>
          <w:szCs w:val="24"/>
        </w:rPr>
      </w:pPr>
      <w:r w:rsidRPr="00083801">
        <w:rPr>
          <w:rFonts w:ascii="Times New Roman" w:hAnsi="Times New Roman"/>
          <w:sz w:val="24"/>
          <w:szCs w:val="24"/>
        </w:rPr>
        <w:t>For a measure of persistence, the coefficient</w:t>
      </w:r>
      <w:r>
        <w:rPr>
          <w:rFonts w:ascii="Times New Roman" w:hAnsi="Times New Roman"/>
          <w:sz w:val="24"/>
          <w:szCs w:val="24"/>
        </w:rPr>
        <w:t xml:space="preserve"> (</w:t>
      </w:r>
      <w:r w:rsidRPr="00083801">
        <w:rPr>
          <w:rFonts w:ascii="Times New Roman" w:hAnsi="Times New Roman"/>
          <w:position w:val="-10"/>
          <w:sz w:val="24"/>
          <w:szCs w:val="24"/>
        </w:rPr>
        <w:object w:dxaOrig="620" w:dyaOrig="320" w14:anchorId="4190A0FD">
          <v:shape id="_x0000_i1042" type="#_x0000_t75" style="width:31.5pt;height:16.5pt" o:ole="">
            <v:imagedata r:id="rId37" o:title=""/>
          </v:shape>
          <o:OLEObject Type="Embed" ProgID="Equation.DSMT4" ShapeID="_x0000_i1042" DrawAspect="Content" ObjectID="_1817953513" r:id="rId38"/>
        </w:object>
      </w:r>
      <w:r>
        <w:rPr>
          <w:rFonts w:ascii="Times New Roman" w:hAnsi="Times New Roman"/>
          <w:sz w:val="24"/>
          <w:szCs w:val="24"/>
        </w:rPr>
        <w:t>) = 0.94</w:t>
      </w:r>
      <w:r w:rsidRPr="00083801">
        <w:rPr>
          <w:rFonts w:ascii="Times New Roman" w:hAnsi="Times New Roman"/>
          <w:sz w:val="24"/>
          <w:szCs w:val="24"/>
        </w:rPr>
        <w:t xml:space="preserve"> show</w:t>
      </w:r>
      <w:r w:rsidR="005F1037">
        <w:rPr>
          <w:rFonts w:ascii="Times New Roman" w:hAnsi="Times New Roman"/>
          <w:sz w:val="24"/>
          <w:szCs w:val="24"/>
        </w:rPr>
        <w:t>ed</w:t>
      </w:r>
      <w:r w:rsidRPr="00083801">
        <w:rPr>
          <w:rFonts w:ascii="Times New Roman" w:hAnsi="Times New Roman"/>
          <w:sz w:val="24"/>
          <w:szCs w:val="24"/>
        </w:rPr>
        <w:t xml:space="preserve"> that there is high persistence in the stock market return series. For impact of </w:t>
      </w:r>
      <w:r>
        <w:rPr>
          <w:rFonts w:ascii="Times New Roman" w:hAnsi="Times New Roman"/>
          <w:sz w:val="24"/>
          <w:szCs w:val="24"/>
        </w:rPr>
        <w:t>shocks, the coefficient of +0.94</w:t>
      </w:r>
      <w:r w:rsidRPr="00083801">
        <w:rPr>
          <w:rFonts w:ascii="Times New Roman" w:hAnsi="Times New Roman"/>
          <w:sz w:val="24"/>
          <w:szCs w:val="24"/>
        </w:rPr>
        <w:t xml:space="preserve"> which is less than one </w:t>
      </w:r>
      <w:r>
        <w:rPr>
          <w:rFonts w:ascii="Times New Roman" w:hAnsi="Times New Roman"/>
          <w:sz w:val="24"/>
          <w:szCs w:val="24"/>
        </w:rPr>
        <w:t xml:space="preserve">indicates </w:t>
      </w:r>
      <w:r w:rsidRPr="00083801">
        <w:rPr>
          <w:rFonts w:ascii="Times New Roman" w:hAnsi="Times New Roman"/>
          <w:sz w:val="24"/>
          <w:szCs w:val="24"/>
        </w:rPr>
        <w:t>that shocks to the stock</w:t>
      </w:r>
      <w:r>
        <w:rPr>
          <w:rFonts w:ascii="Times New Roman" w:hAnsi="Times New Roman"/>
          <w:sz w:val="24"/>
          <w:szCs w:val="24"/>
        </w:rPr>
        <w:t xml:space="preserve"> market</w:t>
      </w:r>
      <w:r w:rsidRPr="00083801">
        <w:rPr>
          <w:rFonts w:ascii="Times New Roman" w:hAnsi="Times New Roman"/>
          <w:sz w:val="24"/>
          <w:szCs w:val="24"/>
        </w:rPr>
        <w:t xml:space="preserve"> returns series do not have a permanent but temporary impact.</w:t>
      </w:r>
      <w:r>
        <w:rPr>
          <w:rFonts w:ascii="Times New Roman" w:hAnsi="Times New Roman"/>
          <w:sz w:val="24"/>
          <w:szCs w:val="24"/>
        </w:rPr>
        <w:t xml:space="preserve"> </w:t>
      </w:r>
      <w:r w:rsidRPr="00083801">
        <w:rPr>
          <w:rFonts w:ascii="Times New Roman" w:hAnsi="Times New Roman"/>
          <w:sz w:val="24"/>
          <w:szCs w:val="24"/>
        </w:rPr>
        <w:t xml:space="preserve">The coefficient </w:t>
      </w:r>
      <w:r>
        <w:rPr>
          <w:rFonts w:ascii="Times New Roman" w:hAnsi="Times New Roman"/>
          <w:sz w:val="24"/>
          <w:szCs w:val="24"/>
        </w:rPr>
        <w:t xml:space="preserve">of </w:t>
      </w:r>
      <w:r w:rsidRPr="009B16C5">
        <w:rPr>
          <w:rFonts w:ascii="Times New Roman" w:hAnsi="Times New Roman"/>
          <w:sz w:val="24"/>
          <w:szCs w:val="24"/>
        </w:rPr>
        <w:t>RGDP</w:t>
      </w:r>
      <w:r w:rsidRPr="00083801">
        <w:rPr>
          <w:rFonts w:ascii="Times New Roman" w:hAnsi="Times New Roman"/>
          <w:sz w:val="24"/>
          <w:szCs w:val="24"/>
        </w:rPr>
        <w:t xml:space="preserve"> measures the relationship between stock market returns and </w:t>
      </w:r>
      <w:r w:rsidRPr="009B16C5">
        <w:rPr>
          <w:rFonts w:ascii="Times New Roman" w:hAnsi="Times New Roman"/>
          <w:sz w:val="24"/>
          <w:szCs w:val="24"/>
        </w:rPr>
        <w:t>RGDP</w:t>
      </w:r>
      <w:r w:rsidRPr="00083801">
        <w:rPr>
          <w:rFonts w:ascii="Times New Roman" w:hAnsi="Times New Roman"/>
          <w:sz w:val="24"/>
          <w:szCs w:val="24"/>
        </w:rPr>
        <w:t>. The coefficient</w:t>
      </w:r>
      <w:r>
        <w:rPr>
          <w:rFonts w:ascii="Times New Roman" w:hAnsi="Times New Roman"/>
          <w:sz w:val="24"/>
          <w:szCs w:val="24"/>
        </w:rPr>
        <w:t xml:space="preserve">s 17.34 and </w:t>
      </w:r>
      <w:r>
        <w:rPr>
          <w:rFonts w:ascii="Times New Roman" w:hAnsi="Times New Roman"/>
          <w:sz w:val="24"/>
          <w:szCs w:val="24"/>
        </w:rPr>
        <w:t xml:space="preserve">probability </w:t>
      </w:r>
      <w:r w:rsidRPr="00083801">
        <w:rPr>
          <w:rFonts w:ascii="Times New Roman" w:hAnsi="Times New Roman"/>
          <w:sz w:val="24"/>
          <w:szCs w:val="24"/>
        </w:rPr>
        <w:t xml:space="preserve">of </w:t>
      </w:r>
      <w:r>
        <w:rPr>
          <w:rFonts w:ascii="Times New Roman" w:hAnsi="Times New Roman"/>
          <w:sz w:val="24"/>
          <w:szCs w:val="24"/>
        </w:rPr>
        <w:t>0.03 indicate</w:t>
      </w:r>
      <w:r w:rsidR="005F1037">
        <w:rPr>
          <w:rFonts w:ascii="Times New Roman" w:hAnsi="Times New Roman"/>
          <w:sz w:val="24"/>
          <w:szCs w:val="24"/>
        </w:rPr>
        <w:t>d</w:t>
      </w:r>
      <w:r>
        <w:rPr>
          <w:rFonts w:ascii="Times New Roman" w:hAnsi="Times New Roman"/>
          <w:sz w:val="24"/>
          <w:szCs w:val="24"/>
        </w:rPr>
        <w:t xml:space="preserve"> a positive and </w:t>
      </w:r>
      <w:r w:rsidR="00812AD2">
        <w:rPr>
          <w:rFonts w:ascii="Times New Roman" w:hAnsi="Times New Roman"/>
          <w:sz w:val="24"/>
          <w:szCs w:val="24"/>
        </w:rPr>
        <w:t>statistically</w:t>
      </w:r>
      <w:r>
        <w:rPr>
          <w:rFonts w:ascii="Times New Roman" w:hAnsi="Times New Roman"/>
          <w:sz w:val="24"/>
          <w:szCs w:val="24"/>
        </w:rPr>
        <w:t xml:space="preserve"> significant relationship between stock market returns and economic growth in Nigeria.</w:t>
      </w:r>
    </w:p>
    <w:p w14:paraId="54B6E8CE" w14:textId="77777777" w:rsidR="00D31621" w:rsidRDefault="00D31621" w:rsidP="00812AD2">
      <w:pPr>
        <w:spacing w:line="240" w:lineRule="auto"/>
        <w:rPr>
          <w:rFonts w:ascii="Times New Roman" w:hAnsi="Times New Roman"/>
          <w:sz w:val="24"/>
          <w:szCs w:val="24"/>
        </w:rPr>
      </w:pPr>
      <w:r w:rsidRPr="00210657">
        <w:rPr>
          <w:rFonts w:ascii="Times New Roman" w:hAnsi="Times New Roman"/>
          <w:sz w:val="24"/>
          <w:szCs w:val="24"/>
        </w:rPr>
        <w:t xml:space="preserve">The result also provides information about the stationarity of </w:t>
      </w:r>
      <w:r>
        <w:rPr>
          <w:rFonts w:ascii="Times New Roman" w:hAnsi="Times New Roman"/>
          <w:sz w:val="24"/>
          <w:szCs w:val="24"/>
        </w:rPr>
        <w:t>the stock market</w:t>
      </w:r>
      <w:r w:rsidRPr="00210657">
        <w:rPr>
          <w:rFonts w:ascii="Times New Roman" w:hAnsi="Times New Roman"/>
          <w:sz w:val="24"/>
          <w:szCs w:val="24"/>
        </w:rPr>
        <w:t xml:space="preserve"> returns series in Nigeria showing that it is a shock dissipating process. A shock to stock market returns on the Nigeria stock exchange persists for a while then decay out in the long run.</w:t>
      </w:r>
      <w:r>
        <w:rPr>
          <w:rFonts w:ascii="Times New Roman" w:hAnsi="Times New Roman"/>
          <w:sz w:val="24"/>
          <w:szCs w:val="24"/>
        </w:rPr>
        <w:t xml:space="preserve"> </w:t>
      </w:r>
      <w:r w:rsidRPr="00210657">
        <w:rPr>
          <w:rFonts w:ascii="Times New Roman" w:hAnsi="Times New Roman"/>
          <w:sz w:val="24"/>
          <w:szCs w:val="24"/>
        </w:rPr>
        <w:t>By implication, since good or bad news has identical impact, either positive or negative shocks will have the same rate of persistence and will equally</w:t>
      </w:r>
      <w:r>
        <w:rPr>
          <w:rFonts w:ascii="Times New Roman" w:hAnsi="Times New Roman"/>
          <w:sz w:val="24"/>
          <w:szCs w:val="24"/>
        </w:rPr>
        <w:t xml:space="preserve"> </w:t>
      </w:r>
      <w:r w:rsidRPr="00210657">
        <w:rPr>
          <w:rFonts w:ascii="Times New Roman" w:hAnsi="Times New Roman"/>
          <w:sz w:val="24"/>
          <w:szCs w:val="24"/>
        </w:rPr>
        <w:t>decay out in the long run</w:t>
      </w:r>
      <w:r>
        <w:rPr>
          <w:rFonts w:ascii="Times New Roman" w:hAnsi="Times New Roman"/>
          <w:sz w:val="24"/>
          <w:szCs w:val="24"/>
        </w:rPr>
        <w:t>.</w:t>
      </w:r>
    </w:p>
    <w:p w14:paraId="080E0A6B" w14:textId="77777777" w:rsidR="00D31621" w:rsidRPr="008C6C1C" w:rsidRDefault="00D31621" w:rsidP="00812AD2">
      <w:pPr>
        <w:spacing w:after="0" w:line="240" w:lineRule="auto"/>
        <w:rPr>
          <w:rFonts w:ascii="Times New Roman" w:hAnsi="Times New Roman"/>
          <w:b/>
          <w:sz w:val="24"/>
          <w:szCs w:val="24"/>
        </w:rPr>
      </w:pPr>
      <w:r>
        <w:rPr>
          <w:rFonts w:ascii="Times New Roman" w:hAnsi="Times New Roman"/>
          <w:b/>
          <w:sz w:val="24"/>
          <w:szCs w:val="24"/>
        </w:rPr>
        <w:t>Validation of the Model</w:t>
      </w:r>
    </w:p>
    <w:p w14:paraId="1DB26DB6" w14:textId="576560D0" w:rsidR="00D31621" w:rsidRDefault="00D31621" w:rsidP="00812AD2">
      <w:pPr>
        <w:spacing w:after="0" w:line="240" w:lineRule="auto"/>
        <w:rPr>
          <w:rFonts w:ascii="Times New Roman" w:hAnsi="Times New Roman"/>
          <w:sz w:val="24"/>
          <w:szCs w:val="24"/>
        </w:rPr>
      </w:pPr>
      <w:r>
        <w:rPr>
          <w:rFonts w:ascii="Times New Roman" w:hAnsi="Times New Roman"/>
          <w:sz w:val="24"/>
          <w:szCs w:val="24"/>
        </w:rPr>
        <w:t xml:space="preserve">The model is validated by </w:t>
      </w:r>
      <w:r w:rsidRPr="008C6C1C">
        <w:rPr>
          <w:rFonts w:ascii="Times New Roman" w:hAnsi="Times New Roman"/>
          <w:sz w:val="24"/>
          <w:szCs w:val="24"/>
        </w:rPr>
        <w:t>check</w:t>
      </w:r>
      <w:r>
        <w:rPr>
          <w:rFonts w:ascii="Times New Roman" w:hAnsi="Times New Roman"/>
          <w:sz w:val="24"/>
          <w:szCs w:val="24"/>
        </w:rPr>
        <w:t>ing</w:t>
      </w:r>
      <w:r w:rsidRPr="008C6C1C">
        <w:rPr>
          <w:rFonts w:ascii="Times New Roman" w:hAnsi="Times New Roman"/>
          <w:sz w:val="24"/>
          <w:szCs w:val="24"/>
        </w:rPr>
        <w:t xml:space="preserve"> if </w:t>
      </w:r>
      <w:r>
        <w:rPr>
          <w:rFonts w:ascii="Times New Roman" w:hAnsi="Times New Roman"/>
          <w:sz w:val="24"/>
          <w:szCs w:val="24"/>
        </w:rPr>
        <w:t xml:space="preserve">it </w:t>
      </w:r>
      <w:r w:rsidRPr="008C6C1C">
        <w:rPr>
          <w:rFonts w:ascii="Times New Roman" w:hAnsi="Times New Roman"/>
          <w:sz w:val="24"/>
          <w:szCs w:val="24"/>
        </w:rPr>
        <w:t>is still ensued with heteroskedasticity</w:t>
      </w:r>
      <w:r>
        <w:rPr>
          <w:rFonts w:ascii="Times New Roman" w:hAnsi="Times New Roman"/>
          <w:sz w:val="24"/>
          <w:szCs w:val="24"/>
        </w:rPr>
        <w:t xml:space="preserve">. This </w:t>
      </w:r>
      <w:r w:rsidRPr="008C6C1C">
        <w:rPr>
          <w:rFonts w:ascii="Times New Roman" w:hAnsi="Times New Roman"/>
          <w:sz w:val="24"/>
          <w:szCs w:val="24"/>
        </w:rPr>
        <w:t>entails carrying out an autoregressive conditional heteroskedasticity</w:t>
      </w:r>
      <w:r>
        <w:rPr>
          <w:rFonts w:ascii="Times New Roman" w:hAnsi="Times New Roman"/>
          <w:sz w:val="24"/>
          <w:szCs w:val="24"/>
        </w:rPr>
        <w:t xml:space="preserve"> (ARCH)</w:t>
      </w:r>
      <w:r w:rsidRPr="008C6C1C">
        <w:rPr>
          <w:rFonts w:ascii="Times New Roman" w:hAnsi="Times New Roman"/>
          <w:sz w:val="24"/>
          <w:szCs w:val="24"/>
        </w:rPr>
        <w:t xml:space="preserve"> test on the </w:t>
      </w:r>
      <w:r>
        <w:rPr>
          <w:rFonts w:ascii="Times New Roman" w:hAnsi="Times New Roman"/>
          <w:sz w:val="24"/>
          <w:szCs w:val="24"/>
        </w:rPr>
        <w:t>exponential</w:t>
      </w:r>
      <w:r w:rsidRPr="008C6C1C">
        <w:rPr>
          <w:rFonts w:ascii="Times New Roman" w:hAnsi="Times New Roman"/>
          <w:sz w:val="24"/>
          <w:szCs w:val="24"/>
        </w:rPr>
        <w:t xml:space="preserve"> generalized autoregressive conditional heteroskedasticity (E-GARCH) model to </w:t>
      </w:r>
      <w:r>
        <w:rPr>
          <w:rFonts w:ascii="Times New Roman" w:hAnsi="Times New Roman"/>
          <w:sz w:val="24"/>
          <w:szCs w:val="24"/>
        </w:rPr>
        <w:t>ascertain</w:t>
      </w:r>
      <w:r w:rsidRPr="008C6C1C">
        <w:rPr>
          <w:rFonts w:ascii="Times New Roman" w:hAnsi="Times New Roman"/>
          <w:sz w:val="24"/>
          <w:szCs w:val="24"/>
        </w:rPr>
        <w:t xml:space="preserve"> if volatility is still prevalent in the model. The </w:t>
      </w:r>
      <w:r>
        <w:rPr>
          <w:rFonts w:ascii="Times New Roman" w:hAnsi="Times New Roman"/>
          <w:sz w:val="24"/>
          <w:szCs w:val="24"/>
        </w:rPr>
        <w:t>result of the post estimation test</w:t>
      </w:r>
      <w:r w:rsidRPr="008C6C1C">
        <w:rPr>
          <w:rFonts w:ascii="Times New Roman" w:hAnsi="Times New Roman"/>
          <w:sz w:val="24"/>
          <w:szCs w:val="24"/>
        </w:rPr>
        <w:t xml:space="preserve"> is presented</w:t>
      </w:r>
      <w:r>
        <w:rPr>
          <w:rFonts w:ascii="Times New Roman" w:hAnsi="Times New Roman"/>
          <w:sz w:val="24"/>
          <w:szCs w:val="24"/>
        </w:rPr>
        <w:t xml:space="preserve"> in table </w:t>
      </w:r>
      <w:r w:rsidR="00AD25CA">
        <w:rPr>
          <w:rFonts w:ascii="Times New Roman" w:hAnsi="Times New Roman"/>
          <w:sz w:val="24"/>
          <w:szCs w:val="24"/>
        </w:rPr>
        <w:t>7</w:t>
      </w:r>
      <w:r>
        <w:rPr>
          <w:rFonts w:ascii="Times New Roman" w:hAnsi="Times New Roman"/>
          <w:sz w:val="24"/>
          <w:szCs w:val="24"/>
        </w:rPr>
        <w:t>.</w:t>
      </w:r>
    </w:p>
    <w:p w14:paraId="0ADC0D38" w14:textId="77777777" w:rsidR="00812AD2" w:rsidRDefault="00812AD2" w:rsidP="00C45F51">
      <w:pPr>
        <w:autoSpaceDE w:val="0"/>
        <w:autoSpaceDN w:val="0"/>
        <w:adjustRightInd w:val="0"/>
        <w:spacing w:after="0" w:line="240" w:lineRule="auto"/>
        <w:rPr>
          <w:rFonts w:ascii="Times New Roman" w:hAnsi="Times New Roman"/>
          <w:b/>
          <w:color w:val="000000"/>
          <w:sz w:val="24"/>
          <w:szCs w:val="24"/>
        </w:rPr>
        <w:sectPr w:rsidR="00812AD2" w:rsidSect="00812AD2">
          <w:type w:val="continuous"/>
          <w:pgSz w:w="12240" w:h="15840"/>
          <w:pgMar w:top="1135" w:right="1440" w:bottom="1440" w:left="1440" w:header="720" w:footer="720" w:gutter="0"/>
          <w:cols w:num="2" w:space="720"/>
          <w:docGrid w:linePitch="360"/>
        </w:sectPr>
      </w:pPr>
    </w:p>
    <w:tbl>
      <w:tblPr>
        <w:tblW w:w="0" w:type="auto"/>
        <w:tblInd w:w="803" w:type="dxa"/>
        <w:tblLayout w:type="fixed"/>
        <w:tblCellMar>
          <w:left w:w="0" w:type="dxa"/>
          <w:right w:w="0" w:type="dxa"/>
        </w:tblCellMar>
        <w:tblLook w:val="0000" w:firstRow="0" w:lastRow="0" w:firstColumn="0" w:lastColumn="0" w:noHBand="0" w:noVBand="0"/>
      </w:tblPr>
      <w:tblGrid>
        <w:gridCol w:w="2382"/>
        <w:gridCol w:w="1303"/>
        <w:gridCol w:w="2020"/>
        <w:gridCol w:w="1427"/>
        <w:gridCol w:w="912"/>
      </w:tblGrid>
      <w:tr w:rsidR="00D31621" w14:paraId="0C283D39" w14:textId="77777777" w:rsidTr="00812AD2">
        <w:trPr>
          <w:trHeight w:val="222"/>
        </w:trPr>
        <w:tc>
          <w:tcPr>
            <w:tcW w:w="5705" w:type="dxa"/>
            <w:gridSpan w:val="3"/>
            <w:tcBorders>
              <w:top w:val="nil"/>
              <w:left w:val="nil"/>
              <w:bottom w:val="nil"/>
              <w:right w:val="nil"/>
            </w:tcBorders>
            <w:vAlign w:val="bottom"/>
          </w:tcPr>
          <w:p w14:paraId="0BC4C0A3" w14:textId="77777777" w:rsidR="00812AD2" w:rsidRDefault="00812AD2" w:rsidP="00C45F51">
            <w:pPr>
              <w:autoSpaceDE w:val="0"/>
              <w:autoSpaceDN w:val="0"/>
              <w:adjustRightInd w:val="0"/>
              <w:spacing w:after="0" w:line="240" w:lineRule="auto"/>
              <w:rPr>
                <w:rFonts w:ascii="Times New Roman" w:hAnsi="Times New Roman"/>
                <w:b/>
                <w:color w:val="000000"/>
                <w:sz w:val="24"/>
                <w:szCs w:val="24"/>
              </w:rPr>
            </w:pPr>
          </w:p>
          <w:p w14:paraId="6127937E" w14:textId="7311C523" w:rsidR="00D31621" w:rsidRDefault="00D31621" w:rsidP="00C45F51">
            <w:pPr>
              <w:autoSpaceDE w:val="0"/>
              <w:autoSpaceDN w:val="0"/>
              <w:adjustRightInd w:val="0"/>
              <w:spacing w:after="0" w:line="240" w:lineRule="auto"/>
              <w:rPr>
                <w:rFonts w:ascii="Times New Roman" w:hAnsi="Times New Roman"/>
                <w:b/>
                <w:color w:val="000000"/>
                <w:sz w:val="24"/>
                <w:szCs w:val="24"/>
              </w:rPr>
            </w:pPr>
            <w:r w:rsidRPr="004F4835">
              <w:rPr>
                <w:rFonts w:ascii="Times New Roman" w:hAnsi="Times New Roman"/>
                <w:b/>
                <w:color w:val="000000"/>
                <w:sz w:val="24"/>
                <w:szCs w:val="24"/>
              </w:rPr>
              <w:t>Table</w:t>
            </w:r>
            <w:r>
              <w:rPr>
                <w:rFonts w:ascii="Times New Roman" w:hAnsi="Times New Roman"/>
                <w:b/>
                <w:color w:val="000000"/>
                <w:sz w:val="24"/>
                <w:szCs w:val="24"/>
              </w:rPr>
              <w:t xml:space="preserve"> </w:t>
            </w:r>
            <w:r w:rsidR="00AD25CA">
              <w:rPr>
                <w:rFonts w:ascii="Times New Roman" w:hAnsi="Times New Roman"/>
                <w:b/>
                <w:color w:val="000000"/>
                <w:sz w:val="24"/>
                <w:szCs w:val="24"/>
              </w:rPr>
              <w:t>7</w:t>
            </w:r>
            <w:r w:rsidRPr="004F4835">
              <w:rPr>
                <w:rFonts w:ascii="Times New Roman" w:hAnsi="Times New Roman"/>
                <w:b/>
                <w:color w:val="000000"/>
                <w:sz w:val="24"/>
                <w:szCs w:val="24"/>
              </w:rPr>
              <w:t xml:space="preserve">: </w:t>
            </w:r>
            <w:r>
              <w:rPr>
                <w:rFonts w:ascii="Times New Roman" w:hAnsi="Times New Roman"/>
                <w:b/>
                <w:color w:val="000000"/>
                <w:sz w:val="24"/>
                <w:szCs w:val="24"/>
              </w:rPr>
              <w:t xml:space="preserve">Post-estimation </w:t>
            </w:r>
            <w:r w:rsidRPr="004F4835">
              <w:rPr>
                <w:rFonts w:ascii="Times New Roman" w:hAnsi="Times New Roman"/>
                <w:b/>
                <w:color w:val="000000"/>
                <w:sz w:val="24"/>
                <w:szCs w:val="24"/>
              </w:rPr>
              <w:t>Heteroskedasticity Test: ARCH</w:t>
            </w:r>
          </w:p>
          <w:p w14:paraId="46522157" w14:textId="77777777" w:rsidR="00D31621" w:rsidRPr="004F4835" w:rsidRDefault="00D31621" w:rsidP="00C45F51">
            <w:pPr>
              <w:autoSpaceDE w:val="0"/>
              <w:autoSpaceDN w:val="0"/>
              <w:adjustRightInd w:val="0"/>
              <w:spacing w:after="0" w:line="240" w:lineRule="auto"/>
              <w:rPr>
                <w:rFonts w:ascii="Times New Roman" w:hAnsi="Times New Roman"/>
                <w:b/>
                <w:color w:val="000000"/>
                <w:sz w:val="24"/>
                <w:szCs w:val="24"/>
              </w:rPr>
            </w:pPr>
          </w:p>
        </w:tc>
        <w:tc>
          <w:tcPr>
            <w:tcW w:w="1427" w:type="dxa"/>
            <w:tcBorders>
              <w:top w:val="nil"/>
              <w:left w:val="nil"/>
              <w:bottom w:val="nil"/>
              <w:right w:val="nil"/>
            </w:tcBorders>
            <w:vAlign w:val="bottom"/>
          </w:tcPr>
          <w:p w14:paraId="57D5D4E8"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912" w:type="dxa"/>
            <w:tcBorders>
              <w:top w:val="nil"/>
              <w:left w:val="nil"/>
              <w:bottom w:val="nil"/>
              <w:right w:val="nil"/>
            </w:tcBorders>
            <w:vAlign w:val="bottom"/>
          </w:tcPr>
          <w:p w14:paraId="41559B01"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r>
      <w:tr w:rsidR="00D31621" w14:paraId="51F92F88" w14:textId="77777777" w:rsidTr="00812AD2">
        <w:trPr>
          <w:trHeight w:hRule="exact" w:val="88"/>
        </w:trPr>
        <w:tc>
          <w:tcPr>
            <w:tcW w:w="2382" w:type="dxa"/>
            <w:tcBorders>
              <w:top w:val="nil"/>
              <w:left w:val="nil"/>
              <w:bottom w:val="double" w:sz="6" w:space="2" w:color="auto"/>
              <w:right w:val="nil"/>
            </w:tcBorders>
            <w:vAlign w:val="bottom"/>
          </w:tcPr>
          <w:p w14:paraId="7EC16E99"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1303" w:type="dxa"/>
            <w:tcBorders>
              <w:top w:val="nil"/>
              <w:left w:val="nil"/>
              <w:bottom w:val="double" w:sz="6" w:space="2" w:color="auto"/>
              <w:right w:val="nil"/>
            </w:tcBorders>
            <w:vAlign w:val="bottom"/>
          </w:tcPr>
          <w:p w14:paraId="5DBCDAF1"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2020" w:type="dxa"/>
            <w:tcBorders>
              <w:top w:val="nil"/>
              <w:left w:val="nil"/>
              <w:bottom w:val="double" w:sz="6" w:space="2" w:color="auto"/>
              <w:right w:val="nil"/>
            </w:tcBorders>
            <w:vAlign w:val="bottom"/>
          </w:tcPr>
          <w:p w14:paraId="31283707"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1427" w:type="dxa"/>
            <w:tcBorders>
              <w:top w:val="nil"/>
              <w:left w:val="nil"/>
              <w:bottom w:val="double" w:sz="6" w:space="2" w:color="auto"/>
              <w:right w:val="nil"/>
            </w:tcBorders>
            <w:vAlign w:val="bottom"/>
          </w:tcPr>
          <w:p w14:paraId="6ED3DB76"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912" w:type="dxa"/>
            <w:tcBorders>
              <w:top w:val="nil"/>
              <w:left w:val="nil"/>
              <w:bottom w:val="double" w:sz="6" w:space="2" w:color="auto"/>
              <w:right w:val="nil"/>
            </w:tcBorders>
            <w:vAlign w:val="bottom"/>
          </w:tcPr>
          <w:p w14:paraId="5097287D"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r>
      <w:tr w:rsidR="00D31621" w14:paraId="16F20930" w14:textId="77777777" w:rsidTr="00812AD2">
        <w:trPr>
          <w:trHeight w:hRule="exact" w:val="133"/>
        </w:trPr>
        <w:tc>
          <w:tcPr>
            <w:tcW w:w="2382" w:type="dxa"/>
            <w:tcBorders>
              <w:top w:val="nil"/>
              <w:left w:val="nil"/>
              <w:bottom w:val="nil"/>
              <w:right w:val="nil"/>
            </w:tcBorders>
            <w:vAlign w:val="bottom"/>
          </w:tcPr>
          <w:p w14:paraId="5FA1525D"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1303" w:type="dxa"/>
            <w:tcBorders>
              <w:top w:val="nil"/>
              <w:left w:val="nil"/>
              <w:bottom w:val="nil"/>
              <w:right w:val="nil"/>
            </w:tcBorders>
            <w:vAlign w:val="bottom"/>
          </w:tcPr>
          <w:p w14:paraId="4AE1B172"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2020" w:type="dxa"/>
            <w:tcBorders>
              <w:top w:val="nil"/>
              <w:left w:val="nil"/>
              <w:bottom w:val="nil"/>
              <w:right w:val="nil"/>
            </w:tcBorders>
            <w:vAlign w:val="bottom"/>
          </w:tcPr>
          <w:p w14:paraId="4F613F53"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1427" w:type="dxa"/>
            <w:tcBorders>
              <w:top w:val="nil"/>
              <w:left w:val="nil"/>
              <w:bottom w:val="nil"/>
              <w:right w:val="nil"/>
            </w:tcBorders>
            <w:vAlign w:val="bottom"/>
          </w:tcPr>
          <w:p w14:paraId="60C735FB"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912" w:type="dxa"/>
            <w:tcBorders>
              <w:top w:val="nil"/>
              <w:left w:val="nil"/>
              <w:bottom w:val="nil"/>
              <w:right w:val="nil"/>
            </w:tcBorders>
            <w:vAlign w:val="bottom"/>
          </w:tcPr>
          <w:p w14:paraId="556ECE6D"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r>
      <w:tr w:rsidR="00D31621" w14:paraId="1D824F04" w14:textId="77777777" w:rsidTr="00812AD2">
        <w:trPr>
          <w:trHeight w:val="222"/>
        </w:trPr>
        <w:tc>
          <w:tcPr>
            <w:tcW w:w="2382" w:type="dxa"/>
            <w:tcBorders>
              <w:top w:val="nil"/>
              <w:left w:val="nil"/>
              <w:bottom w:val="nil"/>
              <w:right w:val="nil"/>
            </w:tcBorders>
            <w:vAlign w:val="bottom"/>
          </w:tcPr>
          <w:p w14:paraId="5E5724E4" w14:textId="77777777" w:rsidR="00D31621" w:rsidRDefault="00D31621" w:rsidP="00C45F51">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F-statistic</w:t>
            </w:r>
          </w:p>
        </w:tc>
        <w:tc>
          <w:tcPr>
            <w:tcW w:w="1303" w:type="dxa"/>
            <w:tcBorders>
              <w:top w:val="nil"/>
              <w:left w:val="nil"/>
              <w:bottom w:val="nil"/>
              <w:right w:val="nil"/>
            </w:tcBorders>
            <w:vAlign w:val="bottom"/>
          </w:tcPr>
          <w:p w14:paraId="502F3058" w14:textId="77777777" w:rsidR="00D31621" w:rsidRDefault="00D31621" w:rsidP="00C45F51">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0.004997</w:t>
            </w:r>
          </w:p>
        </w:tc>
        <w:tc>
          <w:tcPr>
            <w:tcW w:w="3447" w:type="dxa"/>
            <w:gridSpan w:val="2"/>
            <w:tcBorders>
              <w:top w:val="nil"/>
              <w:left w:val="nil"/>
              <w:bottom w:val="nil"/>
              <w:right w:val="nil"/>
            </w:tcBorders>
            <w:vAlign w:val="bottom"/>
          </w:tcPr>
          <w:p w14:paraId="3D5E80ED" w14:textId="77777777" w:rsidR="00D31621" w:rsidRDefault="00D31621" w:rsidP="00C45F51">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Prob. F(1,124)</w:t>
            </w:r>
          </w:p>
        </w:tc>
        <w:tc>
          <w:tcPr>
            <w:tcW w:w="912" w:type="dxa"/>
            <w:tcBorders>
              <w:top w:val="nil"/>
              <w:left w:val="nil"/>
              <w:bottom w:val="nil"/>
              <w:right w:val="nil"/>
            </w:tcBorders>
            <w:vAlign w:val="bottom"/>
          </w:tcPr>
          <w:p w14:paraId="6D84DF95" w14:textId="77777777" w:rsidR="00D31621" w:rsidRDefault="00D31621" w:rsidP="00C45F51">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0.9994</w:t>
            </w:r>
          </w:p>
        </w:tc>
      </w:tr>
      <w:tr w:rsidR="00D31621" w14:paraId="73983814" w14:textId="77777777" w:rsidTr="00812AD2">
        <w:trPr>
          <w:trHeight w:val="222"/>
        </w:trPr>
        <w:tc>
          <w:tcPr>
            <w:tcW w:w="2382" w:type="dxa"/>
            <w:tcBorders>
              <w:top w:val="nil"/>
              <w:left w:val="nil"/>
              <w:bottom w:val="nil"/>
              <w:right w:val="nil"/>
            </w:tcBorders>
            <w:vAlign w:val="bottom"/>
          </w:tcPr>
          <w:p w14:paraId="2B1E17E8" w14:textId="77777777" w:rsidR="00D31621" w:rsidRDefault="00D31621" w:rsidP="00C45F51">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Obs*R-squared</w:t>
            </w:r>
          </w:p>
        </w:tc>
        <w:tc>
          <w:tcPr>
            <w:tcW w:w="1303" w:type="dxa"/>
            <w:tcBorders>
              <w:top w:val="nil"/>
              <w:left w:val="nil"/>
              <w:bottom w:val="nil"/>
              <w:right w:val="nil"/>
            </w:tcBorders>
            <w:vAlign w:val="bottom"/>
          </w:tcPr>
          <w:p w14:paraId="3C87F5C0" w14:textId="77777777" w:rsidR="00D31621" w:rsidRDefault="00D31621" w:rsidP="00C45F51">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0.072107</w:t>
            </w:r>
          </w:p>
        </w:tc>
        <w:tc>
          <w:tcPr>
            <w:tcW w:w="3447" w:type="dxa"/>
            <w:gridSpan w:val="2"/>
            <w:tcBorders>
              <w:top w:val="nil"/>
              <w:left w:val="nil"/>
              <w:bottom w:val="nil"/>
              <w:right w:val="nil"/>
            </w:tcBorders>
            <w:vAlign w:val="bottom"/>
          </w:tcPr>
          <w:p w14:paraId="46EB91C1" w14:textId="77777777" w:rsidR="00D31621" w:rsidRDefault="00D31621" w:rsidP="00C45F51">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Prob. Chi-Square(1)</w:t>
            </w:r>
          </w:p>
        </w:tc>
        <w:tc>
          <w:tcPr>
            <w:tcW w:w="912" w:type="dxa"/>
            <w:tcBorders>
              <w:top w:val="nil"/>
              <w:left w:val="nil"/>
              <w:bottom w:val="nil"/>
              <w:right w:val="nil"/>
            </w:tcBorders>
            <w:vAlign w:val="bottom"/>
          </w:tcPr>
          <w:p w14:paraId="56436C22" w14:textId="77777777" w:rsidR="00D31621" w:rsidRDefault="00D31621" w:rsidP="00C45F51">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0.9994</w:t>
            </w:r>
          </w:p>
        </w:tc>
      </w:tr>
      <w:tr w:rsidR="00D31621" w14:paraId="2AA11E29" w14:textId="77777777" w:rsidTr="00812AD2">
        <w:trPr>
          <w:trHeight w:hRule="exact" w:val="88"/>
        </w:trPr>
        <w:tc>
          <w:tcPr>
            <w:tcW w:w="2382" w:type="dxa"/>
            <w:tcBorders>
              <w:top w:val="nil"/>
              <w:left w:val="nil"/>
              <w:bottom w:val="double" w:sz="6" w:space="2" w:color="auto"/>
              <w:right w:val="nil"/>
            </w:tcBorders>
            <w:vAlign w:val="bottom"/>
          </w:tcPr>
          <w:p w14:paraId="31AC4E67"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1303" w:type="dxa"/>
            <w:tcBorders>
              <w:top w:val="nil"/>
              <w:left w:val="nil"/>
              <w:bottom w:val="double" w:sz="6" w:space="2" w:color="auto"/>
              <w:right w:val="nil"/>
            </w:tcBorders>
            <w:vAlign w:val="bottom"/>
          </w:tcPr>
          <w:p w14:paraId="3A489811"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2020" w:type="dxa"/>
            <w:tcBorders>
              <w:top w:val="nil"/>
              <w:left w:val="nil"/>
              <w:bottom w:val="double" w:sz="6" w:space="2" w:color="auto"/>
              <w:right w:val="nil"/>
            </w:tcBorders>
            <w:vAlign w:val="bottom"/>
          </w:tcPr>
          <w:p w14:paraId="0DFE8511"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1427" w:type="dxa"/>
            <w:tcBorders>
              <w:top w:val="nil"/>
              <w:left w:val="nil"/>
              <w:bottom w:val="double" w:sz="6" w:space="2" w:color="auto"/>
              <w:right w:val="nil"/>
            </w:tcBorders>
            <w:vAlign w:val="bottom"/>
          </w:tcPr>
          <w:p w14:paraId="78439C30"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912" w:type="dxa"/>
            <w:tcBorders>
              <w:top w:val="nil"/>
              <w:left w:val="nil"/>
              <w:bottom w:val="double" w:sz="6" w:space="2" w:color="auto"/>
              <w:right w:val="nil"/>
            </w:tcBorders>
            <w:vAlign w:val="bottom"/>
          </w:tcPr>
          <w:p w14:paraId="54CBD46C"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r>
      <w:tr w:rsidR="00D31621" w14:paraId="6E2F6D7F" w14:textId="77777777" w:rsidTr="00812AD2">
        <w:trPr>
          <w:trHeight w:hRule="exact" w:val="133"/>
        </w:trPr>
        <w:tc>
          <w:tcPr>
            <w:tcW w:w="2382" w:type="dxa"/>
            <w:tcBorders>
              <w:top w:val="nil"/>
              <w:left w:val="nil"/>
              <w:bottom w:val="nil"/>
              <w:right w:val="nil"/>
            </w:tcBorders>
            <w:vAlign w:val="bottom"/>
          </w:tcPr>
          <w:p w14:paraId="020EC618"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1303" w:type="dxa"/>
            <w:tcBorders>
              <w:top w:val="nil"/>
              <w:left w:val="nil"/>
              <w:bottom w:val="nil"/>
              <w:right w:val="nil"/>
            </w:tcBorders>
            <w:vAlign w:val="bottom"/>
          </w:tcPr>
          <w:p w14:paraId="0BD226DE"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2020" w:type="dxa"/>
            <w:tcBorders>
              <w:top w:val="nil"/>
              <w:left w:val="nil"/>
              <w:bottom w:val="nil"/>
              <w:right w:val="nil"/>
            </w:tcBorders>
            <w:vAlign w:val="bottom"/>
          </w:tcPr>
          <w:p w14:paraId="1829C335"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1427" w:type="dxa"/>
            <w:tcBorders>
              <w:top w:val="nil"/>
              <w:left w:val="nil"/>
              <w:bottom w:val="nil"/>
              <w:right w:val="nil"/>
            </w:tcBorders>
            <w:vAlign w:val="bottom"/>
          </w:tcPr>
          <w:p w14:paraId="15328756"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c>
          <w:tcPr>
            <w:tcW w:w="912" w:type="dxa"/>
            <w:tcBorders>
              <w:top w:val="nil"/>
              <w:left w:val="nil"/>
              <w:bottom w:val="nil"/>
              <w:right w:val="nil"/>
            </w:tcBorders>
            <w:vAlign w:val="bottom"/>
          </w:tcPr>
          <w:p w14:paraId="4E7EB696" w14:textId="77777777" w:rsidR="00D31621" w:rsidRDefault="00D31621" w:rsidP="00C45F51">
            <w:pPr>
              <w:autoSpaceDE w:val="0"/>
              <w:autoSpaceDN w:val="0"/>
              <w:adjustRightInd w:val="0"/>
              <w:spacing w:after="0" w:line="240" w:lineRule="auto"/>
              <w:rPr>
                <w:rFonts w:ascii="Arial" w:hAnsi="Arial" w:cs="Arial"/>
                <w:color w:val="000000"/>
                <w:sz w:val="18"/>
                <w:szCs w:val="18"/>
              </w:rPr>
            </w:pPr>
          </w:p>
        </w:tc>
      </w:tr>
      <w:tr w:rsidR="00D31621" w:rsidRPr="00954118" w14:paraId="0E2CD49A" w14:textId="77777777" w:rsidTr="00812AD2">
        <w:trPr>
          <w:trHeight w:val="222"/>
        </w:trPr>
        <w:tc>
          <w:tcPr>
            <w:tcW w:w="8044" w:type="dxa"/>
            <w:gridSpan w:val="5"/>
            <w:tcBorders>
              <w:top w:val="nil"/>
              <w:left w:val="nil"/>
              <w:bottom w:val="nil"/>
              <w:right w:val="nil"/>
            </w:tcBorders>
            <w:vAlign w:val="bottom"/>
          </w:tcPr>
          <w:p w14:paraId="2C8890EE" w14:textId="77777777" w:rsidR="00D31621" w:rsidRPr="00812AD2" w:rsidRDefault="00D31621" w:rsidP="00C45F51">
            <w:pPr>
              <w:autoSpaceDE w:val="0"/>
              <w:autoSpaceDN w:val="0"/>
              <w:adjustRightInd w:val="0"/>
              <w:spacing w:after="0" w:line="240" w:lineRule="auto"/>
              <w:rPr>
                <w:rFonts w:ascii="Times New Roman" w:hAnsi="Times New Roman"/>
                <w:b/>
                <w:bCs/>
                <w:color w:val="000000"/>
                <w:sz w:val="20"/>
                <w:szCs w:val="20"/>
              </w:rPr>
            </w:pPr>
            <w:r w:rsidRPr="00812AD2">
              <w:rPr>
                <w:rFonts w:ascii="Times New Roman" w:hAnsi="Times New Roman"/>
                <w:b/>
                <w:bCs/>
                <w:sz w:val="20"/>
                <w:szCs w:val="20"/>
              </w:rPr>
              <w:t>Source: Author’s Computation using Eviews 10</w:t>
            </w:r>
          </w:p>
        </w:tc>
      </w:tr>
    </w:tbl>
    <w:p w14:paraId="68E4DF20" w14:textId="77777777" w:rsidR="00743BF1" w:rsidRPr="00743BF1" w:rsidRDefault="00743BF1" w:rsidP="00C45F51">
      <w:pPr>
        <w:spacing w:line="240" w:lineRule="auto"/>
        <w:jc w:val="both"/>
        <w:rPr>
          <w:rFonts w:ascii="Times New Roman" w:hAnsi="Times New Roman"/>
          <w:sz w:val="2"/>
          <w:szCs w:val="24"/>
        </w:rPr>
      </w:pPr>
    </w:p>
    <w:p w14:paraId="13ED5D02" w14:textId="77777777" w:rsidR="00812AD2" w:rsidRDefault="00812AD2" w:rsidP="00812AD2">
      <w:pPr>
        <w:spacing w:line="240" w:lineRule="auto"/>
        <w:rPr>
          <w:rFonts w:ascii="Times New Roman" w:hAnsi="Times New Roman"/>
          <w:sz w:val="24"/>
          <w:szCs w:val="24"/>
        </w:rPr>
        <w:sectPr w:rsidR="00812AD2" w:rsidSect="004267E7">
          <w:type w:val="continuous"/>
          <w:pgSz w:w="12240" w:h="15840"/>
          <w:pgMar w:top="1135" w:right="1440" w:bottom="1440" w:left="1440" w:header="720" w:footer="720" w:gutter="0"/>
          <w:cols w:space="720"/>
          <w:docGrid w:linePitch="360"/>
        </w:sectPr>
      </w:pPr>
    </w:p>
    <w:p w14:paraId="2F50BDE5" w14:textId="2B0F961D" w:rsidR="00D31621" w:rsidRPr="00220A65" w:rsidRDefault="00D31621" w:rsidP="00812AD2">
      <w:pPr>
        <w:spacing w:line="240" w:lineRule="auto"/>
        <w:rPr>
          <w:rFonts w:ascii="Times New Roman" w:hAnsi="Times New Roman"/>
          <w:sz w:val="24"/>
          <w:szCs w:val="24"/>
        </w:rPr>
      </w:pPr>
      <w:r>
        <w:rPr>
          <w:rFonts w:ascii="Times New Roman" w:hAnsi="Times New Roman"/>
          <w:sz w:val="24"/>
          <w:szCs w:val="24"/>
        </w:rPr>
        <w:t>T</w:t>
      </w:r>
      <w:r w:rsidRPr="008C6C1C">
        <w:rPr>
          <w:rFonts w:ascii="Times New Roman" w:hAnsi="Times New Roman"/>
          <w:sz w:val="24"/>
          <w:szCs w:val="24"/>
        </w:rPr>
        <w:t xml:space="preserve">he F-statistic value </w:t>
      </w:r>
      <w:r>
        <w:rPr>
          <w:rFonts w:ascii="Times New Roman" w:hAnsi="Times New Roman"/>
          <w:sz w:val="24"/>
          <w:szCs w:val="24"/>
        </w:rPr>
        <w:t xml:space="preserve">0.004997 </w:t>
      </w:r>
      <w:r w:rsidRPr="008C6C1C">
        <w:rPr>
          <w:rFonts w:ascii="Times New Roman" w:hAnsi="Times New Roman"/>
          <w:sz w:val="24"/>
          <w:szCs w:val="24"/>
        </w:rPr>
        <w:t xml:space="preserve">and its probability of </w:t>
      </w:r>
      <w:r w:rsidRPr="004F4835">
        <w:rPr>
          <w:rFonts w:ascii="Times New Roman" w:hAnsi="Times New Roman"/>
          <w:sz w:val="24"/>
          <w:szCs w:val="24"/>
        </w:rPr>
        <w:t>0.9994</w:t>
      </w:r>
      <w:r>
        <w:rPr>
          <w:rFonts w:ascii="Times New Roman" w:hAnsi="Times New Roman"/>
          <w:sz w:val="24"/>
          <w:szCs w:val="24"/>
        </w:rPr>
        <w:t xml:space="preserve"> in Table </w:t>
      </w:r>
      <w:r w:rsidR="00AD25CA">
        <w:rPr>
          <w:rFonts w:ascii="Times New Roman" w:hAnsi="Times New Roman"/>
          <w:sz w:val="24"/>
          <w:szCs w:val="24"/>
        </w:rPr>
        <w:t>7</w:t>
      </w:r>
      <w:r>
        <w:rPr>
          <w:rFonts w:ascii="Times New Roman" w:hAnsi="Times New Roman"/>
          <w:sz w:val="24"/>
          <w:szCs w:val="24"/>
        </w:rPr>
        <w:t xml:space="preserve"> </w:t>
      </w:r>
      <w:r w:rsidRPr="008C6C1C">
        <w:rPr>
          <w:rFonts w:ascii="Times New Roman" w:hAnsi="Times New Roman"/>
          <w:sz w:val="24"/>
          <w:szCs w:val="24"/>
        </w:rPr>
        <w:t>provide</w:t>
      </w:r>
      <w:r w:rsidR="00AD25CA">
        <w:rPr>
          <w:rFonts w:ascii="Times New Roman" w:hAnsi="Times New Roman"/>
          <w:sz w:val="24"/>
          <w:szCs w:val="24"/>
        </w:rPr>
        <w:t>d</w:t>
      </w:r>
      <w:r w:rsidRPr="008C6C1C">
        <w:rPr>
          <w:rFonts w:ascii="Times New Roman" w:hAnsi="Times New Roman"/>
          <w:sz w:val="24"/>
          <w:szCs w:val="24"/>
        </w:rPr>
        <w:t xml:space="preserve"> evidence </w:t>
      </w:r>
      <w:r w:rsidR="00AD25CA">
        <w:rPr>
          <w:rFonts w:ascii="Times New Roman" w:hAnsi="Times New Roman"/>
          <w:sz w:val="24"/>
          <w:szCs w:val="24"/>
        </w:rPr>
        <w:t>that</w:t>
      </w:r>
      <w:r w:rsidRPr="008C6C1C">
        <w:rPr>
          <w:rFonts w:ascii="Times New Roman" w:hAnsi="Times New Roman"/>
          <w:sz w:val="24"/>
          <w:szCs w:val="24"/>
        </w:rPr>
        <w:t xml:space="preserve"> accept the null hypothesis of no ARCH effect in the model. The model is therefore free from conditional heteroskedasticity and therefore reliable for </w:t>
      </w:r>
      <w:r>
        <w:rPr>
          <w:rFonts w:ascii="Times New Roman" w:hAnsi="Times New Roman"/>
          <w:sz w:val="24"/>
          <w:szCs w:val="24"/>
        </w:rPr>
        <w:t xml:space="preserve">further analysis and the results obtained thereof would be suitable for policy formulation and inference. </w:t>
      </w:r>
    </w:p>
    <w:p w14:paraId="4791C9EA" w14:textId="421B8079" w:rsidR="00D31621" w:rsidRPr="00812AD2" w:rsidRDefault="00D31621" w:rsidP="00812AD2">
      <w:pPr>
        <w:pStyle w:val="ListParagraph"/>
        <w:numPr>
          <w:ilvl w:val="0"/>
          <w:numId w:val="34"/>
        </w:numPr>
        <w:autoSpaceDE w:val="0"/>
        <w:autoSpaceDN w:val="0"/>
        <w:adjustRightInd w:val="0"/>
        <w:spacing w:line="240" w:lineRule="auto"/>
        <w:ind w:left="284"/>
        <w:rPr>
          <w:rFonts w:ascii="Times New Roman" w:hAnsi="Times New Roman"/>
          <w:b/>
          <w:sz w:val="24"/>
          <w:szCs w:val="24"/>
        </w:rPr>
      </w:pPr>
      <w:r w:rsidRPr="00812AD2">
        <w:rPr>
          <w:rFonts w:ascii="Times New Roman" w:hAnsi="Times New Roman"/>
          <w:b/>
          <w:sz w:val="24"/>
          <w:szCs w:val="24"/>
        </w:rPr>
        <w:t>Unit Root Test</w:t>
      </w:r>
    </w:p>
    <w:p w14:paraId="3EFBFA0A" w14:textId="5B95ABD1" w:rsidR="00D31621" w:rsidRDefault="00D31621" w:rsidP="00812AD2">
      <w:pPr>
        <w:spacing w:after="0" w:line="240" w:lineRule="auto"/>
        <w:rPr>
          <w:rFonts w:ascii="Times New Roman" w:hAnsi="Times New Roman"/>
          <w:sz w:val="24"/>
          <w:szCs w:val="24"/>
        </w:rPr>
      </w:pPr>
      <w:r w:rsidRPr="00955162">
        <w:rPr>
          <w:rFonts w:ascii="Times New Roman" w:hAnsi="Times New Roman"/>
          <w:sz w:val="24"/>
          <w:szCs w:val="24"/>
        </w:rPr>
        <w:t xml:space="preserve">Before the estimation of the model, all the variables of the study were subjected to unit root tests to determine the stationarity levels of the series. The results of the </w:t>
      </w:r>
      <w:r>
        <w:rPr>
          <w:rFonts w:ascii="Times New Roman" w:hAnsi="Times New Roman"/>
          <w:sz w:val="24"/>
          <w:szCs w:val="24"/>
        </w:rPr>
        <w:t xml:space="preserve">tests are presented in Table </w:t>
      </w:r>
      <w:r w:rsidR="00AD25CA">
        <w:rPr>
          <w:rFonts w:ascii="Times New Roman" w:hAnsi="Times New Roman"/>
          <w:sz w:val="24"/>
          <w:szCs w:val="24"/>
        </w:rPr>
        <w:t>8</w:t>
      </w:r>
      <w:r>
        <w:rPr>
          <w:rFonts w:ascii="Times New Roman" w:hAnsi="Times New Roman"/>
          <w:sz w:val="24"/>
          <w:szCs w:val="24"/>
        </w:rPr>
        <w:t>.</w:t>
      </w:r>
    </w:p>
    <w:p w14:paraId="049C5B6A" w14:textId="77777777" w:rsidR="00AD25CA" w:rsidRDefault="00D31621" w:rsidP="00812AD2">
      <w:pPr>
        <w:autoSpaceDE w:val="0"/>
        <w:autoSpaceDN w:val="0"/>
        <w:adjustRightInd w:val="0"/>
        <w:spacing w:after="0" w:line="240" w:lineRule="auto"/>
        <w:rPr>
          <w:b/>
          <w:bCs/>
          <w:color w:val="000000"/>
          <w:sz w:val="24"/>
          <w:szCs w:val="24"/>
        </w:rPr>
      </w:pPr>
      <w:r w:rsidRPr="00955162">
        <w:rPr>
          <w:b/>
          <w:bCs/>
          <w:color w:val="000000"/>
          <w:sz w:val="24"/>
          <w:szCs w:val="24"/>
        </w:rPr>
        <w:t xml:space="preserve">    </w:t>
      </w:r>
      <w:r>
        <w:rPr>
          <w:b/>
          <w:bCs/>
          <w:color w:val="000000"/>
          <w:sz w:val="24"/>
          <w:szCs w:val="24"/>
        </w:rPr>
        <w:t xml:space="preserve"> </w:t>
      </w:r>
      <w:r>
        <w:rPr>
          <w:b/>
          <w:bCs/>
          <w:color w:val="000000"/>
          <w:sz w:val="24"/>
          <w:szCs w:val="24"/>
        </w:rPr>
        <w:tab/>
      </w:r>
    </w:p>
    <w:p w14:paraId="1415C77B" w14:textId="77777777" w:rsidR="00812AD2" w:rsidRDefault="00812AD2" w:rsidP="00C45F51">
      <w:pPr>
        <w:autoSpaceDE w:val="0"/>
        <w:autoSpaceDN w:val="0"/>
        <w:adjustRightInd w:val="0"/>
        <w:spacing w:after="0" w:line="240" w:lineRule="auto"/>
        <w:jc w:val="both"/>
        <w:rPr>
          <w:rFonts w:ascii="Times New Roman" w:hAnsi="Times New Roman"/>
          <w:b/>
          <w:bCs/>
          <w:color w:val="000000"/>
          <w:sz w:val="24"/>
          <w:szCs w:val="24"/>
        </w:rPr>
        <w:sectPr w:rsidR="00812AD2" w:rsidSect="00812AD2">
          <w:type w:val="continuous"/>
          <w:pgSz w:w="12240" w:h="15840"/>
          <w:pgMar w:top="1135" w:right="1440" w:bottom="1440" w:left="1440" w:header="720" w:footer="720" w:gutter="0"/>
          <w:cols w:num="2" w:space="720"/>
          <w:docGrid w:linePitch="360"/>
        </w:sectPr>
      </w:pPr>
    </w:p>
    <w:p w14:paraId="75F5FC0D" w14:textId="77777777" w:rsidR="00812AD2" w:rsidRDefault="00812AD2" w:rsidP="00C45F51">
      <w:pPr>
        <w:autoSpaceDE w:val="0"/>
        <w:autoSpaceDN w:val="0"/>
        <w:adjustRightInd w:val="0"/>
        <w:spacing w:after="0" w:line="240" w:lineRule="auto"/>
        <w:jc w:val="both"/>
        <w:rPr>
          <w:rFonts w:ascii="Times New Roman" w:hAnsi="Times New Roman"/>
          <w:b/>
          <w:bCs/>
          <w:color w:val="000000"/>
          <w:sz w:val="24"/>
          <w:szCs w:val="24"/>
        </w:rPr>
      </w:pPr>
    </w:p>
    <w:p w14:paraId="63B417EA" w14:textId="75A92B7B" w:rsidR="00D31621" w:rsidRPr="004164A6" w:rsidRDefault="00D31621" w:rsidP="00C45F51">
      <w:pPr>
        <w:autoSpaceDE w:val="0"/>
        <w:autoSpaceDN w:val="0"/>
        <w:adjustRightInd w:val="0"/>
        <w:spacing w:after="0" w:line="240" w:lineRule="auto"/>
        <w:jc w:val="both"/>
        <w:rPr>
          <w:rFonts w:ascii="Times New Roman" w:hAnsi="Times New Roman"/>
          <w:b/>
          <w:sz w:val="24"/>
          <w:szCs w:val="24"/>
        </w:rPr>
      </w:pPr>
      <w:r>
        <w:rPr>
          <w:rFonts w:ascii="Times New Roman" w:hAnsi="Times New Roman"/>
          <w:b/>
          <w:bCs/>
          <w:color w:val="000000"/>
          <w:sz w:val="24"/>
          <w:szCs w:val="24"/>
        </w:rPr>
        <w:lastRenderedPageBreak/>
        <w:t xml:space="preserve">Table </w:t>
      </w:r>
      <w:r w:rsidR="00AD25CA">
        <w:rPr>
          <w:rFonts w:ascii="Times New Roman" w:hAnsi="Times New Roman"/>
          <w:b/>
          <w:bCs/>
          <w:color w:val="000000"/>
          <w:sz w:val="24"/>
          <w:szCs w:val="24"/>
        </w:rPr>
        <w:t>8</w:t>
      </w:r>
      <w:r w:rsidRPr="00955162">
        <w:rPr>
          <w:rFonts w:ascii="Times New Roman" w:hAnsi="Times New Roman"/>
          <w:b/>
          <w:bCs/>
          <w:color w:val="000000"/>
          <w:sz w:val="24"/>
          <w:szCs w:val="24"/>
        </w:rPr>
        <w:t xml:space="preserve"> Augmented Dickey Fuller </w:t>
      </w:r>
      <w:r>
        <w:rPr>
          <w:rFonts w:ascii="Times New Roman" w:hAnsi="Times New Roman"/>
          <w:b/>
          <w:bCs/>
          <w:color w:val="000000"/>
          <w:sz w:val="24"/>
          <w:szCs w:val="24"/>
        </w:rPr>
        <w:t>Test</w:t>
      </w:r>
    </w:p>
    <w:tbl>
      <w:tblPr>
        <w:tblpPr w:leftFromText="180" w:rightFromText="180" w:vertAnchor="text" w:horzAnchor="page" w:tblpX="2240" w:tblpY="60"/>
        <w:tblW w:w="474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0"/>
        <w:gridCol w:w="2125"/>
        <w:gridCol w:w="1371"/>
        <w:gridCol w:w="2056"/>
        <w:gridCol w:w="1455"/>
        <w:gridCol w:w="943"/>
      </w:tblGrid>
      <w:tr w:rsidR="00D31621" w:rsidRPr="001A7D8B" w14:paraId="6CDA39EA" w14:textId="77777777" w:rsidTr="00303B4A">
        <w:trPr>
          <w:trHeight w:val="254"/>
        </w:trPr>
        <w:tc>
          <w:tcPr>
            <w:tcW w:w="622" w:type="pct"/>
            <w:tcBorders>
              <w:left w:val="nil"/>
              <w:bottom w:val="single" w:sz="4" w:space="0" w:color="auto"/>
            </w:tcBorders>
            <w:noWrap/>
            <w:vAlign w:val="center"/>
            <w:hideMark/>
          </w:tcPr>
          <w:p w14:paraId="0F065463" w14:textId="77777777" w:rsidR="00D31621" w:rsidRPr="001A7D8B" w:rsidRDefault="00D31621" w:rsidP="00C45F51">
            <w:pPr>
              <w:spacing w:after="0" w:line="240" w:lineRule="auto"/>
              <w:rPr>
                <w:rFonts w:ascii="Times New Roman" w:hAnsi="Times New Roman"/>
                <w:b/>
                <w:bCs/>
                <w:color w:val="000000"/>
              </w:rPr>
            </w:pPr>
            <w:r w:rsidRPr="001A7D8B">
              <w:rPr>
                <w:rFonts w:ascii="Times New Roman" w:hAnsi="Times New Roman"/>
                <w:b/>
                <w:bCs/>
                <w:color w:val="000000"/>
              </w:rPr>
              <w:t>Variables</w:t>
            </w:r>
          </w:p>
        </w:tc>
        <w:tc>
          <w:tcPr>
            <w:tcW w:w="1170" w:type="pct"/>
            <w:tcBorders>
              <w:bottom w:val="single" w:sz="4" w:space="0" w:color="auto"/>
            </w:tcBorders>
            <w:vAlign w:val="center"/>
          </w:tcPr>
          <w:p w14:paraId="00E00E6B" w14:textId="77777777" w:rsidR="00D31621" w:rsidRPr="001A7D8B" w:rsidRDefault="00D31621" w:rsidP="00C45F51">
            <w:pPr>
              <w:spacing w:after="0" w:line="240" w:lineRule="auto"/>
              <w:rPr>
                <w:rFonts w:ascii="Times New Roman" w:hAnsi="Times New Roman"/>
                <w:b/>
                <w:bCs/>
                <w:color w:val="000000"/>
              </w:rPr>
            </w:pPr>
            <w:r w:rsidRPr="001A7D8B">
              <w:rPr>
                <w:rFonts w:ascii="Times New Roman" w:hAnsi="Times New Roman"/>
                <w:b/>
                <w:bCs/>
                <w:color w:val="000000"/>
              </w:rPr>
              <w:t xml:space="preserve">ADF Statistics </w:t>
            </w:r>
            <w:r w:rsidRPr="001A7D8B">
              <w:rPr>
                <w:rFonts w:ascii="Times New Roman" w:hAnsi="Times New Roman"/>
                <w:b/>
                <w:bCs/>
                <w:color w:val="000000"/>
              </w:rPr>
              <w:br/>
              <w:t xml:space="preserve">@ </w:t>
            </w:r>
            <w:r w:rsidRPr="001A7D8B">
              <w:rPr>
                <w:rFonts w:ascii="Times New Roman" w:hAnsi="Times New Roman"/>
                <w:b/>
                <w:bCs/>
                <w:color w:val="000000"/>
              </w:rPr>
              <w:br/>
            </w:r>
            <w:r>
              <w:rPr>
                <w:rFonts w:ascii="Times New Roman" w:hAnsi="Times New Roman"/>
                <w:b/>
                <w:bCs/>
                <w:color w:val="000000"/>
              </w:rPr>
              <w:t>Level</w:t>
            </w:r>
          </w:p>
        </w:tc>
        <w:tc>
          <w:tcPr>
            <w:tcW w:w="755" w:type="pct"/>
            <w:tcBorders>
              <w:bottom w:val="single" w:sz="4" w:space="0" w:color="auto"/>
            </w:tcBorders>
            <w:vAlign w:val="center"/>
          </w:tcPr>
          <w:p w14:paraId="2E95D80B" w14:textId="77777777" w:rsidR="00D31621" w:rsidRDefault="00D31621" w:rsidP="00C45F51">
            <w:pPr>
              <w:spacing w:after="0" w:line="240" w:lineRule="auto"/>
              <w:rPr>
                <w:rFonts w:ascii="Times New Roman" w:hAnsi="Times New Roman"/>
                <w:b/>
                <w:bCs/>
                <w:color w:val="000000"/>
              </w:rPr>
            </w:pPr>
            <w:r>
              <w:rPr>
                <w:rFonts w:ascii="Times New Roman" w:hAnsi="Times New Roman"/>
                <w:b/>
                <w:bCs/>
                <w:color w:val="000000"/>
              </w:rPr>
              <w:t>t-statistic</w:t>
            </w:r>
          </w:p>
          <w:p w14:paraId="458DE82D" w14:textId="77777777" w:rsidR="00D31621" w:rsidRPr="001A7D8B" w:rsidRDefault="00D31621" w:rsidP="00C45F51">
            <w:pPr>
              <w:spacing w:after="0" w:line="240" w:lineRule="auto"/>
              <w:rPr>
                <w:rFonts w:ascii="Times New Roman" w:hAnsi="Times New Roman"/>
                <w:b/>
                <w:bCs/>
                <w:color w:val="000000"/>
              </w:rPr>
            </w:pPr>
            <w:r w:rsidRPr="001A7D8B">
              <w:rPr>
                <w:rFonts w:ascii="Times New Roman" w:hAnsi="Times New Roman"/>
                <w:b/>
                <w:bCs/>
                <w:color w:val="000000"/>
              </w:rPr>
              <w:t xml:space="preserve">@ </w:t>
            </w:r>
            <w:r w:rsidRPr="001A7D8B">
              <w:rPr>
                <w:rFonts w:ascii="Times New Roman" w:hAnsi="Times New Roman"/>
                <w:b/>
                <w:bCs/>
                <w:color w:val="000000"/>
              </w:rPr>
              <w:br/>
              <w:t>5%</w:t>
            </w:r>
          </w:p>
        </w:tc>
        <w:tc>
          <w:tcPr>
            <w:tcW w:w="1132" w:type="pct"/>
            <w:tcBorders>
              <w:bottom w:val="single" w:sz="4" w:space="0" w:color="auto"/>
            </w:tcBorders>
            <w:noWrap/>
            <w:vAlign w:val="center"/>
            <w:hideMark/>
          </w:tcPr>
          <w:p w14:paraId="7010E4F1" w14:textId="77777777" w:rsidR="00D31621" w:rsidRPr="001A7D8B" w:rsidRDefault="00D31621" w:rsidP="00C45F51">
            <w:pPr>
              <w:spacing w:after="0" w:line="240" w:lineRule="auto"/>
              <w:rPr>
                <w:rFonts w:ascii="Times New Roman" w:hAnsi="Times New Roman"/>
                <w:b/>
                <w:bCs/>
                <w:color w:val="000000"/>
              </w:rPr>
            </w:pPr>
            <w:r w:rsidRPr="001A7D8B">
              <w:rPr>
                <w:rFonts w:ascii="Times New Roman" w:hAnsi="Times New Roman"/>
                <w:b/>
                <w:bCs/>
                <w:color w:val="000000"/>
              </w:rPr>
              <w:t xml:space="preserve">ADF Statistics </w:t>
            </w:r>
            <w:r w:rsidRPr="001A7D8B">
              <w:rPr>
                <w:rFonts w:ascii="Times New Roman" w:hAnsi="Times New Roman"/>
                <w:b/>
                <w:bCs/>
                <w:color w:val="000000"/>
              </w:rPr>
              <w:br/>
              <w:t xml:space="preserve">@ </w:t>
            </w:r>
            <w:r w:rsidRPr="001A7D8B">
              <w:rPr>
                <w:rFonts w:ascii="Times New Roman" w:hAnsi="Times New Roman"/>
                <w:b/>
                <w:bCs/>
                <w:color w:val="000000"/>
              </w:rPr>
              <w:br/>
              <w:t>1</w:t>
            </w:r>
            <w:r w:rsidRPr="001A7D8B">
              <w:rPr>
                <w:rFonts w:ascii="Times New Roman" w:hAnsi="Times New Roman"/>
                <w:b/>
                <w:bCs/>
                <w:color w:val="000000"/>
                <w:vertAlign w:val="superscript"/>
              </w:rPr>
              <w:t>st</w:t>
            </w:r>
            <w:r w:rsidRPr="001A7D8B">
              <w:rPr>
                <w:rFonts w:ascii="Times New Roman" w:hAnsi="Times New Roman"/>
                <w:b/>
                <w:bCs/>
                <w:color w:val="000000"/>
              </w:rPr>
              <w:t xml:space="preserve"> Difference</w:t>
            </w:r>
          </w:p>
        </w:tc>
        <w:tc>
          <w:tcPr>
            <w:tcW w:w="801" w:type="pct"/>
            <w:tcBorders>
              <w:bottom w:val="single" w:sz="4" w:space="0" w:color="auto"/>
            </w:tcBorders>
            <w:noWrap/>
            <w:vAlign w:val="center"/>
            <w:hideMark/>
          </w:tcPr>
          <w:p w14:paraId="532BEAEF" w14:textId="77777777" w:rsidR="00D31621" w:rsidRDefault="00D31621" w:rsidP="00C45F51">
            <w:pPr>
              <w:spacing w:after="0" w:line="240" w:lineRule="auto"/>
              <w:rPr>
                <w:rFonts w:ascii="Times New Roman" w:hAnsi="Times New Roman"/>
                <w:b/>
                <w:bCs/>
                <w:color w:val="000000"/>
              </w:rPr>
            </w:pPr>
            <w:r>
              <w:rPr>
                <w:rFonts w:ascii="Times New Roman" w:hAnsi="Times New Roman"/>
                <w:b/>
                <w:bCs/>
                <w:color w:val="000000"/>
              </w:rPr>
              <w:t>t-statistic</w:t>
            </w:r>
          </w:p>
          <w:p w14:paraId="56E0B68D" w14:textId="77777777" w:rsidR="00D31621" w:rsidRPr="001A7D8B" w:rsidRDefault="00D31621" w:rsidP="00C45F51">
            <w:pPr>
              <w:spacing w:after="0" w:line="240" w:lineRule="auto"/>
              <w:rPr>
                <w:rFonts w:ascii="Times New Roman" w:hAnsi="Times New Roman"/>
                <w:b/>
                <w:bCs/>
                <w:color w:val="000000"/>
              </w:rPr>
            </w:pPr>
            <w:r w:rsidRPr="001A7D8B">
              <w:rPr>
                <w:rFonts w:ascii="Times New Roman" w:hAnsi="Times New Roman"/>
                <w:b/>
                <w:bCs/>
                <w:color w:val="000000"/>
              </w:rPr>
              <w:t xml:space="preserve">@ </w:t>
            </w:r>
            <w:r w:rsidRPr="001A7D8B">
              <w:rPr>
                <w:rFonts w:ascii="Times New Roman" w:hAnsi="Times New Roman"/>
                <w:b/>
                <w:bCs/>
                <w:color w:val="000000"/>
              </w:rPr>
              <w:br/>
              <w:t>5%</w:t>
            </w:r>
          </w:p>
        </w:tc>
        <w:tc>
          <w:tcPr>
            <w:tcW w:w="519" w:type="pct"/>
            <w:tcBorders>
              <w:bottom w:val="single" w:sz="4" w:space="0" w:color="auto"/>
              <w:right w:val="nil"/>
            </w:tcBorders>
            <w:vAlign w:val="center"/>
          </w:tcPr>
          <w:p w14:paraId="05C8365D" w14:textId="77777777" w:rsidR="00D31621" w:rsidRPr="001A7D8B" w:rsidRDefault="00D31621" w:rsidP="00C45F51">
            <w:pPr>
              <w:spacing w:after="0" w:line="240" w:lineRule="auto"/>
              <w:rPr>
                <w:rFonts w:ascii="Times New Roman" w:hAnsi="Times New Roman"/>
                <w:b/>
                <w:bCs/>
                <w:color w:val="000000"/>
              </w:rPr>
            </w:pPr>
            <w:r w:rsidRPr="001A7D8B">
              <w:rPr>
                <w:rFonts w:ascii="Times New Roman" w:hAnsi="Times New Roman"/>
                <w:b/>
                <w:bCs/>
                <w:color w:val="000000"/>
              </w:rPr>
              <w:t>Order of integration</w:t>
            </w:r>
          </w:p>
        </w:tc>
      </w:tr>
      <w:tr w:rsidR="00D31621" w:rsidRPr="001A7D8B" w14:paraId="427B0270" w14:textId="77777777" w:rsidTr="00303B4A">
        <w:trPr>
          <w:trHeight w:val="254"/>
        </w:trPr>
        <w:tc>
          <w:tcPr>
            <w:tcW w:w="622" w:type="pct"/>
            <w:tcBorders>
              <w:left w:val="nil"/>
              <w:bottom w:val="nil"/>
            </w:tcBorders>
            <w:noWrap/>
            <w:vAlign w:val="center"/>
            <w:hideMark/>
          </w:tcPr>
          <w:p w14:paraId="0AECC5B0"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RGDP</w:t>
            </w:r>
          </w:p>
        </w:tc>
        <w:tc>
          <w:tcPr>
            <w:tcW w:w="1170" w:type="pct"/>
            <w:tcBorders>
              <w:bottom w:val="nil"/>
            </w:tcBorders>
            <w:vAlign w:val="center"/>
          </w:tcPr>
          <w:p w14:paraId="3868B832"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-0.811634 (0.8121)</w:t>
            </w:r>
          </w:p>
        </w:tc>
        <w:tc>
          <w:tcPr>
            <w:tcW w:w="755" w:type="pct"/>
            <w:tcBorders>
              <w:bottom w:val="nil"/>
            </w:tcBorders>
            <w:vAlign w:val="center"/>
          </w:tcPr>
          <w:p w14:paraId="246F260A"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-2.884477</w:t>
            </w:r>
          </w:p>
        </w:tc>
        <w:tc>
          <w:tcPr>
            <w:tcW w:w="1132" w:type="pct"/>
            <w:tcBorders>
              <w:bottom w:val="nil"/>
            </w:tcBorders>
            <w:noWrap/>
            <w:vAlign w:val="center"/>
            <w:hideMark/>
          </w:tcPr>
          <w:p w14:paraId="5713193C"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-2.964854 (0.0431)*</w:t>
            </w:r>
          </w:p>
        </w:tc>
        <w:tc>
          <w:tcPr>
            <w:tcW w:w="801" w:type="pct"/>
            <w:tcBorders>
              <w:bottom w:val="nil"/>
            </w:tcBorders>
            <w:noWrap/>
            <w:vAlign w:val="center"/>
            <w:hideMark/>
          </w:tcPr>
          <w:p w14:paraId="12BBF734"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-2.884477</w:t>
            </w:r>
          </w:p>
        </w:tc>
        <w:tc>
          <w:tcPr>
            <w:tcW w:w="519" w:type="pct"/>
            <w:tcBorders>
              <w:bottom w:val="nil"/>
              <w:right w:val="nil"/>
            </w:tcBorders>
            <w:vAlign w:val="center"/>
          </w:tcPr>
          <w:p w14:paraId="500748A7"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I(1)</w:t>
            </w:r>
          </w:p>
        </w:tc>
      </w:tr>
      <w:tr w:rsidR="00D31621" w:rsidRPr="001A7D8B" w14:paraId="18B2474D" w14:textId="77777777" w:rsidTr="00303B4A">
        <w:trPr>
          <w:trHeight w:val="254"/>
        </w:trPr>
        <w:tc>
          <w:tcPr>
            <w:tcW w:w="622" w:type="pct"/>
            <w:tcBorders>
              <w:top w:val="nil"/>
              <w:left w:val="nil"/>
              <w:bottom w:val="nil"/>
            </w:tcBorders>
            <w:noWrap/>
            <w:vAlign w:val="center"/>
            <w:hideMark/>
          </w:tcPr>
          <w:p w14:paraId="04195F61"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M2GDP</w:t>
            </w:r>
          </w:p>
        </w:tc>
        <w:tc>
          <w:tcPr>
            <w:tcW w:w="1170" w:type="pct"/>
            <w:tcBorders>
              <w:top w:val="nil"/>
              <w:bottom w:val="nil"/>
            </w:tcBorders>
            <w:vAlign w:val="center"/>
          </w:tcPr>
          <w:p w14:paraId="5C6CB3CD"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-1.354145 ( 0.6027)</w:t>
            </w:r>
          </w:p>
        </w:tc>
        <w:tc>
          <w:tcPr>
            <w:tcW w:w="755" w:type="pct"/>
            <w:tcBorders>
              <w:top w:val="nil"/>
              <w:bottom w:val="nil"/>
            </w:tcBorders>
            <w:vAlign w:val="center"/>
          </w:tcPr>
          <w:p w14:paraId="513A95B7"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-2.884477</w:t>
            </w:r>
          </w:p>
        </w:tc>
        <w:tc>
          <w:tcPr>
            <w:tcW w:w="1132" w:type="pct"/>
            <w:tcBorders>
              <w:top w:val="nil"/>
              <w:bottom w:val="nil"/>
            </w:tcBorders>
            <w:noWrap/>
            <w:vAlign w:val="center"/>
            <w:hideMark/>
          </w:tcPr>
          <w:p w14:paraId="4F8E69F1" w14:textId="77777777" w:rsidR="00D31621" w:rsidRPr="003E78C9" w:rsidRDefault="00D31621" w:rsidP="00C45F51">
            <w:pPr>
              <w:spacing w:after="0" w:line="240" w:lineRule="auto"/>
              <w:rPr>
                <w:rFonts w:ascii="Times New Roman" w:hAnsi="Times New Roman"/>
                <w:b/>
                <w:color w:val="000000"/>
                <w:sz w:val="21"/>
                <w:szCs w:val="21"/>
              </w:rPr>
            </w:pPr>
            <w:r w:rsidRPr="003E78C9">
              <w:rPr>
                <w:rFonts w:ascii="Times New Roman" w:hAnsi="Times New Roman"/>
                <w:color w:val="000000"/>
                <w:sz w:val="21"/>
                <w:szCs w:val="21"/>
              </w:rPr>
              <w:t>-4.407535 (0.0005)</w:t>
            </w:r>
            <w:r w:rsidRPr="003E78C9">
              <w:rPr>
                <w:rFonts w:ascii="Times New Roman" w:hAnsi="Times New Roman"/>
                <w:b/>
                <w:color w:val="000000"/>
                <w:sz w:val="21"/>
                <w:szCs w:val="21"/>
              </w:rPr>
              <w:t>*</w:t>
            </w:r>
          </w:p>
        </w:tc>
        <w:tc>
          <w:tcPr>
            <w:tcW w:w="801" w:type="pct"/>
            <w:tcBorders>
              <w:top w:val="nil"/>
              <w:bottom w:val="nil"/>
            </w:tcBorders>
            <w:noWrap/>
            <w:vAlign w:val="center"/>
            <w:hideMark/>
          </w:tcPr>
          <w:p w14:paraId="258321F0"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-2.884477</w:t>
            </w:r>
          </w:p>
        </w:tc>
        <w:tc>
          <w:tcPr>
            <w:tcW w:w="519" w:type="pct"/>
            <w:tcBorders>
              <w:top w:val="nil"/>
              <w:bottom w:val="nil"/>
              <w:right w:val="nil"/>
            </w:tcBorders>
            <w:vAlign w:val="center"/>
          </w:tcPr>
          <w:p w14:paraId="32B9B06E"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I(1)</w:t>
            </w:r>
          </w:p>
        </w:tc>
      </w:tr>
      <w:tr w:rsidR="00D31621" w:rsidRPr="001A7D8B" w14:paraId="6B1A1693" w14:textId="77777777" w:rsidTr="00303B4A">
        <w:trPr>
          <w:trHeight w:val="254"/>
        </w:trPr>
        <w:tc>
          <w:tcPr>
            <w:tcW w:w="622" w:type="pct"/>
            <w:tcBorders>
              <w:top w:val="nil"/>
              <w:left w:val="nil"/>
              <w:bottom w:val="nil"/>
            </w:tcBorders>
            <w:noWrap/>
            <w:vAlign w:val="center"/>
            <w:hideMark/>
          </w:tcPr>
          <w:p w14:paraId="0A661890"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PTDS</w:t>
            </w:r>
          </w:p>
        </w:tc>
        <w:tc>
          <w:tcPr>
            <w:tcW w:w="1170" w:type="pct"/>
            <w:tcBorders>
              <w:top w:val="nil"/>
              <w:bottom w:val="nil"/>
            </w:tcBorders>
            <w:vAlign w:val="center"/>
          </w:tcPr>
          <w:p w14:paraId="09C8F9A6"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-1.719371 ( 0.4191)</w:t>
            </w:r>
          </w:p>
        </w:tc>
        <w:tc>
          <w:tcPr>
            <w:tcW w:w="755" w:type="pct"/>
            <w:tcBorders>
              <w:top w:val="nil"/>
              <w:bottom w:val="nil"/>
            </w:tcBorders>
            <w:vAlign w:val="center"/>
          </w:tcPr>
          <w:p w14:paraId="7E1E04A8"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-2.884477</w:t>
            </w:r>
          </w:p>
        </w:tc>
        <w:tc>
          <w:tcPr>
            <w:tcW w:w="1132" w:type="pct"/>
            <w:tcBorders>
              <w:top w:val="nil"/>
              <w:bottom w:val="nil"/>
            </w:tcBorders>
            <w:noWrap/>
            <w:vAlign w:val="center"/>
            <w:hideMark/>
          </w:tcPr>
          <w:p w14:paraId="60A59970"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-3.656153 (0.0059)*</w:t>
            </w:r>
          </w:p>
        </w:tc>
        <w:tc>
          <w:tcPr>
            <w:tcW w:w="801" w:type="pct"/>
            <w:tcBorders>
              <w:top w:val="nil"/>
              <w:bottom w:val="nil"/>
            </w:tcBorders>
            <w:noWrap/>
            <w:vAlign w:val="center"/>
            <w:hideMark/>
          </w:tcPr>
          <w:p w14:paraId="4BFC59FE"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-2.884477</w:t>
            </w:r>
          </w:p>
        </w:tc>
        <w:tc>
          <w:tcPr>
            <w:tcW w:w="519" w:type="pct"/>
            <w:tcBorders>
              <w:top w:val="nil"/>
              <w:bottom w:val="nil"/>
              <w:right w:val="nil"/>
            </w:tcBorders>
            <w:vAlign w:val="center"/>
          </w:tcPr>
          <w:p w14:paraId="2B154C3A"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I(1)</w:t>
            </w:r>
          </w:p>
        </w:tc>
      </w:tr>
      <w:tr w:rsidR="00D31621" w:rsidRPr="001A7D8B" w14:paraId="0F3E0449" w14:textId="77777777" w:rsidTr="00303B4A">
        <w:trPr>
          <w:trHeight w:val="254"/>
        </w:trPr>
        <w:tc>
          <w:tcPr>
            <w:tcW w:w="622" w:type="pct"/>
            <w:tcBorders>
              <w:top w:val="nil"/>
              <w:left w:val="nil"/>
              <w:bottom w:val="nil"/>
            </w:tcBorders>
            <w:noWrap/>
            <w:vAlign w:val="center"/>
            <w:hideMark/>
          </w:tcPr>
          <w:p w14:paraId="62E0E682"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LDS</w:t>
            </w:r>
          </w:p>
        </w:tc>
        <w:tc>
          <w:tcPr>
            <w:tcW w:w="1170" w:type="pct"/>
            <w:tcBorders>
              <w:top w:val="nil"/>
              <w:bottom w:val="nil"/>
            </w:tcBorders>
            <w:vAlign w:val="center"/>
          </w:tcPr>
          <w:p w14:paraId="68F7F2A6"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-2.660224 (0.0617)</w:t>
            </w:r>
          </w:p>
        </w:tc>
        <w:tc>
          <w:tcPr>
            <w:tcW w:w="755" w:type="pct"/>
            <w:tcBorders>
              <w:top w:val="nil"/>
              <w:bottom w:val="nil"/>
            </w:tcBorders>
            <w:vAlign w:val="center"/>
          </w:tcPr>
          <w:p w14:paraId="0B24B9F4"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-2.886074</w:t>
            </w:r>
          </w:p>
        </w:tc>
        <w:tc>
          <w:tcPr>
            <w:tcW w:w="1132" w:type="pct"/>
            <w:tcBorders>
              <w:top w:val="nil"/>
              <w:bottom w:val="nil"/>
            </w:tcBorders>
            <w:noWrap/>
            <w:vAlign w:val="center"/>
            <w:hideMark/>
          </w:tcPr>
          <w:p w14:paraId="1AFE6B7B"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-3.380309 (0.0136)*</w:t>
            </w:r>
          </w:p>
        </w:tc>
        <w:tc>
          <w:tcPr>
            <w:tcW w:w="801" w:type="pct"/>
            <w:tcBorders>
              <w:top w:val="nil"/>
              <w:bottom w:val="nil"/>
            </w:tcBorders>
            <w:noWrap/>
            <w:vAlign w:val="center"/>
            <w:hideMark/>
          </w:tcPr>
          <w:p w14:paraId="2D6E1D1C"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-2.886074</w:t>
            </w:r>
          </w:p>
        </w:tc>
        <w:tc>
          <w:tcPr>
            <w:tcW w:w="519" w:type="pct"/>
            <w:tcBorders>
              <w:top w:val="nil"/>
              <w:bottom w:val="nil"/>
              <w:right w:val="nil"/>
            </w:tcBorders>
            <w:vAlign w:val="center"/>
          </w:tcPr>
          <w:p w14:paraId="745F8353"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I(1)</w:t>
            </w:r>
          </w:p>
        </w:tc>
      </w:tr>
      <w:tr w:rsidR="00D31621" w:rsidRPr="001A7D8B" w14:paraId="6F72AB54" w14:textId="77777777" w:rsidTr="00303B4A">
        <w:trPr>
          <w:trHeight w:val="254"/>
        </w:trPr>
        <w:tc>
          <w:tcPr>
            <w:tcW w:w="622" w:type="pct"/>
            <w:tcBorders>
              <w:top w:val="nil"/>
              <w:left w:val="nil"/>
              <w:bottom w:val="nil"/>
            </w:tcBorders>
            <w:noWrap/>
            <w:vAlign w:val="center"/>
            <w:hideMark/>
          </w:tcPr>
          <w:p w14:paraId="5937252E"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LDR</w:t>
            </w:r>
          </w:p>
        </w:tc>
        <w:tc>
          <w:tcPr>
            <w:tcW w:w="1170" w:type="pct"/>
            <w:tcBorders>
              <w:top w:val="nil"/>
              <w:bottom w:val="nil"/>
            </w:tcBorders>
            <w:vAlign w:val="center"/>
          </w:tcPr>
          <w:p w14:paraId="339A4C8C"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-2.426523 (0.1118)</w:t>
            </w:r>
          </w:p>
        </w:tc>
        <w:tc>
          <w:tcPr>
            <w:tcW w:w="755" w:type="pct"/>
            <w:tcBorders>
              <w:top w:val="nil"/>
              <w:bottom w:val="nil"/>
            </w:tcBorders>
            <w:vAlign w:val="center"/>
          </w:tcPr>
          <w:p w14:paraId="417773D8"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2.884856</w:t>
            </w:r>
          </w:p>
        </w:tc>
        <w:tc>
          <w:tcPr>
            <w:tcW w:w="1132" w:type="pct"/>
            <w:tcBorders>
              <w:top w:val="nil"/>
              <w:bottom w:val="nil"/>
            </w:tcBorders>
            <w:noWrap/>
            <w:vAlign w:val="center"/>
            <w:hideMark/>
          </w:tcPr>
          <w:p w14:paraId="1EA40F45"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-10.41174 ( 0.0000)*</w:t>
            </w:r>
          </w:p>
        </w:tc>
        <w:tc>
          <w:tcPr>
            <w:tcW w:w="801" w:type="pct"/>
            <w:tcBorders>
              <w:top w:val="nil"/>
              <w:bottom w:val="nil"/>
            </w:tcBorders>
            <w:noWrap/>
            <w:vAlign w:val="center"/>
            <w:hideMark/>
          </w:tcPr>
          <w:p w14:paraId="16EA8FD4"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-2.884665</w:t>
            </w:r>
          </w:p>
        </w:tc>
        <w:tc>
          <w:tcPr>
            <w:tcW w:w="519" w:type="pct"/>
            <w:tcBorders>
              <w:top w:val="nil"/>
              <w:bottom w:val="nil"/>
              <w:right w:val="nil"/>
            </w:tcBorders>
            <w:vAlign w:val="center"/>
          </w:tcPr>
          <w:p w14:paraId="3F9C6F9D"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I(1)</w:t>
            </w:r>
          </w:p>
        </w:tc>
      </w:tr>
      <w:tr w:rsidR="00D31621" w:rsidRPr="001A7D8B" w14:paraId="4D78ADF4" w14:textId="77777777" w:rsidTr="00303B4A">
        <w:trPr>
          <w:trHeight w:val="254"/>
        </w:trPr>
        <w:tc>
          <w:tcPr>
            <w:tcW w:w="622" w:type="pct"/>
            <w:tcBorders>
              <w:top w:val="nil"/>
              <w:left w:val="nil"/>
              <w:bottom w:val="nil"/>
            </w:tcBorders>
            <w:noWrap/>
            <w:vAlign w:val="center"/>
            <w:hideMark/>
          </w:tcPr>
          <w:p w14:paraId="1D23B8CB"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SMR</w:t>
            </w:r>
          </w:p>
        </w:tc>
        <w:tc>
          <w:tcPr>
            <w:tcW w:w="1170" w:type="pct"/>
            <w:tcBorders>
              <w:top w:val="nil"/>
              <w:bottom w:val="nil"/>
            </w:tcBorders>
            <w:vAlign w:val="center"/>
          </w:tcPr>
          <w:p w14:paraId="7E750036"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-2.853786 ( 0.0540)</w:t>
            </w:r>
          </w:p>
        </w:tc>
        <w:tc>
          <w:tcPr>
            <w:tcW w:w="755" w:type="pct"/>
            <w:tcBorders>
              <w:top w:val="nil"/>
              <w:bottom w:val="nil"/>
            </w:tcBorders>
            <w:vAlign w:val="center"/>
          </w:tcPr>
          <w:p w14:paraId="699607DC"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-2.886074</w:t>
            </w:r>
          </w:p>
        </w:tc>
        <w:tc>
          <w:tcPr>
            <w:tcW w:w="1132" w:type="pct"/>
            <w:tcBorders>
              <w:top w:val="nil"/>
              <w:bottom w:val="nil"/>
            </w:tcBorders>
            <w:noWrap/>
            <w:vAlign w:val="center"/>
            <w:hideMark/>
          </w:tcPr>
          <w:p w14:paraId="3BB860A8"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-3.387987 (0.0133)*</w:t>
            </w:r>
          </w:p>
        </w:tc>
        <w:tc>
          <w:tcPr>
            <w:tcW w:w="801" w:type="pct"/>
            <w:tcBorders>
              <w:top w:val="nil"/>
              <w:bottom w:val="nil"/>
            </w:tcBorders>
            <w:noWrap/>
            <w:vAlign w:val="center"/>
            <w:hideMark/>
          </w:tcPr>
          <w:p w14:paraId="2B60EFCA"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-2.886074</w:t>
            </w:r>
          </w:p>
        </w:tc>
        <w:tc>
          <w:tcPr>
            <w:tcW w:w="519" w:type="pct"/>
            <w:tcBorders>
              <w:top w:val="nil"/>
              <w:bottom w:val="nil"/>
              <w:right w:val="nil"/>
            </w:tcBorders>
            <w:vAlign w:val="center"/>
          </w:tcPr>
          <w:p w14:paraId="40DBDB4B"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I(1)</w:t>
            </w:r>
          </w:p>
        </w:tc>
      </w:tr>
      <w:tr w:rsidR="00D31621" w:rsidRPr="001A7D8B" w14:paraId="4A849286" w14:textId="77777777" w:rsidTr="00303B4A">
        <w:trPr>
          <w:trHeight w:val="254"/>
        </w:trPr>
        <w:tc>
          <w:tcPr>
            <w:tcW w:w="622" w:type="pct"/>
            <w:tcBorders>
              <w:top w:val="nil"/>
              <w:left w:val="nil"/>
              <w:bottom w:val="nil"/>
            </w:tcBorders>
            <w:noWrap/>
            <w:vAlign w:val="center"/>
            <w:hideMark/>
          </w:tcPr>
          <w:p w14:paraId="29B63E16"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INF</w:t>
            </w:r>
          </w:p>
        </w:tc>
        <w:tc>
          <w:tcPr>
            <w:tcW w:w="1170" w:type="pct"/>
            <w:tcBorders>
              <w:top w:val="nil"/>
              <w:bottom w:val="nil"/>
            </w:tcBorders>
            <w:vAlign w:val="center"/>
          </w:tcPr>
          <w:p w14:paraId="4F78A0AB"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-2.616867 ( 0.0567)</w:t>
            </w:r>
          </w:p>
        </w:tc>
        <w:tc>
          <w:tcPr>
            <w:tcW w:w="755" w:type="pct"/>
            <w:tcBorders>
              <w:top w:val="nil"/>
              <w:bottom w:val="nil"/>
            </w:tcBorders>
            <w:vAlign w:val="center"/>
          </w:tcPr>
          <w:p w14:paraId="61B88F52"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-2.884477</w:t>
            </w:r>
          </w:p>
        </w:tc>
        <w:tc>
          <w:tcPr>
            <w:tcW w:w="1132" w:type="pct"/>
            <w:tcBorders>
              <w:top w:val="nil"/>
              <w:bottom w:val="nil"/>
            </w:tcBorders>
            <w:noWrap/>
            <w:vAlign w:val="center"/>
            <w:hideMark/>
          </w:tcPr>
          <w:p w14:paraId="005F1668"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-6.892183 (0.0000)*</w:t>
            </w:r>
          </w:p>
        </w:tc>
        <w:tc>
          <w:tcPr>
            <w:tcW w:w="801" w:type="pct"/>
            <w:tcBorders>
              <w:top w:val="nil"/>
              <w:bottom w:val="nil"/>
            </w:tcBorders>
            <w:noWrap/>
            <w:vAlign w:val="center"/>
            <w:hideMark/>
          </w:tcPr>
          <w:p w14:paraId="5AEB508C"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-2.884477</w:t>
            </w:r>
          </w:p>
        </w:tc>
        <w:tc>
          <w:tcPr>
            <w:tcW w:w="519" w:type="pct"/>
            <w:tcBorders>
              <w:top w:val="nil"/>
              <w:bottom w:val="nil"/>
              <w:right w:val="nil"/>
            </w:tcBorders>
            <w:vAlign w:val="center"/>
          </w:tcPr>
          <w:p w14:paraId="107DF09E"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I(1)</w:t>
            </w:r>
          </w:p>
        </w:tc>
      </w:tr>
      <w:tr w:rsidR="00D31621" w:rsidRPr="001A7D8B" w14:paraId="22DE0C17" w14:textId="77777777" w:rsidTr="00303B4A">
        <w:trPr>
          <w:trHeight w:val="254"/>
        </w:trPr>
        <w:tc>
          <w:tcPr>
            <w:tcW w:w="622" w:type="pct"/>
            <w:tcBorders>
              <w:top w:val="nil"/>
              <w:left w:val="nil"/>
            </w:tcBorders>
            <w:noWrap/>
            <w:vAlign w:val="center"/>
            <w:hideMark/>
          </w:tcPr>
          <w:p w14:paraId="5AF5F033"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EXR</w:t>
            </w:r>
          </w:p>
        </w:tc>
        <w:tc>
          <w:tcPr>
            <w:tcW w:w="1170" w:type="pct"/>
            <w:tcBorders>
              <w:top w:val="nil"/>
            </w:tcBorders>
            <w:vAlign w:val="center"/>
          </w:tcPr>
          <w:p w14:paraId="280CC658"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1.646066 (0.9996)</w:t>
            </w:r>
          </w:p>
        </w:tc>
        <w:tc>
          <w:tcPr>
            <w:tcW w:w="755" w:type="pct"/>
            <w:tcBorders>
              <w:top w:val="nil"/>
            </w:tcBorders>
            <w:vAlign w:val="center"/>
          </w:tcPr>
          <w:p w14:paraId="0D21F470"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-2.884291</w:t>
            </w:r>
          </w:p>
        </w:tc>
        <w:tc>
          <w:tcPr>
            <w:tcW w:w="1132" w:type="pct"/>
            <w:tcBorders>
              <w:top w:val="nil"/>
            </w:tcBorders>
            <w:noWrap/>
            <w:vAlign w:val="center"/>
            <w:hideMark/>
          </w:tcPr>
          <w:p w14:paraId="6AAB37B0"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-9.952340 (0.0000)*</w:t>
            </w:r>
          </w:p>
        </w:tc>
        <w:tc>
          <w:tcPr>
            <w:tcW w:w="801" w:type="pct"/>
            <w:tcBorders>
              <w:top w:val="nil"/>
            </w:tcBorders>
            <w:noWrap/>
            <w:vAlign w:val="center"/>
            <w:hideMark/>
          </w:tcPr>
          <w:p w14:paraId="45845452"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-2.884477</w:t>
            </w:r>
          </w:p>
        </w:tc>
        <w:tc>
          <w:tcPr>
            <w:tcW w:w="519" w:type="pct"/>
            <w:tcBorders>
              <w:top w:val="nil"/>
              <w:right w:val="nil"/>
            </w:tcBorders>
            <w:vAlign w:val="center"/>
          </w:tcPr>
          <w:p w14:paraId="00A3B186" w14:textId="77777777" w:rsidR="00D31621" w:rsidRPr="003E78C9" w:rsidRDefault="00D31621" w:rsidP="00C45F51">
            <w:pPr>
              <w:spacing w:after="0" w:line="240" w:lineRule="auto"/>
              <w:rPr>
                <w:rFonts w:ascii="Times New Roman" w:hAnsi="Times New Roman"/>
                <w:color w:val="000000"/>
                <w:sz w:val="21"/>
                <w:szCs w:val="21"/>
              </w:rPr>
            </w:pPr>
            <w:r w:rsidRPr="003E78C9">
              <w:rPr>
                <w:rFonts w:ascii="Times New Roman" w:hAnsi="Times New Roman"/>
                <w:color w:val="000000"/>
                <w:sz w:val="21"/>
                <w:szCs w:val="21"/>
              </w:rPr>
              <w:t>I(1)</w:t>
            </w:r>
          </w:p>
        </w:tc>
      </w:tr>
    </w:tbl>
    <w:p w14:paraId="3B82A0DA" w14:textId="77777777" w:rsidR="00D31621" w:rsidRDefault="00D31621" w:rsidP="00C45F51">
      <w:pPr>
        <w:spacing w:after="0" w:line="240" w:lineRule="auto"/>
        <w:jc w:val="both"/>
        <w:rPr>
          <w:b/>
          <w:sz w:val="24"/>
          <w:szCs w:val="24"/>
        </w:rPr>
      </w:pPr>
      <w:r>
        <w:rPr>
          <w:b/>
          <w:sz w:val="24"/>
          <w:szCs w:val="24"/>
        </w:rPr>
        <w:tab/>
      </w:r>
    </w:p>
    <w:p w14:paraId="1D61B004" w14:textId="77777777" w:rsidR="00D31621" w:rsidRDefault="00D31621" w:rsidP="00C45F51">
      <w:pPr>
        <w:spacing w:after="0" w:line="240" w:lineRule="auto"/>
        <w:jc w:val="both"/>
        <w:rPr>
          <w:b/>
          <w:sz w:val="24"/>
          <w:szCs w:val="24"/>
        </w:rPr>
      </w:pPr>
    </w:p>
    <w:p w14:paraId="47AA38F5" w14:textId="77777777" w:rsidR="00D31621" w:rsidRDefault="00D31621" w:rsidP="00C45F51">
      <w:pPr>
        <w:spacing w:after="0" w:line="240" w:lineRule="auto"/>
        <w:jc w:val="both"/>
        <w:rPr>
          <w:b/>
          <w:sz w:val="24"/>
          <w:szCs w:val="24"/>
        </w:rPr>
      </w:pPr>
      <w:r w:rsidRPr="00955162">
        <w:rPr>
          <w:b/>
          <w:sz w:val="24"/>
          <w:szCs w:val="24"/>
        </w:rPr>
        <w:t xml:space="preserve">               </w:t>
      </w:r>
    </w:p>
    <w:p w14:paraId="6857EEFC" w14:textId="77777777" w:rsidR="00D31621" w:rsidRDefault="00D31621" w:rsidP="00C45F51">
      <w:pPr>
        <w:spacing w:after="0" w:line="240" w:lineRule="auto"/>
        <w:jc w:val="both"/>
        <w:rPr>
          <w:b/>
          <w:sz w:val="24"/>
          <w:szCs w:val="24"/>
        </w:rPr>
      </w:pPr>
    </w:p>
    <w:p w14:paraId="10782D8A" w14:textId="77777777" w:rsidR="00D31621" w:rsidRDefault="00D31621" w:rsidP="00C45F51">
      <w:pPr>
        <w:spacing w:after="0" w:line="240" w:lineRule="auto"/>
        <w:jc w:val="both"/>
        <w:rPr>
          <w:b/>
          <w:sz w:val="24"/>
          <w:szCs w:val="24"/>
        </w:rPr>
      </w:pPr>
    </w:p>
    <w:p w14:paraId="7D07D6F6" w14:textId="77777777" w:rsidR="00AD25CA" w:rsidRDefault="00D31621" w:rsidP="00C45F51">
      <w:pPr>
        <w:spacing w:after="0" w:line="240" w:lineRule="auto"/>
        <w:ind w:firstLine="720"/>
        <w:jc w:val="both"/>
        <w:rPr>
          <w:rFonts w:ascii="Times New Roman" w:hAnsi="Times New Roman"/>
          <w:sz w:val="24"/>
          <w:szCs w:val="24"/>
        </w:rPr>
      </w:pPr>
      <w:r w:rsidRPr="00FC2131">
        <w:rPr>
          <w:rFonts w:ascii="Times New Roman" w:hAnsi="Times New Roman"/>
          <w:sz w:val="24"/>
          <w:szCs w:val="24"/>
        </w:rPr>
        <w:t>S</w:t>
      </w:r>
    </w:p>
    <w:p w14:paraId="00EE04E5" w14:textId="77777777" w:rsidR="00AD25CA" w:rsidRDefault="00AD25CA" w:rsidP="00C45F51">
      <w:pPr>
        <w:spacing w:after="0" w:line="240" w:lineRule="auto"/>
        <w:ind w:firstLine="720"/>
        <w:jc w:val="both"/>
        <w:rPr>
          <w:rFonts w:ascii="Times New Roman" w:hAnsi="Times New Roman"/>
          <w:sz w:val="24"/>
          <w:szCs w:val="24"/>
        </w:rPr>
      </w:pPr>
    </w:p>
    <w:p w14:paraId="64353A7A" w14:textId="77777777" w:rsidR="00AD25CA" w:rsidRDefault="00AD25CA" w:rsidP="00C45F51">
      <w:pPr>
        <w:spacing w:after="0" w:line="240" w:lineRule="auto"/>
        <w:ind w:firstLine="720"/>
        <w:jc w:val="both"/>
        <w:rPr>
          <w:rFonts w:ascii="Times New Roman" w:hAnsi="Times New Roman"/>
          <w:sz w:val="24"/>
          <w:szCs w:val="24"/>
        </w:rPr>
      </w:pPr>
    </w:p>
    <w:p w14:paraId="54DF90FF" w14:textId="77777777" w:rsidR="00AD25CA" w:rsidRDefault="00AD25CA" w:rsidP="00C45F51">
      <w:pPr>
        <w:spacing w:after="0" w:line="240" w:lineRule="auto"/>
        <w:ind w:firstLine="720"/>
        <w:jc w:val="both"/>
        <w:rPr>
          <w:rFonts w:ascii="Times New Roman" w:hAnsi="Times New Roman"/>
          <w:sz w:val="24"/>
          <w:szCs w:val="24"/>
        </w:rPr>
      </w:pPr>
    </w:p>
    <w:p w14:paraId="321D7768" w14:textId="77777777" w:rsidR="00AD25CA" w:rsidRDefault="00AD25CA" w:rsidP="00C45F51">
      <w:pPr>
        <w:spacing w:after="0" w:line="240" w:lineRule="auto"/>
        <w:ind w:firstLine="720"/>
        <w:jc w:val="both"/>
        <w:rPr>
          <w:rFonts w:ascii="Times New Roman" w:hAnsi="Times New Roman"/>
          <w:sz w:val="24"/>
          <w:szCs w:val="24"/>
        </w:rPr>
      </w:pPr>
    </w:p>
    <w:p w14:paraId="0F04B20B" w14:textId="77777777" w:rsidR="00AD25CA" w:rsidRDefault="00AD25CA" w:rsidP="00C45F51">
      <w:pPr>
        <w:spacing w:after="0" w:line="240" w:lineRule="auto"/>
        <w:ind w:firstLine="720"/>
        <w:jc w:val="both"/>
        <w:rPr>
          <w:rFonts w:ascii="Times New Roman" w:hAnsi="Times New Roman"/>
          <w:sz w:val="24"/>
          <w:szCs w:val="24"/>
        </w:rPr>
      </w:pPr>
    </w:p>
    <w:p w14:paraId="6D77C180" w14:textId="3FABB57B" w:rsidR="00D31621" w:rsidRPr="00812AD2" w:rsidRDefault="00AD25CA" w:rsidP="00C45F51">
      <w:pPr>
        <w:spacing w:after="0" w:line="240" w:lineRule="auto"/>
        <w:ind w:firstLine="720"/>
        <w:jc w:val="both"/>
        <w:rPr>
          <w:rFonts w:ascii="Times New Roman" w:hAnsi="Times New Roman"/>
          <w:b/>
          <w:bCs/>
          <w:i/>
          <w:iCs/>
          <w:sz w:val="20"/>
          <w:szCs w:val="20"/>
        </w:rPr>
      </w:pPr>
      <w:r w:rsidRPr="00FC2131">
        <w:rPr>
          <w:rFonts w:ascii="Times New Roman" w:hAnsi="Times New Roman"/>
          <w:sz w:val="24"/>
          <w:szCs w:val="24"/>
        </w:rPr>
        <w:t>O</w:t>
      </w:r>
      <w:r>
        <w:rPr>
          <w:rFonts w:ascii="Times New Roman" w:hAnsi="Times New Roman"/>
          <w:sz w:val="24"/>
          <w:szCs w:val="24"/>
        </w:rPr>
        <w:t xml:space="preserve">           </w:t>
      </w:r>
      <w:r w:rsidRPr="00812AD2">
        <w:rPr>
          <w:rFonts w:ascii="Times New Roman" w:hAnsi="Times New Roman"/>
          <w:b/>
          <w:bCs/>
          <w:i/>
          <w:iCs/>
          <w:sz w:val="20"/>
          <w:szCs w:val="20"/>
        </w:rPr>
        <w:t>So</w:t>
      </w:r>
      <w:r w:rsidR="00D31621" w:rsidRPr="00812AD2">
        <w:rPr>
          <w:rFonts w:ascii="Times New Roman" w:hAnsi="Times New Roman"/>
          <w:b/>
          <w:bCs/>
          <w:i/>
          <w:iCs/>
          <w:sz w:val="20"/>
          <w:szCs w:val="20"/>
        </w:rPr>
        <w:t>urce: Author’s computation using Eviews 10</w:t>
      </w:r>
    </w:p>
    <w:p w14:paraId="26473873" w14:textId="77777777" w:rsidR="00D31621" w:rsidRPr="00812AD2" w:rsidRDefault="00D31621" w:rsidP="00C45F51">
      <w:pPr>
        <w:spacing w:line="240" w:lineRule="auto"/>
        <w:ind w:firstLine="720"/>
        <w:jc w:val="both"/>
        <w:rPr>
          <w:rFonts w:ascii="Times New Roman" w:hAnsi="Times New Roman"/>
          <w:b/>
          <w:bCs/>
          <w:i/>
          <w:iCs/>
          <w:sz w:val="20"/>
          <w:szCs w:val="20"/>
        </w:rPr>
      </w:pPr>
      <w:r w:rsidRPr="00812AD2">
        <w:rPr>
          <w:rFonts w:ascii="Times New Roman" w:hAnsi="Times New Roman"/>
          <w:b/>
          <w:bCs/>
          <w:i/>
          <w:iCs/>
          <w:sz w:val="20"/>
          <w:szCs w:val="20"/>
        </w:rPr>
        <w:t>Note: Values in Parentheses are probabilities and * indicates significance at 5% level</w:t>
      </w:r>
    </w:p>
    <w:p w14:paraId="395DF511" w14:textId="77777777" w:rsidR="00812AD2" w:rsidRDefault="00812AD2" w:rsidP="00812AD2">
      <w:pPr>
        <w:pStyle w:val="NoSpacing"/>
        <w:spacing w:after="240"/>
        <w:rPr>
          <w:rFonts w:ascii="Times New Roman" w:hAnsi="Times New Roman"/>
          <w:sz w:val="24"/>
          <w:szCs w:val="24"/>
        </w:rPr>
        <w:sectPr w:rsidR="00812AD2" w:rsidSect="004267E7">
          <w:type w:val="continuous"/>
          <w:pgSz w:w="12240" w:h="15840"/>
          <w:pgMar w:top="1135" w:right="1440" w:bottom="1440" w:left="1440" w:header="720" w:footer="720" w:gutter="0"/>
          <w:cols w:space="720"/>
          <w:docGrid w:linePitch="360"/>
        </w:sectPr>
      </w:pPr>
    </w:p>
    <w:p w14:paraId="154D4B74" w14:textId="7AA50B69" w:rsidR="00D31621" w:rsidRDefault="00D31621" w:rsidP="00812AD2">
      <w:pPr>
        <w:pStyle w:val="NoSpacing"/>
        <w:spacing w:after="240"/>
        <w:rPr>
          <w:rFonts w:ascii="Times New Roman" w:hAnsi="Times New Roman"/>
          <w:sz w:val="24"/>
          <w:szCs w:val="24"/>
        </w:rPr>
      </w:pPr>
      <w:r w:rsidRPr="00A8017B">
        <w:rPr>
          <w:rFonts w:ascii="Times New Roman" w:hAnsi="Times New Roman"/>
          <w:sz w:val="24"/>
          <w:szCs w:val="24"/>
        </w:rPr>
        <w:t xml:space="preserve">The results from </w:t>
      </w:r>
      <w:r>
        <w:rPr>
          <w:rFonts w:ascii="Times New Roman" w:hAnsi="Times New Roman"/>
          <w:sz w:val="24"/>
          <w:szCs w:val="24"/>
        </w:rPr>
        <w:t xml:space="preserve">Table </w:t>
      </w:r>
      <w:r w:rsidR="00AD25CA">
        <w:rPr>
          <w:rFonts w:ascii="Times New Roman" w:hAnsi="Times New Roman"/>
          <w:sz w:val="24"/>
          <w:szCs w:val="24"/>
        </w:rPr>
        <w:t>8</w:t>
      </w:r>
      <w:r>
        <w:rPr>
          <w:rFonts w:ascii="Times New Roman" w:hAnsi="Times New Roman"/>
          <w:sz w:val="24"/>
          <w:szCs w:val="24"/>
        </w:rPr>
        <w:t xml:space="preserve"> indicate</w:t>
      </w:r>
      <w:r w:rsidR="00AD25CA">
        <w:rPr>
          <w:rFonts w:ascii="Times New Roman" w:hAnsi="Times New Roman"/>
          <w:sz w:val="24"/>
          <w:szCs w:val="24"/>
        </w:rPr>
        <w:t>d</w:t>
      </w:r>
      <w:r w:rsidRPr="00A8017B">
        <w:rPr>
          <w:rFonts w:ascii="Times New Roman" w:hAnsi="Times New Roman"/>
          <w:sz w:val="24"/>
          <w:szCs w:val="24"/>
        </w:rPr>
        <w:t xml:space="preserve"> that none of the series is stationary at level as their </w:t>
      </w:r>
      <w:r>
        <w:rPr>
          <w:rFonts w:ascii="Times New Roman" w:hAnsi="Times New Roman"/>
          <w:sz w:val="24"/>
          <w:szCs w:val="24"/>
        </w:rPr>
        <w:t>probability values</w:t>
      </w:r>
      <w:r w:rsidRPr="00A8017B">
        <w:rPr>
          <w:rFonts w:ascii="Times New Roman" w:hAnsi="Times New Roman"/>
          <w:sz w:val="24"/>
          <w:szCs w:val="24"/>
        </w:rPr>
        <w:t xml:space="preserve"> are all </w:t>
      </w:r>
      <w:r>
        <w:rPr>
          <w:rFonts w:ascii="Times New Roman" w:hAnsi="Times New Roman"/>
          <w:sz w:val="24"/>
          <w:szCs w:val="24"/>
        </w:rPr>
        <w:t>greater than 0.05 (5%) critical level which led to the</w:t>
      </w:r>
      <w:r w:rsidRPr="00A8017B">
        <w:rPr>
          <w:rFonts w:ascii="Times New Roman" w:hAnsi="Times New Roman"/>
          <w:sz w:val="24"/>
          <w:szCs w:val="24"/>
        </w:rPr>
        <w:t xml:space="preserve"> </w:t>
      </w:r>
      <w:r>
        <w:rPr>
          <w:rFonts w:ascii="Times New Roman" w:hAnsi="Times New Roman"/>
          <w:sz w:val="24"/>
          <w:szCs w:val="24"/>
        </w:rPr>
        <w:t>acceptance</w:t>
      </w:r>
      <w:r w:rsidRPr="00A8017B">
        <w:rPr>
          <w:rFonts w:ascii="Times New Roman" w:hAnsi="Times New Roman"/>
          <w:sz w:val="24"/>
          <w:szCs w:val="24"/>
        </w:rPr>
        <w:t xml:space="preserve"> of </w:t>
      </w:r>
      <w:r>
        <w:rPr>
          <w:rFonts w:ascii="Times New Roman" w:hAnsi="Times New Roman"/>
          <w:sz w:val="24"/>
          <w:szCs w:val="24"/>
        </w:rPr>
        <w:t xml:space="preserve">the null </w:t>
      </w:r>
      <w:r w:rsidRPr="00A8017B">
        <w:rPr>
          <w:rFonts w:ascii="Times New Roman" w:hAnsi="Times New Roman"/>
          <w:sz w:val="24"/>
          <w:szCs w:val="24"/>
        </w:rPr>
        <w:t>hypothesis</w:t>
      </w:r>
      <w:r>
        <w:rPr>
          <w:rFonts w:ascii="Times New Roman" w:hAnsi="Times New Roman"/>
          <w:sz w:val="24"/>
          <w:szCs w:val="24"/>
        </w:rPr>
        <w:t xml:space="preserve"> (Series has a unit root)</w:t>
      </w:r>
      <w:r w:rsidRPr="00A8017B">
        <w:rPr>
          <w:rFonts w:ascii="Times New Roman" w:hAnsi="Times New Roman"/>
          <w:sz w:val="24"/>
          <w:szCs w:val="24"/>
        </w:rPr>
        <w:t xml:space="preserve"> </w:t>
      </w:r>
      <w:r>
        <w:rPr>
          <w:rFonts w:ascii="Times New Roman" w:hAnsi="Times New Roman"/>
          <w:sz w:val="24"/>
          <w:szCs w:val="24"/>
        </w:rPr>
        <w:t>for all the series.</w:t>
      </w:r>
      <w:r w:rsidRPr="00A8017B">
        <w:rPr>
          <w:rFonts w:ascii="Times New Roman" w:hAnsi="Times New Roman"/>
          <w:sz w:val="24"/>
          <w:szCs w:val="24"/>
        </w:rPr>
        <w:t xml:space="preserve"> However, the null hypothesis </w:t>
      </w:r>
      <w:r>
        <w:rPr>
          <w:rFonts w:ascii="Times New Roman" w:hAnsi="Times New Roman"/>
          <w:sz w:val="24"/>
          <w:szCs w:val="24"/>
        </w:rPr>
        <w:t>was</w:t>
      </w:r>
      <w:r w:rsidRPr="00A8017B">
        <w:rPr>
          <w:rFonts w:ascii="Times New Roman" w:hAnsi="Times New Roman"/>
          <w:sz w:val="24"/>
          <w:szCs w:val="24"/>
        </w:rPr>
        <w:t xml:space="preserve"> consistently rejected for all the </w:t>
      </w:r>
      <w:r>
        <w:rPr>
          <w:rFonts w:ascii="Times New Roman" w:hAnsi="Times New Roman"/>
          <w:sz w:val="24"/>
          <w:szCs w:val="24"/>
        </w:rPr>
        <w:t>series (</w:t>
      </w:r>
      <w:r w:rsidRPr="00A8017B">
        <w:rPr>
          <w:rFonts w:ascii="Times New Roman" w:hAnsi="Times New Roman"/>
          <w:sz w:val="24"/>
          <w:szCs w:val="24"/>
        </w:rPr>
        <w:t>variables</w:t>
      </w:r>
      <w:r>
        <w:rPr>
          <w:rFonts w:ascii="Times New Roman" w:hAnsi="Times New Roman"/>
          <w:sz w:val="24"/>
          <w:szCs w:val="24"/>
        </w:rPr>
        <w:t>)</w:t>
      </w:r>
      <w:r w:rsidRPr="00A8017B">
        <w:rPr>
          <w:rFonts w:ascii="Times New Roman" w:hAnsi="Times New Roman"/>
          <w:sz w:val="24"/>
          <w:szCs w:val="24"/>
        </w:rPr>
        <w:t xml:space="preserve"> when </w:t>
      </w:r>
      <w:r>
        <w:rPr>
          <w:rFonts w:ascii="Times New Roman" w:hAnsi="Times New Roman"/>
          <w:sz w:val="24"/>
          <w:szCs w:val="24"/>
        </w:rPr>
        <w:t xml:space="preserve">expressed in first difference, suggesting that, </w:t>
      </w:r>
      <w:r w:rsidRPr="00A8017B">
        <w:rPr>
          <w:rFonts w:ascii="Times New Roman" w:hAnsi="Times New Roman"/>
          <w:sz w:val="24"/>
          <w:szCs w:val="24"/>
        </w:rPr>
        <w:t xml:space="preserve">all </w:t>
      </w:r>
      <w:r>
        <w:rPr>
          <w:rFonts w:ascii="Times New Roman" w:hAnsi="Times New Roman"/>
          <w:sz w:val="24"/>
          <w:szCs w:val="24"/>
        </w:rPr>
        <w:t xml:space="preserve">the variables are </w:t>
      </w:r>
      <w:r w:rsidRPr="00A8017B">
        <w:rPr>
          <w:rFonts w:ascii="Times New Roman" w:hAnsi="Times New Roman"/>
          <w:sz w:val="24"/>
          <w:szCs w:val="24"/>
        </w:rPr>
        <w:t xml:space="preserve">integrated of order one (I(1)). The results reported are for those with intercept. </w:t>
      </w:r>
      <w:r>
        <w:rPr>
          <w:rFonts w:ascii="Times New Roman" w:hAnsi="Times New Roman"/>
          <w:sz w:val="24"/>
          <w:szCs w:val="24"/>
        </w:rPr>
        <w:t>The implication is that all the variables have mean reverting ability; suggesting long-run equilibrium among the variables.</w:t>
      </w:r>
    </w:p>
    <w:p w14:paraId="5154530B" w14:textId="6D9508EE" w:rsidR="00D31621" w:rsidRDefault="00D31621" w:rsidP="00812AD2">
      <w:pPr>
        <w:pStyle w:val="NoSpacing"/>
        <w:numPr>
          <w:ilvl w:val="0"/>
          <w:numId w:val="34"/>
        </w:numPr>
        <w:ind w:left="284"/>
        <w:rPr>
          <w:rFonts w:ascii="Times New Roman" w:hAnsi="Times New Roman"/>
          <w:b/>
          <w:bCs/>
          <w:sz w:val="24"/>
          <w:szCs w:val="24"/>
        </w:rPr>
      </w:pPr>
      <w:r w:rsidRPr="001B1878">
        <w:rPr>
          <w:rFonts w:ascii="Times New Roman" w:hAnsi="Times New Roman"/>
          <w:b/>
          <w:bCs/>
          <w:sz w:val="24"/>
          <w:szCs w:val="24"/>
        </w:rPr>
        <w:t>Cointegration Analys</w:t>
      </w:r>
      <w:r>
        <w:rPr>
          <w:rFonts w:ascii="Times New Roman" w:hAnsi="Times New Roman"/>
          <w:b/>
          <w:bCs/>
          <w:sz w:val="24"/>
          <w:szCs w:val="24"/>
        </w:rPr>
        <w:t>i</w:t>
      </w:r>
      <w:r w:rsidRPr="001B1878">
        <w:rPr>
          <w:rFonts w:ascii="Times New Roman" w:hAnsi="Times New Roman"/>
          <w:b/>
          <w:bCs/>
          <w:sz w:val="24"/>
          <w:szCs w:val="24"/>
        </w:rPr>
        <w:t xml:space="preserve">s </w:t>
      </w:r>
    </w:p>
    <w:p w14:paraId="2B02A5CA" w14:textId="5E7A6197" w:rsidR="00D31621" w:rsidRDefault="00D31621" w:rsidP="00812AD2">
      <w:pPr>
        <w:pStyle w:val="NoSpacing"/>
        <w:rPr>
          <w:rFonts w:ascii="Times New Roman" w:hAnsi="Times New Roman"/>
          <w:sz w:val="24"/>
          <w:szCs w:val="24"/>
        </w:rPr>
      </w:pPr>
      <w:r w:rsidRPr="001B1878">
        <w:rPr>
          <w:rFonts w:ascii="Times New Roman" w:hAnsi="Times New Roman"/>
          <w:sz w:val="24"/>
          <w:szCs w:val="24"/>
        </w:rPr>
        <w:t xml:space="preserve">Having confirmed </w:t>
      </w:r>
      <w:r>
        <w:rPr>
          <w:rFonts w:ascii="Times New Roman" w:hAnsi="Times New Roman"/>
          <w:sz w:val="24"/>
          <w:szCs w:val="24"/>
        </w:rPr>
        <w:t xml:space="preserve">that all </w:t>
      </w:r>
      <w:r w:rsidRPr="001B1878">
        <w:rPr>
          <w:rFonts w:ascii="Times New Roman" w:hAnsi="Times New Roman"/>
          <w:sz w:val="24"/>
          <w:szCs w:val="24"/>
        </w:rPr>
        <w:t xml:space="preserve">the </w:t>
      </w:r>
      <w:r>
        <w:rPr>
          <w:rFonts w:ascii="Times New Roman" w:hAnsi="Times New Roman"/>
          <w:sz w:val="24"/>
          <w:szCs w:val="24"/>
        </w:rPr>
        <w:t>variables are stationary at first difference and integrated of the same order (I(1)), the appropriate technique to determine the existence of long run relationship among these variables is the Johansen cointegration test.</w:t>
      </w:r>
      <w:r w:rsidRPr="001B1878">
        <w:rPr>
          <w:rFonts w:ascii="Times New Roman" w:hAnsi="Times New Roman"/>
          <w:sz w:val="24"/>
          <w:szCs w:val="24"/>
        </w:rPr>
        <w:t xml:space="preserve"> </w:t>
      </w:r>
      <w:r>
        <w:rPr>
          <w:rFonts w:ascii="Times New Roman" w:hAnsi="Times New Roman"/>
          <w:sz w:val="24"/>
          <w:szCs w:val="24"/>
        </w:rPr>
        <w:t xml:space="preserve">Prior to </w:t>
      </w:r>
      <w:r w:rsidRPr="001B1878">
        <w:rPr>
          <w:rFonts w:ascii="Times New Roman" w:hAnsi="Times New Roman"/>
          <w:sz w:val="24"/>
          <w:szCs w:val="24"/>
        </w:rPr>
        <w:t>this, we consider</w:t>
      </w:r>
      <w:r>
        <w:rPr>
          <w:rFonts w:ascii="Times New Roman" w:hAnsi="Times New Roman"/>
          <w:sz w:val="24"/>
          <w:szCs w:val="24"/>
        </w:rPr>
        <w:t>ed</w:t>
      </w:r>
      <w:r w:rsidRPr="001B1878">
        <w:rPr>
          <w:rFonts w:ascii="Times New Roman" w:hAnsi="Times New Roman"/>
          <w:sz w:val="24"/>
          <w:szCs w:val="24"/>
        </w:rPr>
        <w:t xml:space="preserve"> the optimal lag length for the VAR specification. The results of two different information criteria, Akaike (AIC) and Schwarz (SC) used unambiguously show</w:t>
      </w:r>
      <w:r>
        <w:rPr>
          <w:rFonts w:ascii="Times New Roman" w:hAnsi="Times New Roman"/>
          <w:sz w:val="24"/>
          <w:szCs w:val="24"/>
        </w:rPr>
        <w:t>ed</w:t>
      </w:r>
      <w:r w:rsidRPr="001B1878">
        <w:rPr>
          <w:rFonts w:ascii="Times New Roman" w:hAnsi="Times New Roman"/>
          <w:sz w:val="24"/>
          <w:szCs w:val="24"/>
        </w:rPr>
        <w:t xml:space="preserve"> th</w:t>
      </w:r>
      <w:r>
        <w:rPr>
          <w:rFonts w:ascii="Times New Roman" w:hAnsi="Times New Roman"/>
          <w:sz w:val="24"/>
          <w:szCs w:val="24"/>
        </w:rPr>
        <w:t xml:space="preserve">at the optimal lag length is one as shown in Table </w:t>
      </w:r>
      <w:r w:rsidR="00AD25CA">
        <w:rPr>
          <w:rFonts w:ascii="Times New Roman" w:hAnsi="Times New Roman"/>
          <w:sz w:val="24"/>
          <w:szCs w:val="24"/>
        </w:rPr>
        <w:t>9</w:t>
      </w:r>
      <w:r>
        <w:rPr>
          <w:rFonts w:ascii="Times New Roman" w:hAnsi="Times New Roman"/>
          <w:sz w:val="24"/>
          <w:szCs w:val="24"/>
        </w:rPr>
        <w:t>.</w:t>
      </w:r>
    </w:p>
    <w:p w14:paraId="648F6EA8" w14:textId="77777777" w:rsidR="00812AD2" w:rsidRDefault="00812AD2" w:rsidP="00C45F51">
      <w:pPr>
        <w:autoSpaceDE w:val="0"/>
        <w:autoSpaceDN w:val="0"/>
        <w:adjustRightInd w:val="0"/>
        <w:spacing w:after="0" w:line="240" w:lineRule="auto"/>
        <w:ind w:firstLine="720"/>
        <w:jc w:val="both"/>
        <w:rPr>
          <w:rFonts w:ascii="Times New Roman" w:hAnsi="Times New Roman"/>
          <w:b/>
          <w:sz w:val="24"/>
          <w:szCs w:val="24"/>
        </w:rPr>
        <w:sectPr w:rsidR="00812AD2" w:rsidSect="00812AD2">
          <w:type w:val="continuous"/>
          <w:pgSz w:w="12240" w:h="15840"/>
          <w:pgMar w:top="1135" w:right="1440" w:bottom="1440" w:left="1440" w:header="720" w:footer="720" w:gutter="0"/>
          <w:cols w:num="2" w:space="720"/>
          <w:docGrid w:linePitch="360"/>
        </w:sectPr>
      </w:pPr>
    </w:p>
    <w:p w14:paraId="1F9EF33A" w14:textId="7412979B" w:rsidR="00D31621" w:rsidRPr="00AB02B2" w:rsidRDefault="00D31621" w:rsidP="00C45F51">
      <w:pPr>
        <w:autoSpaceDE w:val="0"/>
        <w:autoSpaceDN w:val="0"/>
        <w:adjustRightInd w:val="0"/>
        <w:spacing w:after="0" w:line="240" w:lineRule="auto"/>
        <w:ind w:firstLine="720"/>
        <w:jc w:val="both"/>
        <w:rPr>
          <w:rFonts w:ascii="Times New Roman" w:hAnsi="Times New Roman"/>
          <w:b/>
          <w:sz w:val="24"/>
          <w:szCs w:val="24"/>
        </w:rPr>
      </w:pPr>
      <w:r>
        <w:rPr>
          <w:rFonts w:ascii="Times New Roman" w:hAnsi="Times New Roman"/>
          <w:b/>
          <w:sz w:val="24"/>
          <w:szCs w:val="24"/>
        </w:rPr>
        <w:t xml:space="preserve">Table </w:t>
      </w:r>
      <w:r w:rsidR="00AD25CA">
        <w:rPr>
          <w:rFonts w:ascii="Times New Roman" w:hAnsi="Times New Roman"/>
          <w:b/>
          <w:sz w:val="24"/>
          <w:szCs w:val="24"/>
        </w:rPr>
        <w:t>9</w:t>
      </w:r>
      <w:r>
        <w:rPr>
          <w:rFonts w:ascii="Times New Roman" w:hAnsi="Times New Roman"/>
          <w:b/>
          <w:sz w:val="24"/>
          <w:szCs w:val="24"/>
        </w:rPr>
        <w:t>: Optimal Lag Selection</w:t>
      </w:r>
    </w:p>
    <w:tbl>
      <w:tblPr>
        <w:tblW w:w="8779" w:type="dxa"/>
        <w:tblInd w:w="951" w:type="dxa"/>
        <w:tblLayout w:type="fixed"/>
        <w:tblCellMar>
          <w:left w:w="0" w:type="dxa"/>
          <w:right w:w="0" w:type="dxa"/>
        </w:tblCellMar>
        <w:tblLook w:val="0000" w:firstRow="0" w:lastRow="0" w:firstColumn="0" w:lastColumn="0" w:noHBand="0" w:noVBand="0"/>
      </w:tblPr>
      <w:tblGrid>
        <w:gridCol w:w="1012"/>
        <w:gridCol w:w="1295"/>
        <w:gridCol w:w="1294"/>
        <w:gridCol w:w="1296"/>
        <w:gridCol w:w="1294"/>
        <w:gridCol w:w="1295"/>
        <w:gridCol w:w="1293"/>
      </w:tblGrid>
      <w:tr w:rsidR="00D31621" w:rsidRPr="002F15BB" w14:paraId="3D25B7FA" w14:textId="77777777" w:rsidTr="00812AD2">
        <w:trPr>
          <w:trHeight w:hRule="exact" w:val="85"/>
        </w:trPr>
        <w:tc>
          <w:tcPr>
            <w:tcW w:w="1012" w:type="dxa"/>
            <w:tcBorders>
              <w:top w:val="nil"/>
              <w:left w:val="nil"/>
              <w:bottom w:val="double" w:sz="6" w:space="2" w:color="auto"/>
              <w:right w:val="nil"/>
            </w:tcBorders>
            <w:vAlign w:val="bottom"/>
          </w:tcPr>
          <w:p w14:paraId="2FE5BE6E"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5" w:type="dxa"/>
            <w:tcBorders>
              <w:top w:val="nil"/>
              <w:left w:val="nil"/>
              <w:bottom w:val="double" w:sz="6" w:space="2" w:color="auto"/>
              <w:right w:val="nil"/>
            </w:tcBorders>
            <w:vAlign w:val="bottom"/>
          </w:tcPr>
          <w:p w14:paraId="1BC74AF2"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4" w:type="dxa"/>
            <w:tcBorders>
              <w:top w:val="nil"/>
              <w:left w:val="nil"/>
              <w:bottom w:val="double" w:sz="6" w:space="2" w:color="auto"/>
              <w:right w:val="nil"/>
            </w:tcBorders>
            <w:vAlign w:val="bottom"/>
          </w:tcPr>
          <w:p w14:paraId="4792D63E"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6" w:type="dxa"/>
            <w:tcBorders>
              <w:top w:val="nil"/>
              <w:left w:val="nil"/>
              <w:bottom w:val="double" w:sz="6" w:space="2" w:color="auto"/>
              <w:right w:val="nil"/>
            </w:tcBorders>
            <w:vAlign w:val="bottom"/>
          </w:tcPr>
          <w:p w14:paraId="6731E86E"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4" w:type="dxa"/>
            <w:tcBorders>
              <w:top w:val="nil"/>
              <w:left w:val="nil"/>
              <w:bottom w:val="double" w:sz="6" w:space="2" w:color="auto"/>
              <w:right w:val="nil"/>
            </w:tcBorders>
            <w:vAlign w:val="bottom"/>
          </w:tcPr>
          <w:p w14:paraId="00AEB0FC"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5" w:type="dxa"/>
            <w:tcBorders>
              <w:top w:val="nil"/>
              <w:left w:val="nil"/>
              <w:bottom w:val="double" w:sz="6" w:space="2" w:color="auto"/>
              <w:right w:val="nil"/>
            </w:tcBorders>
            <w:vAlign w:val="bottom"/>
          </w:tcPr>
          <w:p w14:paraId="48C87209"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3" w:type="dxa"/>
            <w:tcBorders>
              <w:top w:val="nil"/>
              <w:left w:val="nil"/>
              <w:bottom w:val="double" w:sz="6" w:space="2" w:color="auto"/>
              <w:right w:val="nil"/>
            </w:tcBorders>
            <w:vAlign w:val="bottom"/>
          </w:tcPr>
          <w:p w14:paraId="4CCBAFD7"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r>
      <w:tr w:rsidR="00D31621" w:rsidRPr="002F15BB" w14:paraId="7141EF4A" w14:textId="77777777" w:rsidTr="00812AD2">
        <w:trPr>
          <w:trHeight w:hRule="exact" w:val="129"/>
        </w:trPr>
        <w:tc>
          <w:tcPr>
            <w:tcW w:w="1012" w:type="dxa"/>
            <w:tcBorders>
              <w:top w:val="nil"/>
              <w:left w:val="nil"/>
              <w:bottom w:val="nil"/>
              <w:right w:val="nil"/>
            </w:tcBorders>
            <w:vAlign w:val="bottom"/>
          </w:tcPr>
          <w:p w14:paraId="6B0FC8BC"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5" w:type="dxa"/>
            <w:tcBorders>
              <w:top w:val="nil"/>
              <w:left w:val="nil"/>
              <w:bottom w:val="nil"/>
              <w:right w:val="nil"/>
            </w:tcBorders>
            <w:vAlign w:val="bottom"/>
          </w:tcPr>
          <w:p w14:paraId="5794C91C"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4" w:type="dxa"/>
            <w:tcBorders>
              <w:top w:val="nil"/>
              <w:left w:val="nil"/>
              <w:bottom w:val="nil"/>
              <w:right w:val="nil"/>
            </w:tcBorders>
            <w:vAlign w:val="bottom"/>
          </w:tcPr>
          <w:p w14:paraId="01F417E9"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6" w:type="dxa"/>
            <w:tcBorders>
              <w:top w:val="nil"/>
              <w:left w:val="nil"/>
              <w:bottom w:val="nil"/>
              <w:right w:val="nil"/>
            </w:tcBorders>
            <w:vAlign w:val="bottom"/>
          </w:tcPr>
          <w:p w14:paraId="0C45E5DE"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4" w:type="dxa"/>
            <w:tcBorders>
              <w:top w:val="nil"/>
              <w:left w:val="nil"/>
              <w:bottom w:val="nil"/>
              <w:right w:val="nil"/>
            </w:tcBorders>
            <w:vAlign w:val="bottom"/>
          </w:tcPr>
          <w:p w14:paraId="70902D2C"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5" w:type="dxa"/>
            <w:tcBorders>
              <w:top w:val="nil"/>
              <w:left w:val="nil"/>
              <w:bottom w:val="nil"/>
              <w:right w:val="nil"/>
            </w:tcBorders>
            <w:vAlign w:val="bottom"/>
          </w:tcPr>
          <w:p w14:paraId="6621D24E"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3" w:type="dxa"/>
            <w:tcBorders>
              <w:top w:val="nil"/>
              <w:left w:val="nil"/>
              <w:bottom w:val="nil"/>
              <w:right w:val="nil"/>
            </w:tcBorders>
            <w:vAlign w:val="bottom"/>
          </w:tcPr>
          <w:p w14:paraId="3A8DE975"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r>
      <w:tr w:rsidR="00D31621" w:rsidRPr="002F15BB" w14:paraId="02F43DD3" w14:textId="77777777" w:rsidTr="00812AD2">
        <w:trPr>
          <w:trHeight w:val="215"/>
        </w:trPr>
        <w:tc>
          <w:tcPr>
            <w:tcW w:w="1012" w:type="dxa"/>
            <w:tcBorders>
              <w:top w:val="nil"/>
              <w:left w:val="nil"/>
              <w:bottom w:val="nil"/>
              <w:right w:val="nil"/>
            </w:tcBorders>
            <w:vAlign w:val="bottom"/>
          </w:tcPr>
          <w:p w14:paraId="0985D628"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 Lag</w:t>
            </w:r>
          </w:p>
        </w:tc>
        <w:tc>
          <w:tcPr>
            <w:tcW w:w="1295" w:type="dxa"/>
            <w:tcBorders>
              <w:top w:val="nil"/>
              <w:left w:val="nil"/>
              <w:bottom w:val="nil"/>
              <w:right w:val="nil"/>
            </w:tcBorders>
            <w:vAlign w:val="bottom"/>
          </w:tcPr>
          <w:p w14:paraId="6E758223"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LogL</w:t>
            </w:r>
          </w:p>
        </w:tc>
        <w:tc>
          <w:tcPr>
            <w:tcW w:w="1294" w:type="dxa"/>
            <w:tcBorders>
              <w:top w:val="nil"/>
              <w:left w:val="nil"/>
              <w:bottom w:val="nil"/>
              <w:right w:val="nil"/>
            </w:tcBorders>
            <w:vAlign w:val="bottom"/>
          </w:tcPr>
          <w:p w14:paraId="2D0E6F1A"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LR</w:t>
            </w:r>
          </w:p>
        </w:tc>
        <w:tc>
          <w:tcPr>
            <w:tcW w:w="1296" w:type="dxa"/>
            <w:tcBorders>
              <w:top w:val="nil"/>
              <w:left w:val="nil"/>
              <w:bottom w:val="nil"/>
              <w:right w:val="nil"/>
            </w:tcBorders>
            <w:vAlign w:val="bottom"/>
          </w:tcPr>
          <w:p w14:paraId="1DC911FD"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FPE</w:t>
            </w:r>
          </w:p>
        </w:tc>
        <w:tc>
          <w:tcPr>
            <w:tcW w:w="1294" w:type="dxa"/>
            <w:tcBorders>
              <w:top w:val="nil"/>
              <w:left w:val="nil"/>
              <w:bottom w:val="nil"/>
              <w:right w:val="nil"/>
            </w:tcBorders>
            <w:vAlign w:val="bottom"/>
          </w:tcPr>
          <w:p w14:paraId="45C3CCB5"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AIC</w:t>
            </w:r>
          </w:p>
        </w:tc>
        <w:tc>
          <w:tcPr>
            <w:tcW w:w="1295" w:type="dxa"/>
            <w:tcBorders>
              <w:top w:val="nil"/>
              <w:left w:val="nil"/>
              <w:bottom w:val="nil"/>
              <w:right w:val="nil"/>
            </w:tcBorders>
            <w:vAlign w:val="bottom"/>
          </w:tcPr>
          <w:p w14:paraId="039125A2"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SC</w:t>
            </w:r>
          </w:p>
        </w:tc>
        <w:tc>
          <w:tcPr>
            <w:tcW w:w="1293" w:type="dxa"/>
            <w:tcBorders>
              <w:top w:val="nil"/>
              <w:left w:val="nil"/>
              <w:bottom w:val="nil"/>
              <w:right w:val="nil"/>
            </w:tcBorders>
            <w:vAlign w:val="bottom"/>
          </w:tcPr>
          <w:p w14:paraId="725D5E36"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HQ</w:t>
            </w:r>
          </w:p>
        </w:tc>
      </w:tr>
      <w:tr w:rsidR="00D31621" w:rsidRPr="002F15BB" w14:paraId="2FE90D1B" w14:textId="77777777" w:rsidTr="00812AD2">
        <w:trPr>
          <w:trHeight w:hRule="exact" w:val="85"/>
        </w:trPr>
        <w:tc>
          <w:tcPr>
            <w:tcW w:w="1012" w:type="dxa"/>
            <w:tcBorders>
              <w:top w:val="nil"/>
              <w:left w:val="nil"/>
              <w:bottom w:val="double" w:sz="6" w:space="2" w:color="auto"/>
              <w:right w:val="nil"/>
            </w:tcBorders>
            <w:vAlign w:val="bottom"/>
          </w:tcPr>
          <w:p w14:paraId="6EF47309"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5" w:type="dxa"/>
            <w:tcBorders>
              <w:top w:val="nil"/>
              <w:left w:val="nil"/>
              <w:bottom w:val="double" w:sz="6" w:space="2" w:color="auto"/>
              <w:right w:val="nil"/>
            </w:tcBorders>
            <w:vAlign w:val="bottom"/>
          </w:tcPr>
          <w:p w14:paraId="32EE00A1"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4" w:type="dxa"/>
            <w:tcBorders>
              <w:top w:val="nil"/>
              <w:left w:val="nil"/>
              <w:bottom w:val="double" w:sz="6" w:space="2" w:color="auto"/>
              <w:right w:val="nil"/>
            </w:tcBorders>
            <w:vAlign w:val="bottom"/>
          </w:tcPr>
          <w:p w14:paraId="6F9B01AB"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6" w:type="dxa"/>
            <w:tcBorders>
              <w:top w:val="nil"/>
              <w:left w:val="nil"/>
              <w:bottom w:val="double" w:sz="6" w:space="2" w:color="auto"/>
              <w:right w:val="nil"/>
            </w:tcBorders>
            <w:vAlign w:val="bottom"/>
          </w:tcPr>
          <w:p w14:paraId="289BED84"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4" w:type="dxa"/>
            <w:tcBorders>
              <w:top w:val="nil"/>
              <w:left w:val="nil"/>
              <w:bottom w:val="double" w:sz="6" w:space="2" w:color="auto"/>
              <w:right w:val="nil"/>
            </w:tcBorders>
            <w:vAlign w:val="bottom"/>
          </w:tcPr>
          <w:p w14:paraId="00F3A61E"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5" w:type="dxa"/>
            <w:tcBorders>
              <w:top w:val="nil"/>
              <w:left w:val="nil"/>
              <w:bottom w:val="double" w:sz="6" w:space="2" w:color="auto"/>
              <w:right w:val="nil"/>
            </w:tcBorders>
            <w:vAlign w:val="bottom"/>
          </w:tcPr>
          <w:p w14:paraId="1E38731D"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3" w:type="dxa"/>
            <w:tcBorders>
              <w:top w:val="nil"/>
              <w:left w:val="nil"/>
              <w:bottom w:val="double" w:sz="6" w:space="2" w:color="auto"/>
              <w:right w:val="nil"/>
            </w:tcBorders>
            <w:vAlign w:val="bottom"/>
          </w:tcPr>
          <w:p w14:paraId="76A4EB70"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r>
      <w:tr w:rsidR="00D31621" w:rsidRPr="002F15BB" w14:paraId="236628A1" w14:textId="77777777" w:rsidTr="00812AD2">
        <w:trPr>
          <w:trHeight w:hRule="exact" w:val="129"/>
        </w:trPr>
        <w:tc>
          <w:tcPr>
            <w:tcW w:w="1012" w:type="dxa"/>
            <w:tcBorders>
              <w:top w:val="nil"/>
              <w:left w:val="nil"/>
              <w:bottom w:val="nil"/>
              <w:right w:val="nil"/>
            </w:tcBorders>
            <w:vAlign w:val="bottom"/>
          </w:tcPr>
          <w:p w14:paraId="1AA885C6"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5" w:type="dxa"/>
            <w:tcBorders>
              <w:top w:val="nil"/>
              <w:left w:val="nil"/>
              <w:bottom w:val="nil"/>
              <w:right w:val="nil"/>
            </w:tcBorders>
            <w:vAlign w:val="bottom"/>
          </w:tcPr>
          <w:p w14:paraId="4E20C2EA"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4" w:type="dxa"/>
            <w:tcBorders>
              <w:top w:val="nil"/>
              <w:left w:val="nil"/>
              <w:bottom w:val="nil"/>
              <w:right w:val="nil"/>
            </w:tcBorders>
            <w:vAlign w:val="bottom"/>
          </w:tcPr>
          <w:p w14:paraId="59E25782"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6" w:type="dxa"/>
            <w:tcBorders>
              <w:top w:val="nil"/>
              <w:left w:val="nil"/>
              <w:bottom w:val="nil"/>
              <w:right w:val="nil"/>
            </w:tcBorders>
            <w:vAlign w:val="bottom"/>
          </w:tcPr>
          <w:p w14:paraId="5B440186"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4" w:type="dxa"/>
            <w:tcBorders>
              <w:top w:val="nil"/>
              <w:left w:val="nil"/>
              <w:bottom w:val="nil"/>
              <w:right w:val="nil"/>
            </w:tcBorders>
            <w:vAlign w:val="bottom"/>
          </w:tcPr>
          <w:p w14:paraId="5AFB4FB7"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5" w:type="dxa"/>
            <w:tcBorders>
              <w:top w:val="nil"/>
              <w:left w:val="nil"/>
              <w:bottom w:val="nil"/>
              <w:right w:val="nil"/>
            </w:tcBorders>
            <w:vAlign w:val="bottom"/>
          </w:tcPr>
          <w:p w14:paraId="762DF7BE"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3" w:type="dxa"/>
            <w:tcBorders>
              <w:top w:val="nil"/>
              <w:left w:val="nil"/>
              <w:bottom w:val="nil"/>
              <w:right w:val="nil"/>
            </w:tcBorders>
            <w:vAlign w:val="bottom"/>
          </w:tcPr>
          <w:p w14:paraId="5C86332D"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r>
      <w:tr w:rsidR="00D31621" w:rsidRPr="002F15BB" w14:paraId="7999EB29" w14:textId="77777777" w:rsidTr="00812AD2">
        <w:trPr>
          <w:trHeight w:val="215"/>
        </w:trPr>
        <w:tc>
          <w:tcPr>
            <w:tcW w:w="1012" w:type="dxa"/>
            <w:tcBorders>
              <w:top w:val="nil"/>
              <w:left w:val="nil"/>
              <w:bottom w:val="nil"/>
              <w:right w:val="nil"/>
            </w:tcBorders>
            <w:vAlign w:val="bottom"/>
          </w:tcPr>
          <w:p w14:paraId="213175D1"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1</w:t>
            </w:r>
          </w:p>
        </w:tc>
        <w:tc>
          <w:tcPr>
            <w:tcW w:w="1295" w:type="dxa"/>
            <w:tcBorders>
              <w:top w:val="nil"/>
              <w:left w:val="nil"/>
              <w:bottom w:val="nil"/>
              <w:right w:val="nil"/>
            </w:tcBorders>
            <w:vAlign w:val="bottom"/>
          </w:tcPr>
          <w:p w14:paraId="018197CA"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-1128.076</w:t>
            </w:r>
          </w:p>
        </w:tc>
        <w:tc>
          <w:tcPr>
            <w:tcW w:w="1294" w:type="dxa"/>
            <w:tcBorders>
              <w:top w:val="nil"/>
              <w:left w:val="nil"/>
              <w:bottom w:val="nil"/>
              <w:right w:val="nil"/>
            </w:tcBorders>
            <w:vAlign w:val="bottom"/>
          </w:tcPr>
          <w:p w14:paraId="63A8D116"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NA </w:t>
            </w:r>
          </w:p>
        </w:tc>
        <w:tc>
          <w:tcPr>
            <w:tcW w:w="1296" w:type="dxa"/>
            <w:tcBorders>
              <w:top w:val="nil"/>
              <w:left w:val="nil"/>
              <w:bottom w:val="nil"/>
              <w:right w:val="nil"/>
            </w:tcBorders>
            <w:vAlign w:val="bottom"/>
          </w:tcPr>
          <w:p w14:paraId="5E6A1561"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 0.058806</w:t>
            </w:r>
          </w:p>
        </w:tc>
        <w:tc>
          <w:tcPr>
            <w:tcW w:w="1294" w:type="dxa"/>
            <w:tcBorders>
              <w:top w:val="nil"/>
              <w:left w:val="nil"/>
              <w:bottom w:val="nil"/>
              <w:right w:val="nil"/>
            </w:tcBorders>
            <w:vAlign w:val="bottom"/>
          </w:tcPr>
          <w:p w14:paraId="26C30E1F"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 19.86793</w:t>
            </w:r>
            <w:r>
              <w:rPr>
                <w:rFonts w:ascii="Arial" w:hAnsi="Arial" w:cs="Arial"/>
                <w:color w:val="000000"/>
                <w:sz w:val="18"/>
                <w:szCs w:val="18"/>
              </w:rPr>
              <w:t>*</w:t>
            </w:r>
          </w:p>
        </w:tc>
        <w:tc>
          <w:tcPr>
            <w:tcW w:w="1295" w:type="dxa"/>
            <w:tcBorders>
              <w:top w:val="nil"/>
              <w:left w:val="nil"/>
              <w:bottom w:val="nil"/>
              <w:right w:val="nil"/>
            </w:tcBorders>
            <w:vAlign w:val="bottom"/>
          </w:tcPr>
          <w:p w14:paraId="2401739C"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 21.35459</w:t>
            </w:r>
            <w:r>
              <w:rPr>
                <w:rFonts w:ascii="Arial" w:hAnsi="Arial" w:cs="Arial"/>
                <w:color w:val="000000"/>
                <w:sz w:val="18"/>
                <w:szCs w:val="18"/>
              </w:rPr>
              <w:t>*</w:t>
            </w:r>
          </w:p>
        </w:tc>
        <w:tc>
          <w:tcPr>
            <w:tcW w:w="1293" w:type="dxa"/>
            <w:tcBorders>
              <w:top w:val="nil"/>
              <w:left w:val="nil"/>
              <w:bottom w:val="nil"/>
              <w:right w:val="nil"/>
            </w:tcBorders>
            <w:vAlign w:val="bottom"/>
          </w:tcPr>
          <w:p w14:paraId="66BCF1EC"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 20.47167</w:t>
            </w:r>
            <w:r>
              <w:rPr>
                <w:rFonts w:ascii="Arial" w:hAnsi="Arial" w:cs="Arial"/>
                <w:color w:val="000000"/>
                <w:sz w:val="18"/>
                <w:szCs w:val="18"/>
              </w:rPr>
              <w:t>*</w:t>
            </w:r>
          </w:p>
        </w:tc>
      </w:tr>
      <w:tr w:rsidR="00D31621" w:rsidRPr="002F15BB" w14:paraId="47B056C8" w14:textId="77777777" w:rsidTr="00812AD2">
        <w:trPr>
          <w:trHeight w:val="215"/>
        </w:trPr>
        <w:tc>
          <w:tcPr>
            <w:tcW w:w="1012" w:type="dxa"/>
            <w:tcBorders>
              <w:top w:val="nil"/>
              <w:left w:val="nil"/>
              <w:bottom w:val="nil"/>
              <w:right w:val="nil"/>
            </w:tcBorders>
            <w:vAlign w:val="bottom"/>
          </w:tcPr>
          <w:p w14:paraId="20DF6A79"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2</w:t>
            </w:r>
          </w:p>
        </w:tc>
        <w:tc>
          <w:tcPr>
            <w:tcW w:w="1295" w:type="dxa"/>
            <w:tcBorders>
              <w:top w:val="nil"/>
              <w:left w:val="nil"/>
              <w:bottom w:val="nil"/>
              <w:right w:val="nil"/>
            </w:tcBorders>
            <w:vAlign w:val="bottom"/>
          </w:tcPr>
          <w:p w14:paraId="3604710F"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-792.9031</w:t>
            </w:r>
          </w:p>
        </w:tc>
        <w:tc>
          <w:tcPr>
            <w:tcW w:w="1294" w:type="dxa"/>
            <w:tcBorders>
              <w:top w:val="nil"/>
              <w:left w:val="nil"/>
              <w:bottom w:val="nil"/>
              <w:right w:val="nil"/>
            </w:tcBorders>
            <w:vAlign w:val="bottom"/>
          </w:tcPr>
          <w:p w14:paraId="637222C4"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 580.9658</w:t>
            </w:r>
          </w:p>
        </w:tc>
        <w:tc>
          <w:tcPr>
            <w:tcW w:w="1296" w:type="dxa"/>
            <w:tcBorders>
              <w:top w:val="nil"/>
              <w:left w:val="nil"/>
              <w:bottom w:val="nil"/>
              <w:right w:val="nil"/>
            </w:tcBorders>
            <w:vAlign w:val="bottom"/>
          </w:tcPr>
          <w:p w14:paraId="2CAC9CA2"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  0.000648*</w:t>
            </w:r>
          </w:p>
        </w:tc>
        <w:tc>
          <w:tcPr>
            <w:tcW w:w="1294" w:type="dxa"/>
            <w:tcBorders>
              <w:top w:val="nil"/>
              <w:left w:val="nil"/>
              <w:bottom w:val="nil"/>
              <w:right w:val="nil"/>
            </w:tcBorders>
            <w:vAlign w:val="bottom"/>
          </w:tcPr>
          <w:p w14:paraId="7501CE1C"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 15.34838</w:t>
            </w:r>
          </w:p>
        </w:tc>
        <w:tc>
          <w:tcPr>
            <w:tcW w:w="1295" w:type="dxa"/>
            <w:tcBorders>
              <w:top w:val="nil"/>
              <w:left w:val="nil"/>
              <w:bottom w:val="nil"/>
              <w:right w:val="nil"/>
            </w:tcBorders>
            <w:vAlign w:val="bottom"/>
          </w:tcPr>
          <w:p w14:paraId="614D1184"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  18.32171</w:t>
            </w:r>
          </w:p>
        </w:tc>
        <w:tc>
          <w:tcPr>
            <w:tcW w:w="1293" w:type="dxa"/>
            <w:tcBorders>
              <w:top w:val="nil"/>
              <w:left w:val="nil"/>
              <w:bottom w:val="nil"/>
              <w:right w:val="nil"/>
            </w:tcBorders>
            <w:vAlign w:val="bottom"/>
          </w:tcPr>
          <w:p w14:paraId="64A5CCD8"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  16.55587</w:t>
            </w:r>
          </w:p>
        </w:tc>
      </w:tr>
      <w:tr w:rsidR="00D31621" w:rsidRPr="002F15BB" w14:paraId="5626C8C0" w14:textId="77777777" w:rsidTr="00812AD2">
        <w:trPr>
          <w:trHeight w:val="215"/>
        </w:trPr>
        <w:tc>
          <w:tcPr>
            <w:tcW w:w="1012" w:type="dxa"/>
            <w:tcBorders>
              <w:top w:val="nil"/>
              <w:left w:val="nil"/>
              <w:bottom w:val="nil"/>
              <w:right w:val="nil"/>
            </w:tcBorders>
            <w:vAlign w:val="bottom"/>
          </w:tcPr>
          <w:p w14:paraId="52FE081A"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3</w:t>
            </w:r>
          </w:p>
        </w:tc>
        <w:tc>
          <w:tcPr>
            <w:tcW w:w="1295" w:type="dxa"/>
            <w:tcBorders>
              <w:top w:val="nil"/>
              <w:left w:val="nil"/>
              <w:bottom w:val="nil"/>
              <w:right w:val="nil"/>
            </w:tcBorders>
            <w:vAlign w:val="bottom"/>
          </w:tcPr>
          <w:p w14:paraId="7689B84A"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-753.6407</w:t>
            </w:r>
          </w:p>
        </w:tc>
        <w:tc>
          <w:tcPr>
            <w:tcW w:w="1294" w:type="dxa"/>
            <w:tcBorders>
              <w:top w:val="nil"/>
              <w:left w:val="nil"/>
              <w:bottom w:val="nil"/>
              <w:right w:val="nil"/>
            </w:tcBorders>
            <w:vAlign w:val="bottom"/>
          </w:tcPr>
          <w:p w14:paraId="1C6FEFD6"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 62.81987</w:t>
            </w:r>
          </w:p>
        </w:tc>
        <w:tc>
          <w:tcPr>
            <w:tcW w:w="1296" w:type="dxa"/>
            <w:tcBorders>
              <w:top w:val="nil"/>
              <w:left w:val="nil"/>
              <w:bottom w:val="nil"/>
              <w:right w:val="nil"/>
            </w:tcBorders>
            <w:vAlign w:val="bottom"/>
          </w:tcPr>
          <w:p w14:paraId="0D50AF73"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 0.001009</w:t>
            </w:r>
          </w:p>
        </w:tc>
        <w:tc>
          <w:tcPr>
            <w:tcW w:w="1294" w:type="dxa"/>
            <w:tcBorders>
              <w:top w:val="nil"/>
              <w:left w:val="nil"/>
              <w:bottom w:val="nil"/>
              <w:right w:val="nil"/>
            </w:tcBorders>
            <w:vAlign w:val="bottom"/>
          </w:tcPr>
          <w:p w14:paraId="6B6785EC"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 15.76068</w:t>
            </w:r>
          </w:p>
        </w:tc>
        <w:tc>
          <w:tcPr>
            <w:tcW w:w="1295" w:type="dxa"/>
            <w:tcBorders>
              <w:top w:val="nil"/>
              <w:left w:val="nil"/>
              <w:bottom w:val="nil"/>
              <w:right w:val="nil"/>
            </w:tcBorders>
            <w:vAlign w:val="bottom"/>
          </w:tcPr>
          <w:p w14:paraId="7D89A2F2"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 20.22066</w:t>
            </w:r>
          </w:p>
        </w:tc>
        <w:tc>
          <w:tcPr>
            <w:tcW w:w="1293" w:type="dxa"/>
            <w:tcBorders>
              <w:top w:val="nil"/>
              <w:left w:val="nil"/>
              <w:bottom w:val="nil"/>
              <w:right w:val="nil"/>
            </w:tcBorders>
            <w:vAlign w:val="bottom"/>
          </w:tcPr>
          <w:p w14:paraId="243D13A1"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 17.57190</w:t>
            </w:r>
          </w:p>
        </w:tc>
      </w:tr>
      <w:tr w:rsidR="00D31621" w:rsidRPr="002F15BB" w14:paraId="35CAEC91" w14:textId="77777777" w:rsidTr="00812AD2">
        <w:trPr>
          <w:trHeight w:val="215"/>
        </w:trPr>
        <w:tc>
          <w:tcPr>
            <w:tcW w:w="1012" w:type="dxa"/>
            <w:tcBorders>
              <w:top w:val="nil"/>
              <w:left w:val="nil"/>
              <w:bottom w:val="nil"/>
              <w:right w:val="nil"/>
            </w:tcBorders>
            <w:vAlign w:val="bottom"/>
          </w:tcPr>
          <w:p w14:paraId="28F04F9C"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4</w:t>
            </w:r>
          </w:p>
        </w:tc>
        <w:tc>
          <w:tcPr>
            <w:tcW w:w="1295" w:type="dxa"/>
            <w:tcBorders>
              <w:top w:val="nil"/>
              <w:left w:val="nil"/>
              <w:bottom w:val="nil"/>
              <w:right w:val="nil"/>
            </w:tcBorders>
            <w:vAlign w:val="bottom"/>
          </w:tcPr>
          <w:p w14:paraId="262ACFB1"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-705.9670</w:t>
            </w:r>
          </w:p>
        </w:tc>
        <w:tc>
          <w:tcPr>
            <w:tcW w:w="1294" w:type="dxa"/>
            <w:tcBorders>
              <w:top w:val="nil"/>
              <w:left w:val="nil"/>
              <w:bottom w:val="nil"/>
              <w:right w:val="nil"/>
            </w:tcBorders>
            <w:vAlign w:val="bottom"/>
          </w:tcPr>
          <w:p w14:paraId="536E7FBC"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 69.92133</w:t>
            </w:r>
          </w:p>
        </w:tc>
        <w:tc>
          <w:tcPr>
            <w:tcW w:w="1296" w:type="dxa"/>
            <w:tcBorders>
              <w:top w:val="nil"/>
              <w:left w:val="nil"/>
              <w:bottom w:val="nil"/>
              <w:right w:val="nil"/>
            </w:tcBorders>
            <w:vAlign w:val="bottom"/>
          </w:tcPr>
          <w:p w14:paraId="51271F3F"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 0.001409</w:t>
            </w:r>
          </w:p>
        </w:tc>
        <w:tc>
          <w:tcPr>
            <w:tcW w:w="1294" w:type="dxa"/>
            <w:tcBorders>
              <w:top w:val="nil"/>
              <w:left w:val="nil"/>
              <w:bottom w:val="nil"/>
              <w:right w:val="nil"/>
            </w:tcBorders>
            <w:vAlign w:val="bottom"/>
          </w:tcPr>
          <w:p w14:paraId="64E68675"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 16.03278</w:t>
            </w:r>
          </w:p>
        </w:tc>
        <w:tc>
          <w:tcPr>
            <w:tcW w:w="1295" w:type="dxa"/>
            <w:tcBorders>
              <w:top w:val="nil"/>
              <w:left w:val="nil"/>
              <w:bottom w:val="nil"/>
              <w:right w:val="nil"/>
            </w:tcBorders>
            <w:vAlign w:val="bottom"/>
          </w:tcPr>
          <w:p w14:paraId="7AC116C9"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 21.97943</w:t>
            </w:r>
          </w:p>
        </w:tc>
        <w:tc>
          <w:tcPr>
            <w:tcW w:w="1293" w:type="dxa"/>
            <w:tcBorders>
              <w:top w:val="nil"/>
              <w:left w:val="nil"/>
              <w:bottom w:val="nil"/>
              <w:right w:val="nil"/>
            </w:tcBorders>
            <w:vAlign w:val="bottom"/>
          </w:tcPr>
          <w:p w14:paraId="5C940684"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 18.44775</w:t>
            </w:r>
          </w:p>
        </w:tc>
      </w:tr>
      <w:tr w:rsidR="00D31621" w:rsidRPr="002F15BB" w14:paraId="1C66211D" w14:textId="77777777" w:rsidTr="00812AD2">
        <w:trPr>
          <w:trHeight w:val="215"/>
        </w:trPr>
        <w:tc>
          <w:tcPr>
            <w:tcW w:w="1012" w:type="dxa"/>
            <w:tcBorders>
              <w:top w:val="nil"/>
              <w:left w:val="nil"/>
              <w:bottom w:val="nil"/>
              <w:right w:val="nil"/>
            </w:tcBorders>
            <w:vAlign w:val="bottom"/>
          </w:tcPr>
          <w:p w14:paraId="44E23EC2"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5</w:t>
            </w:r>
          </w:p>
        </w:tc>
        <w:tc>
          <w:tcPr>
            <w:tcW w:w="1295" w:type="dxa"/>
            <w:tcBorders>
              <w:top w:val="nil"/>
              <w:left w:val="nil"/>
              <w:bottom w:val="nil"/>
              <w:right w:val="nil"/>
            </w:tcBorders>
            <w:vAlign w:val="bottom"/>
          </w:tcPr>
          <w:p w14:paraId="368E6847"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-614.8872</w:t>
            </w:r>
          </w:p>
        </w:tc>
        <w:tc>
          <w:tcPr>
            <w:tcW w:w="1294" w:type="dxa"/>
            <w:tcBorders>
              <w:top w:val="nil"/>
              <w:left w:val="nil"/>
              <w:bottom w:val="nil"/>
              <w:right w:val="nil"/>
            </w:tcBorders>
            <w:vAlign w:val="bottom"/>
          </w:tcPr>
          <w:p w14:paraId="1043306E"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 121.4398</w:t>
            </w:r>
          </w:p>
        </w:tc>
        <w:tc>
          <w:tcPr>
            <w:tcW w:w="1296" w:type="dxa"/>
            <w:tcBorders>
              <w:top w:val="nil"/>
              <w:left w:val="nil"/>
              <w:bottom w:val="nil"/>
              <w:right w:val="nil"/>
            </w:tcBorders>
            <w:vAlign w:val="bottom"/>
          </w:tcPr>
          <w:p w14:paraId="7CA5AE1F"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 0.000998</w:t>
            </w:r>
          </w:p>
        </w:tc>
        <w:tc>
          <w:tcPr>
            <w:tcW w:w="1294" w:type="dxa"/>
            <w:tcBorders>
              <w:top w:val="nil"/>
              <w:left w:val="nil"/>
              <w:bottom w:val="nil"/>
              <w:right w:val="nil"/>
            </w:tcBorders>
            <w:vAlign w:val="bottom"/>
          </w:tcPr>
          <w:p w14:paraId="7B15C402"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 15.58145</w:t>
            </w:r>
          </w:p>
        </w:tc>
        <w:tc>
          <w:tcPr>
            <w:tcW w:w="1295" w:type="dxa"/>
            <w:tcBorders>
              <w:top w:val="nil"/>
              <w:left w:val="nil"/>
              <w:bottom w:val="nil"/>
              <w:right w:val="nil"/>
            </w:tcBorders>
            <w:vAlign w:val="bottom"/>
          </w:tcPr>
          <w:p w14:paraId="0D0D7E89"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 23.01476</w:t>
            </w:r>
          </w:p>
        </w:tc>
        <w:tc>
          <w:tcPr>
            <w:tcW w:w="1293" w:type="dxa"/>
            <w:tcBorders>
              <w:top w:val="nil"/>
              <w:left w:val="nil"/>
              <w:bottom w:val="nil"/>
              <w:right w:val="nil"/>
            </w:tcBorders>
            <w:vAlign w:val="bottom"/>
          </w:tcPr>
          <w:p w14:paraId="59BC0058"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 18.60016</w:t>
            </w:r>
          </w:p>
        </w:tc>
      </w:tr>
      <w:tr w:rsidR="00D31621" w:rsidRPr="002F15BB" w14:paraId="63962C9F" w14:textId="77777777" w:rsidTr="00812AD2">
        <w:trPr>
          <w:trHeight w:val="215"/>
        </w:trPr>
        <w:tc>
          <w:tcPr>
            <w:tcW w:w="1012" w:type="dxa"/>
            <w:tcBorders>
              <w:top w:val="nil"/>
              <w:left w:val="nil"/>
              <w:bottom w:val="nil"/>
              <w:right w:val="nil"/>
            </w:tcBorders>
            <w:vAlign w:val="bottom"/>
          </w:tcPr>
          <w:p w14:paraId="151113A7"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6</w:t>
            </w:r>
          </w:p>
        </w:tc>
        <w:tc>
          <w:tcPr>
            <w:tcW w:w="1295" w:type="dxa"/>
            <w:tcBorders>
              <w:top w:val="nil"/>
              <w:left w:val="nil"/>
              <w:bottom w:val="nil"/>
              <w:right w:val="nil"/>
            </w:tcBorders>
            <w:vAlign w:val="bottom"/>
          </w:tcPr>
          <w:p w14:paraId="4B2BB766"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-527.9192</w:t>
            </w:r>
          </w:p>
        </w:tc>
        <w:tc>
          <w:tcPr>
            <w:tcW w:w="1294" w:type="dxa"/>
            <w:tcBorders>
              <w:top w:val="nil"/>
              <w:left w:val="nil"/>
              <w:bottom w:val="nil"/>
              <w:right w:val="nil"/>
            </w:tcBorders>
            <w:vAlign w:val="bottom"/>
          </w:tcPr>
          <w:p w14:paraId="672793B4"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  104.3616*</w:t>
            </w:r>
          </w:p>
        </w:tc>
        <w:tc>
          <w:tcPr>
            <w:tcW w:w="1296" w:type="dxa"/>
            <w:tcBorders>
              <w:top w:val="nil"/>
              <w:left w:val="nil"/>
              <w:bottom w:val="nil"/>
              <w:right w:val="nil"/>
            </w:tcBorders>
            <w:vAlign w:val="bottom"/>
          </w:tcPr>
          <w:p w14:paraId="745A3D73"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 0.000804</w:t>
            </w:r>
          </w:p>
        </w:tc>
        <w:tc>
          <w:tcPr>
            <w:tcW w:w="1294" w:type="dxa"/>
            <w:tcBorders>
              <w:top w:val="nil"/>
              <w:left w:val="nil"/>
              <w:bottom w:val="nil"/>
              <w:right w:val="nil"/>
            </w:tcBorders>
            <w:vAlign w:val="bottom"/>
          </w:tcPr>
          <w:p w14:paraId="44F4558B"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 15.19865</w:t>
            </w:r>
          </w:p>
        </w:tc>
        <w:tc>
          <w:tcPr>
            <w:tcW w:w="1295" w:type="dxa"/>
            <w:tcBorders>
              <w:top w:val="nil"/>
              <w:left w:val="nil"/>
              <w:bottom w:val="nil"/>
              <w:right w:val="nil"/>
            </w:tcBorders>
            <w:vAlign w:val="bottom"/>
          </w:tcPr>
          <w:p w14:paraId="6C829D92"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 24.11863</w:t>
            </w:r>
          </w:p>
        </w:tc>
        <w:tc>
          <w:tcPr>
            <w:tcW w:w="1293" w:type="dxa"/>
            <w:tcBorders>
              <w:top w:val="nil"/>
              <w:left w:val="nil"/>
              <w:bottom w:val="nil"/>
              <w:right w:val="nil"/>
            </w:tcBorders>
            <w:vAlign w:val="bottom"/>
          </w:tcPr>
          <w:p w14:paraId="69E3CF57"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 18.82110</w:t>
            </w:r>
          </w:p>
        </w:tc>
      </w:tr>
      <w:tr w:rsidR="00D31621" w:rsidRPr="002F15BB" w14:paraId="796AC646" w14:textId="77777777" w:rsidTr="00812AD2">
        <w:trPr>
          <w:trHeight w:val="215"/>
        </w:trPr>
        <w:tc>
          <w:tcPr>
            <w:tcW w:w="1012" w:type="dxa"/>
            <w:tcBorders>
              <w:top w:val="nil"/>
              <w:left w:val="nil"/>
              <w:bottom w:val="nil"/>
              <w:right w:val="nil"/>
            </w:tcBorders>
            <w:vAlign w:val="bottom"/>
          </w:tcPr>
          <w:p w14:paraId="133ABECF"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7</w:t>
            </w:r>
          </w:p>
        </w:tc>
        <w:tc>
          <w:tcPr>
            <w:tcW w:w="1295" w:type="dxa"/>
            <w:tcBorders>
              <w:top w:val="nil"/>
              <w:left w:val="nil"/>
              <w:bottom w:val="nil"/>
              <w:right w:val="nil"/>
            </w:tcBorders>
            <w:vAlign w:val="bottom"/>
          </w:tcPr>
          <w:p w14:paraId="4FB6C604"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-471.9574</w:t>
            </w:r>
          </w:p>
        </w:tc>
        <w:tc>
          <w:tcPr>
            <w:tcW w:w="1294" w:type="dxa"/>
            <w:tcBorders>
              <w:top w:val="nil"/>
              <w:left w:val="nil"/>
              <w:bottom w:val="nil"/>
              <w:right w:val="nil"/>
            </w:tcBorders>
            <w:vAlign w:val="bottom"/>
          </w:tcPr>
          <w:p w14:paraId="31D777D9"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 59.69257</w:t>
            </w:r>
          </w:p>
        </w:tc>
        <w:tc>
          <w:tcPr>
            <w:tcW w:w="1296" w:type="dxa"/>
            <w:tcBorders>
              <w:top w:val="nil"/>
              <w:left w:val="nil"/>
              <w:bottom w:val="nil"/>
              <w:right w:val="nil"/>
            </w:tcBorders>
            <w:vAlign w:val="bottom"/>
          </w:tcPr>
          <w:p w14:paraId="321D84FE"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 0.001178</w:t>
            </w:r>
          </w:p>
        </w:tc>
        <w:tc>
          <w:tcPr>
            <w:tcW w:w="1294" w:type="dxa"/>
            <w:tcBorders>
              <w:top w:val="nil"/>
              <w:left w:val="nil"/>
              <w:bottom w:val="nil"/>
              <w:right w:val="nil"/>
            </w:tcBorders>
            <w:vAlign w:val="bottom"/>
          </w:tcPr>
          <w:p w14:paraId="3183D0DA"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 15.33262</w:t>
            </w:r>
          </w:p>
        </w:tc>
        <w:tc>
          <w:tcPr>
            <w:tcW w:w="1295" w:type="dxa"/>
            <w:tcBorders>
              <w:top w:val="nil"/>
              <w:left w:val="nil"/>
              <w:bottom w:val="nil"/>
              <w:right w:val="nil"/>
            </w:tcBorders>
            <w:vAlign w:val="bottom"/>
          </w:tcPr>
          <w:p w14:paraId="28F00719"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 25.73926</w:t>
            </w:r>
          </w:p>
        </w:tc>
        <w:tc>
          <w:tcPr>
            <w:tcW w:w="1293" w:type="dxa"/>
            <w:tcBorders>
              <w:top w:val="nil"/>
              <w:left w:val="nil"/>
              <w:bottom w:val="nil"/>
              <w:right w:val="nil"/>
            </w:tcBorders>
            <w:vAlign w:val="bottom"/>
          </w:tcPr>
          <w:p w14:paraId="1B4D2400"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 19.55881</w:t>
            </w:r>
          </w:p>
        </w:tc>
      </w:tr>
      <w:tr w:rsidR="00D31621" w:rsidRPr="002F15BB" w14:paraId="72464BD7" w14:textId="77777777" w:rsidTr="00812AD2">
        <w:trPr>
          <w:trHeight w:val="215"/>
        </w:trPr>
        <w:tc>
          <w:tcPr>
            <w:tcW w:w="1012" w:type="dxa"/>
            <w:tcBorders>
              <w:top w:val="nil"/>
              <w:left w:val="nil"/>
              <w:bottom w:val="nil"/>
              <w:right w:val="nil"/>
            </w:tcBorders>
            <w:vAlign w:val="bottom"/>
          </w:tcPr>
          <w:p w14:paraId="10456711"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8</w:t>
            </w:r>
          </w:p>
        </w:tc>
        <w:tc>
          <w:tcPr>
            <w:tcW w:w="1295" w:type="dxa"/>
            <w:tcBorders>
              <w:top w:val="nil"/>
              <w:left w:val="nil"/>
              <w:bottom w:val="nil"/>
              <w:right w:val="nil"/>
            </w:tcBorders>
            <w:vAlign w:val="bottom"/>
          </w:tcPr>
          <w:p w14:paraId="518F9F90"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-395.6748</w:t>
            </w:r>
          </w:p>
        </w:tc>
        <w:tc>
          <w:tcPr>
            <w:tcW w:w="1294" w:type="dxa"/>
            <w:tcBorders>
              <w:top w:val="nil"/>
              <w:left w:val="nil"/>
              <w:bottom w:val="nil"/>
              <w:right w:val="nil"/>
            </w:tcBorders>
            <w:vAlign w:val="bottom"/>
          </w:tcPr>
          <w:p w14:paraId="0DE92D7C"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 71.19711</w:t>
            </w:r>
          </w:p>
        </w:tc>
        <w:tc>
          <w:tcPr>
            <w:tcW w:w="1296" w:type="dxa"/>
            <w:tcBorders>
              <w:top w:val="nil"/>
              <w:left w:val="nil"/>
              <w:bottom w:val="nil"/>
              <w:right w:val="nil"/>
            </w:tcBorders>
            <w:vAlign w:val="bottom"/>
          </w:tcPr>
          <w:p w14:paraId="45829D2D"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 0.001372</w:t>
            </w:r>
          </w:p>
        </w:tc>
        <w:tc>
          <w:tcPr>
            <w:tcW w:w="1294" w:type="dxa"/>
            <w:tcBorders>
              <w:top w:val="nil"/>
              <w:left w:val="nil"/>
              <w:bottom w:val="nil"/>
              <w:right w:val="nil"/>
            </w:tcBorders>
            <w:vAlign w:val="bottom"/>
          </w:tcPr>
          <w:p w14:paraId="3ED4AADA"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  15.12791</w:t>
            </w:r>
          </w:p>
        </w:tc>
        <w:tc>
          <w:tcPr>
            <w:tcW w:w="1295" w:type="dxa"/>
            <w:tcBorders>
              <w:top w:val="nil"/>
              <w:left w:val="nil"/>
              <w:bottom w:val="nil"/>
              <w:right w:val="nil"/>
            </w:tcBorders>
            <w:vAlign w:val="bottom"/>
          </w:tcPr>
          <w:p w14:paraId="7FAB4F6C"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 27.02121</w:t>
            </w:r>
          </w:p>
        </w:tc>
        <w:tc>
          <w:tcPr>
            <w:tcW w:w="1293" w:type="dxa"/>
            <w:tcBorders>
              <w:top w:val="nil"/>
              <w:left w:val="nil"/>
              <w:bottom w:val="nil"/>
              <w:right w:val="nil"/>
            </w:tcBorders>
            <w:vAlign w:val="bottom"/>
          </w:tcPr>
          <w:p w14:paraId="6A12E774"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 19.95784</w:t>
            </w:r>
          </w:p>
        </w:tc>
      </w:tr>
      <w:tr w:rsidR="00D31621" w:rsidRPr="002F15BB" w14:paraId="3803351F" w14:textId="77777777" w:rsidTr="00812AD2">
        <w:trPr>
          <w:trHeight w:hRule="exact" w:val="85"/>
        </w:trPr>
        <w:tc>
          <w:tcPr>
            <w:tcW w:w="1012" w:type="dxa"/>
            <w:tcBorders>
              <w:top w:val="nil"/>
              <w:left w:val="nil"/>
              <w:bottom w:val="double" w:sz="6" w:space="2" w:color="auto"/>
              <w:right w:val="nil"/>
            </w:tcBorders>
            <w:vAlign w:val="bottom"/>
          </w:tcPr>
          <w:p w14:paraId="0DD87D3B"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5" w:type="dxa"/>
            <w:tcBorders>
              <w:top w:val="nil"/>
              <w:left w:val="nil"/>
              <w:bottom w:val="double" w:sz="6" w:space="2" w:color="auto"/>
              <w:right w:val="nil"/>
            </w:tcBorders>
            <w:vAlign w:val="bottom"/>
          </w:tcPr>
          <w:p w14:paraId="4548F94E"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4" w:type="dxa"/>
            <w:tcBorders>
              <w:top w:val="nil"/>
              <w:left w:val="nil"/>
              <w:bottom w:val="double" w:sz="6" w:space="2" w:color="auto"/>
              <w:right w:val="nil"/>
            </w:tcBorders>
            <w:vAlign w:val="bottom"/>
          </w:tcPr>
          <w:p w14:paraId="1B90FA02"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6" w:type="dxa"/>
            <w:tcBorders>
              <w:top w:val="nil"/>
              <w:left w:val="nil"/>
              <w:bottom w:val="double" w:sz="6" w:space="2" w:color="auto"/>
              <w:right w:val="nil"/>
            </w:tcBorders>
            <w:vAlign w:val="bottom"/>
          </w:tcPr>
          <w:p w14:paraId="23D3DBF2"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4" w:type="dxa"/>
            <w:tcBorders>
              <w:top w:val="nil"/>
              <w:left w:val="nil"/>
              <w:bottom w:val="double" w:sz="6" w:space="2" w:color="auto"/>
              <w:right w:val="nil"/>
            </w:tcBorders>
            <w:vAlign w:val="bottom"/>
          </w:tcPr>
          <w:p w14:paraId="11A995C1"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5" w:type="dxa"/>
            <w:tcBorders>
              <w:top w:val="nil"/>
              <w:left w:val="nil"/>
              <w:bottom w:val="double" w:sz="6" w:space="2" w:color="auto"/>
              <w:right w:val="nil"/>
            </w:tcBorders>
            <w:vAlign w:val="bottom"/>
          </w:tcPr>
          <w:p w14:paraId="31E2C17D"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3" w:type="dxa"/>
            <w:tcBorders>
              <w:top w:val="nil"/>
              <w:left w:val="nil"/>
              <w:bottom w:val="double" w:sz="6" w:space="2" w:color="auto"/>
              <w:right w:val="nil"/>
            </w:tcBorders>
            <w:vAlign w:val="bottom"/>
          </w:tcPr>
          <w:p w14:paraId="6325B0F9"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r>
      <w:tr w:rsidR="00D31621" w:rsidRPr="002F15BB" w14:paraId="5C17B80D" w14:textId="77777777" w:rsidTr="00812AD2">
        <w:trPr>
          <w:trHeight w:hRule="exact" w:val="129"/>
        </w:trPr>
        <w:tc>
          <w:tcPr>
            <w:tcW w:w="1012" w:type="dxa"/>
            <w:tcBorders>
              <w:top w:val="nil"/>
              <w:left w:val="nil"/>
              <w:bottom w:val="nil"/>
              <w:right w:val="nil"/>
            </w:tcBorders>
            <w:vAlign w:val="bottom"/>
          </w:tcPr>
          <w:p w14:paraId="6E19B8FB"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5" w:type="dxa"/>
            <w:tcBorders>
              <w:top w:val="nil"/>
              <w:left w:val="nil"/>
              <w:bottom w:val="nil"/>
              <w:right w:val="nil"/>
            </w:tcBorders>
            <w:vAlign w:val="bottom"/>
          </w:tcPr>
          <w:p w14:paraId="6BDA6367"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4" w:type="dxa"/>
            <w:tcBorders>
              <w:top w:val="nil"/>
              <w:left w:val="nil"/>
              <w:bottom w:val="nil"/>
              <w:right w:val="nil"/>
            </w:tcBorders>
            <w:vAlign w:val="bottom"/>
          </w:tcPr>
          <w:p w14:paraId="342447C0"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6" w:type="dxa"/>
            <w:tcBorders>
              <w:top w:val="nil"/>
              <w:left w:val="nil"/>
              <w:bottom w:val="nil"/>
              <w:right w:val="nil"/>
            </w:tcBorders>
            <w:vAlign w:val="bottom"/>
          </w:tcPr>
          <w:p w14:paraId="6EE168CA"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4" w:type="dxa"/>
            <w:tcBorders>
              <w:top w:val="nil"/>
              <w:left w:val="nil"/>
              <w:bottom w:val="nil"/>
              <w:right w:val="nil"/>
            </w:tcBorders>
            <w:vAlign w:val="bottom"/>
          </w:tcPr>
          <w:p w14:paraId="587DF7A1"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5" w:type="dxa"/>
            <w:tcBorders>
              <w:top w:val="nil"/>
              <w:left w:val="nil"/>
              <w:bottom w:val="nil"/>
              <w:right w:val="nil"/>
            </w:tcBorders>
            <w:vAlign w:val="bottom"/>
          </w:tcPr>
          <w:p w14:paraId="7391CB34"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3" w:type="dxa"/>
            <w:tcBorders>
              <w:top w:val="nil"/>
              <w:left w:val="nil"/>
              <w:bottom w:val="nil"/>
              <w:right w:val="nil"/>
            </w:tcBorders>
            <w:vAlign w:val="bottom"/>
          </w:tcPr>
          <w:p w14:paraId="3B2D836D"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r>
      <w:tr w:rsidR="00D31621" w:rsidRPr="002F15BB" w14:paraId="0C3D8B77" w14:textId="77777777" w:rsidTr="00812AD2">
        <w:trPr>
          <w:trHeight w:val="215"/>
        </w:trPr>
        <w:tc>
          <w:tcPr>
            <w:tcW w:w="1012" w:type="dxa"/>
            <w:tcBorders>
              <w:top w:val="nil"/>
              <w:left w:val="nil"/>
              <w:bottom w:val="nil"/>
              <w:right w:val="nil"/>
            </w:tcBorders>
            <w:vAlign w:val="bottom"/>
          </w:tcPr>
          <w:p w14:paraId="14FCA131"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5" w:type="dxa"/>
            <w:tcBorders>
              <w:top w:val="nil"/>
              <w:left w:val="nil"/>
              <w:bottom w:val="nil"/>
              <w:right w:val="nil"/>
            </w:tcBorders>
            <w:vAlign w:val="bottom"/>
          </w:tcPr>
          <w:p w14:paraId="3AC09FCE"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4" w:type="dxa"/>
            <w:tcBorders>
              <w:top w:val="nil"/>
              <w:left w:val="nil"/>
              <w:bottom w:val="nil"/>
              <w:right w:val="nil"/>
            </w:tcBorders>
            <w:vAlign w:val="bottom"/>
          </w:tcPr>
          <w:p w14:paraId="0ABF74DC"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6" w:type="dxa"/>
            <w:tcBorders>
              <w:top w:val="nil"/>
              <w:left w:val="nil"/>
              <w:bottom w:val="nil"/>
              <w:right w:val="nil"/>
            </w:tcBorders>
            <w:vAlign w:val="bottom"/>
          </w:tcPr>
          <w:p w14:paraId="6DF2D949"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4" w:type="dxa"/>
            <w:tcBorders>
              <w:top w:val="nil"/>
              <w:left w:val="nil"/>
              <w:bottom w:val="nil"/>
              <w:right w:val="nil"/>
            </w:tcBorders>
            <w:vAlign w:val="bottom"/>
          </w:tcPr>
          <w:p w14:paraId="1886BCA9"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5" w:type="dxa"/>
            <w:tcBorders>
              <w:top w:val="nil"/>
              <w:left w:val="nil"/>
              <w:bottom w:val="nil"/>
              <w:right w:val="nil"/>
            </w:tcBorders>
            <w:vAlign w:val="bottom"/>
          </w:tcPr>
          <w:p w14:paraId="04004BAE"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3" w:type="dxa"/>
            <w:tcBorders>
              <w:top w:val="nil"/>
              <w:left w:val="nil"/>
              <w:bottom w:val="nil"/>
              <w:right w:val="nil"/>
            </w:tcBorders>
            <w:vAlign w:val="bottom"/>
          </w:tcPr>
          <w:p w14:paraId="1A64131A"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r>
      <w:tr w:rsidR="00D31621" w:rsidRPr="002F15BB" w14:paraId="6D434131" w14:textId="77777777" w:rsidTr="00812AD2">
        <w:trPr>
          <w:trHeight w:val="215"/>
        </w:trPr>
        <w:tc>
          <w:tcPr>
            <w:tcW w:w="6191" w:type="dxa"/>
            <w:gridSpan w:val="5"/>
            <w:tcBorders>
              <w:top w:val="nil"/>
              <w:left w:val="nil"/>
              <w:bottom w:val="nil"/>
              <w:right w:val="nil"/>
            </w:tcBorders>
            <w:vAlign w:val="bottom"/>
          </w:tcPr>
          <w:p w14:paraId="301BFE7E" w14:textId="77777777" w:rsidR="00D31621" w:rsidRPr="00812AD2" w:rsidRDefault="00D31621" w:rsidP="00C45F51">
            <w:pPr>
              <w:autoSpaceDE w:val="0"/>
              <w:autoSpaceDN w:val="0"/>
              <w:adjustRightInd w:val="0"/>
              <w:spacing w:after="0" w:line="240" w:lineRule="auto"/>
              <w:rPr>
                <w:rFonts w:ascii="Arial" w:hAnsi="Arial" w:cs="Arial"/>
                <w:sz w:val="20"/>
                <w:szCs w:val="20"/>
              </w:rPr>
            </w:pPr>
            <w:r w:rsidRPr="00812AD2">
              <w:rPr>
                <w:rFonts w:ascii="Arial" w:hAnsi="Arial" w:cs="Arial"/>
                <w:sz w:val="20"/>
                <w:szCs w:val="20"/>
              </w:rPr>
              <w:t> * indicates lag order selected by the criterion</w:t>
            </w:r>
          </w:p>
        </w:tc>
        <w:tc>
          <w:tcPr>
            <w:tcW w:w="1295" w:type="dxa"/>
            <w:tcBorders>
              <w:top w:val="nil"/>
              <w:left w:val="nil"/>
              <w:bottom w:val="nil"/>
              <w:right w:val="nil"/>
            </w:tcBorders>
            <w:vAlign w:val="bottom"/>
          </w:tcPr>
          <w:p w14:paraId="3CFEEC55"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3" w:type="dxa"/>
            <w:tcBorders>
              <w:top w:val="nil"/>
              <w:left w:val="nil"/>
              <w:bottom w:val="nil"/>
              <w:right w:val="nil"/>
            </w:tcBorders>
            <w:vAlign w:val="bottom"/>
          </w:tcPr>
          <w:p w14:paraId="1ABD5A70"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r>
      <w:tr w:rsidR="00D31621" w:rsidRPr="002F15BB" w14:paraId="3EE385EC" w14:textId="77777777" w:rsidTr="00812AD2">
        <w:trPr>
          <w:trHeight w:val="215"/>
        </w:trPr>
        <w:tc>
          <w:tcPr>
            <w:tcW w:w="7486" w:type="dxa"/>
            <w:gridSpan w:val="6"/>
            <w:tcBorders>
              <w:top w:val="nil"/>
              <w:left w:val="nil"/>
              <w:bottom w:val="nil"/>
              <w:right w:val="nil"/>
            </w:tcBorders>
            <w:vAlign w:val="bottom"/>
          </w:tcPr>
          <w:p w14:paraId="4828F215" w14:textId="77777777" w:rsidR="00D31621" w:rsidRPr="00812AD2" w:rsidRDefault="00D31621" w:rsidP="00C45F51">
            <w:pPr>
              <w:autoSpaceDE w:val="0"/>
              <w:autoSpaceDN w:val="0"/>
              <w:adjustRightInd w:val="0"/>
              <w:spacing w:after="0" w:line="240" w:lineRule="auto"/>
              <w:rPr>
                <w:rFonts w:ascii="Arial" w:hAnsi="Arial" w:cs="Arial"/>
                <w:sz w:val="20"/>
                <w:szCs w:val="20"/>
              </w:rPr>
            </w:pPr>
            <w:r w:rsidRPr="00812AD2">
              <w:rPr>
                <w:rFonts w:ascii="Arial" w:hAnsi="Arial" w:cs="Arial"/>
                <w:sz w:val="20"/>
                <w:szCs w:val="20"/>
              </w:rPr>
              <w:t> LR: sequential modified LR test statistic (each test at 5% level)</w:t>
            </w:r>
          </w:p>
        </w:tc>
        <w:tc>
          <w:tcPr>
            <w:tcW w:w="1293" w:type="dxa"/>
            <w:tcBorders>
              <w:top w:val="nil"/>
              <w:left w:val="nil"/>
              <w:bottom w:val="nil"/>
              <w:right w:val="nil"/>
            </w:tcBorders>
            <w:vAlign w:val="bottom"/>
          </w:tcPr>
          <w:p w14:paraId="65DBDE14"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r>
      <w:tr w:rsidR="00D31621" w:rsidRPr="002F15BB" w14:paraId="74BD6FAD" w14:textId="77777777" w:rsidTr="00812AD2">
        <w:trPr>
          <w:trHeight w:val="215"/>
        </w:trPr>
        <w:tc>
          <w:tcPr>
            <w:tcW w:w="3601" w:type="dxa"/>
            <w:gridSpan w:val="3"/>
            <w:tcBorders>
              <w:top w:val="nil"/>
              <w:left w:val="nil"/>
              <w:bottom w:val="nil"/>
              <w:right w:val="nil"/>
            </w:tcBorders>
            <w:vAlign w:val="bottom"/>
          </w:tcPr>
          <w:p w14:paraId="399594B6" w14:textId="77777777" w:rsidR="00D31621" w:rsidRPr="00812AD2" w:rsidRDefault="00D31621" w:rsidP="00C45F51">
            <w:pPr>
              <w:autoSpaceDE w:val="0"/>
              <w:autoSpaceDN w:val="0"/>
              <w:adjustRightInd w:val="0"/>
              <w:spacing w:after="0" w:line="240" w:lineRule="auto"/>
              <w:rPr>
                <w:rFonts w:ascii="Arial" w:hAnsi="Arial" w:cs="Arial"/>
                <w:sz w:val="20"/>
                <w:szCs w:val="20"/>
              </w:rPr>
            </w:pPr>
            <w:r w:rsidRPr="00812AD2">
              <w:rPr>
                <w:rFonts w:ascii="Arial" w:hAnsi="Arial" w:cs="Arial"/>
                <w:sz w:val="20"/>
                <w:szCs w:val="20"/>
              </w:rPr>
              <w:t> FPE: Final prediction error</w:t>
            </w:r>
          </w:p>
        </w:tc>
        <w:tc>
          <w:tcPr>
            <w:tcW w:w="1296" w:type="dxa"/>
            <w:tcBorders>
              <w:top w:val="nil"/>
              <w:left w:val="nil"/>
              <w:bottom w:val="nil"/>
              <w:right w:val="nil"/>
            </w:tcBorders>
            <w:vAlign w:val="bottom"/>
          </w:tcPr>
          <w:p w14:paraId="3A76EC20" w14:textId="77777777" w:rsidR="00D31621" w:rsidRPr="00812AD2" w:rsidRDefault="00D31621" w:rsidP="00C45F51">
            <w:pPr>
              <w:autoSpaceDE w:val="0"/>
              <w:autoSpaceDN w:val="0"/>
              <w:adjustRightInd w:val="0"/>
              <w:spacing w:after="0" w:line="240" w:lineRule="auto"/>
              <w:rPr>
                <w:rFonts w:ascii="Arial" w:hAnsi="Arial" w:cs="Arial"/>
                <w:sz w:val="20"/>
                <w:szCs w:val="20"/>
              </w:rPr>
            </w:pPr>
          </w:p>
        </w:tc>
        <w:tc>
          <w:tcPr>
            <w:tcW w:w="1294" w:type="dxa"/>
            <w:tcBorders>
              <w:top w:val="nil"/>
              <w:left w:val="nil"/>
              <w:bottom w:val="nil"/>
              <w:right w:val="nil"/>
            </w:tcBorders>
            <w:vAlign w:val="bottom"/>
          </w:tcPr>
          <w:p w14:paraId="7F4D5193"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5" w:type="dxa"/>
            <w:tcBorders>
              <w:top w:val="nil"/>
              <w:left w:val="nil"/>
              <w:bottom w:val="nil"/>
              <w:right w:val="nil"/>
            </w:tcBorders>
            <w:vAlign w:val="bottom"/>
          </w:tcPr>
          <w:p w14:paraId="543F7F52"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3" w:type="dxa"/>
            <w:tcBorders>
              <w:top w:val="nil"/>
              <w:left w:val="nil"/>
              <w:bottom w:val="nil"/>
              <w:right w:val="nil"/>
            </w:tcBorders>
            <w:vAlign w:val="bottom"/>
          </w:tcPr>
          <w:p w14:paraId="23043DA4"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r>
      <w:tr w:rsidR="00D31621" w:rsidRPr="002F15BB" w14:paraId="5FD7FBA2" w14:textId="77777777" w:rsidTr="00812AD2">
        <w:trPr>
          <w:trHeight w:val="215"/>
        </w:trPr>
        <w:tc>
          <w:tcPr>
            <w:tcW w:w="4897" w:type="dxa"/>
            <w:gridSpan w:val="4"/>
            <w:tcBorders>
              <w:top w:val="nil"/>
              <w:left w:val="nil"/>
              <w:bottom w:val="nil"/>
              <w:right w:val="nil"/>
            </w:tcBorders>
            <w:vAlign w:val="bottom"/>
          </w:tcPr>
          <w:p w14:paraId="22723B68" w14:textId="77777777" w:rsidR="00D31621" w:rsidRPr="00812AD2" w:rsidRDefault="00D31621" w:rsidP="00C45F51">
            <w:pPr>
              <w:autoSpaceDE w:val="0"/>
              <w:autoSpaceDN w:val="0"/>
              <w:adjustRightInd w:val="0"/>
              <w:spacing w:after="0" w:line="240" w:lineRule="auto"/>
              <w:rPr>
                <w:rFonts w:ascii="Arial" w:hAnsi="Arial" w:cs="Arial"/>
                <w:sz w:val="20"/>
                <w:szCs w:val="20"/>
              </w:rPr>
            </w:pPr>
            <w:r w:rsidRPr="00812AD2">
              <w:rPr>
                <w:rFonts w:ascii="Arial" w:hAnsi="Arial" w:cs="Arial"/>
                <w:sz w:val="20"/>
                <w:szCs w:val="20"/>
              </w:rPr>
              <w:t> AIC: Akaike information criterion</w:t>
            </w:r>
          </w:p>
        </w:tc>
        <w:tc>
          <w:tcPr>
            <w:tcW w:w="1294" w:type="dxa"/>
            <w:tcBorders>
              <w:top w:val="nil"/>
              <w:left w:val="nil"/>
              <w:bottom w:val="nil"/>
              <w:right w:val="nil"/>
            </w:tcBorders>
            <w:vAlign w:val="bottom"/>
          </w:tcPr>
          <w:p w14:paraId="135DCC7E"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5" w:type="dxa"/>
            <w:tcBorders>
              <w:top w:val="nil"/>
              <w:left w:val="nil"/>
              <w:bottom w:val="nil"/>
              <w:right w:val="nil"/>
            </w:tcBorders>
            <w:vAlign w:val="bottom"/>
          </w:tcPr>
          <w:p w14:paraId="107AAABC"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3" w:type="dxa"/>
            <w:tcBorders>
              <w:top w:val="nil"/>
              <w:left w:val="nil"/>
              <w:bottom w:val="nil"/>
              <w:right w:val="nil"/>
            </w:tcBorders>
            <w:vAlign w:val="bottom"/>
          </w:tcPr>
          <w:p w14:paraId="4CF4A12C"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r>
      <w:tr w:rsidR="00D31621" w:rsidRPr="002F15BB" w14:paraId="6E629337" w14:textId="77777777" w:rsidTr="00812AD2">
        <w:trPr>
          <w:trHeight w:val="215"/>
        </w:trPr>
        <w:tc>
          <w:tcPr>
            <w:tcW w:w="4897" w:type="dxa"/>
            <w:gridSpan w:val="4"/>
            <w:tcBorders>
              <w:top w:val="nil"/>
              <w:left w:val="nil"/>
              <w:bottom w:val="nil"/>
              <w:right w:val="nil"/>
            </w:tcBorders>
            <w:vAlign w:val="bottom"/>
          </w:tcPr>
          <w:p w14:paraId="7BDD7035" w14:textId="77777777" w:rsidR="00D31621" w:rsidRPr="00812AD2" w:rsidRDefault="00D31621" w:rsidP="00C45F51">
            <w:pPr>
              <w:autoSpaceDE w:val="0"/>
              <w:autoSpaceDN w:val="0"/>
              <w:adjustRightInd w:val="0"/>
              <w:spacing w:after="0" w:line="240" w:lineRule="auto"/>
              <w:rPr>
                <w:rFonts w:ascii="Arial" w:hAnsi="Arial" w:cs="Arial"/>
                <w:sz w:val="20"/>
                <w:szCs w:val="20"/>
              </w:rPr>
            </w:pPr>
            <w:r w:rsidRPr="00812AD2">
              <w:rPr>
                <w:rFonts w:ascii="Arial" w:hAnsi="Arial" w:cs="Arial"/>
                <w:sz w:val="20"/>
                <w:szCs w:val="20"/>
              </w:rPr>
              <w:t> SC: Schwarz information criterion</w:t>
            </w:r>
          </w:p>
        </w:tc>
        <w:tc>
          <w:tcPr>
            <w:tcW w:w="1294" w:type="dxa"/>
            <w:tcBorders>
              <w:top w:val="nil"/>
              <w:left w:val="nil"/>
              <w:bottom w:val="nil"/>
              <w:right w:val="nil"/>
            </w:tcBorders>
            <w:vAlign w:val="bottom"/>
          </w:tcPr>
          <w:p w14:paraId="792692D8"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5" w:type="dxa"/>
            <w:tcBorders>
              <w:top w:val="nil"/>
              <w:left w:val="nil"/>
              <w:bottom w:val="nil"/>
              <w:right w:val="nil"/>
            </w:tcBorders>
            <w:vAlign w:val="bottom"/>
          </w:tcPr>
          <w:p w14:paraId="57DC5065"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3" w:type="dxa"/>
            <w:tcBorders>
              <w:top w:val="nil"/>
              <w:left w:val="nil"/>
              <w:bottom w:val="nil"/>
              <w:right w:val="nil"/>
            </w:tcBorders>
            <w:vAlign w:val="bottom"/>
          </w:tcPr>
          <w:p w14:paraId="3A050A22"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r>
      <w:tr w:rsidR="00D31621" w:rsidRPr="002F15BB" w14:paraId="73DC0CC9" w14:textId="77777777" w:rsidTr="00812AD2">
        <w:trPr>
          <w:trHeight w:val="215"/>
        </w:trPr>
        <w:tc>
          <w:tcPr>
            <w:tcW w:w="4897" w:type="dxa"/>
            <w:gridSpan w:val="4"/>
            <w:tcBorders>
              <w:top w:val="nil"/>
              <w:left w:val="nil"/>
              <w:bottom w:val="nil"/>
              <w:right w:val="nil"/>
            </w:tcBorders>
            <w:vAlign w:val="bottom"/>
          </w:tcPr>
          <w:p w14:paraId="56B68F27"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r w:rsidRPr="002F15BB">
              <w:rPr>
                <w:rFonts w:ascii="Arial" w:hAnsi="Arial" w:cs="Arial"/>
                <w:color w:val="000000"/>
                <w:sz w:val="18"/>
                <w:szCs w:val="18"/>
              </w:rPr>
              <w:t> HQ: Hannan-Quinn information criterion</w:t>
            </w:r>
          </w:p>
        </w:tc>
        <w:tc>
          <w:tcPr>
            <w:tcW w:w="1294" w:type="dxa"/>
            <w:tcBorders>
              <w:top w:val="nil"/>
              <w:left w:val="nil"/>
              <w:bottom w:val="nil"/>
              <w:right w:val="nil"/>
            </w:tcBorders>
            <w:vAlign w:val="bottom"/>
          </w:tcPr>
          <w:p w14:paraId="349EB3D8"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5" w:type="dxa"/>
            <w:tcBorders>
              <w:top w:val="nil"/>
              <w:left w:val="nil"/>
              <w:bottom w:val="nil"/>
              <w:right w:val="nil"/>
            </w:tcBorders>
            <w:vAlign w:val="bottom"/>
          </w:tcPr>
          <w:p w14:paraId="476635CB"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c>
          <w:tcPr>
            <w:tcW w:w="1293" w:type="dxa"/>
            <w:tcBorders>
              <w:top w:val="nil"/>
              <w:left w:val="nil"/>
              <w:bottom w:val="nil"/>
              <w:right w:val="nil"/>
            </w:tcBorders>
            <w:vAlign w:val="bottom"/>
          </w:tcPr>
          <w:p w14:paraId="372A7BCC" w14:textId="77777777" w:rsidR="00D31621" w:rsidRPr="002F15BB" w:rsidRDefault="00D31621" w:rsidP="00C45F51">
            <w:pPr>
              <w:autoSpaceDE w:val="0"/>
              <w:autoSpaceDN w:val="0"/>
              <w:adjustRightInd w:val="0"/>
              <w:spacing w:after="0" w:line="240" w:lineRule="auto"/>
              <w:rPr>
                <w:rFonts w:ascii="Arial" w:hAnsi="Arial" w:cs="Arial"/>
                <w:color w:val="000000"/>
                <w:sz w:val="18"/>
                <w:szCs w:val="18"/>
              </w:rPr>
            </w:pPr>
          </w:p>
        </w:tc>
      </w:tr>
    </w:tbl>
    <w:p w14:paraId="5BE36664" w14:textId="77777777" w:rsidR="00FC765F" w:rsidRPr="00FC765F" w:rsidRDefault="00FC765F" w:rsidP="00C45F51">
      <w:pPr>
        <w:pStyle w:val="NoSpacing"/>
        <w:jc w:val="both"/>
        <w:rPr>
          <w:rFonts w:ascii="Times New Roman" w:hAnsi="Times New Roman"/>
          <w:sz w:val="12"/>
          <w:szCs w:val="24"/>
        </w:rPr>
      </w:pPr>
    </w:p>
    <w:p w14:paraId="6F0FE512" w14:textId="77777777" w:rsidR="005E1237" w:rsidRDefault="005E1237" w:rsidP="00C45F51">
      <w:pPr>
        <w:pStyle w:val="NoSpacing"/>
        <w:jc w:val="both"/>
        <w:rPr>
          <w:rFonts w:ascii="Times New Roman" w:hAnsi="Times New Roman"/>
          <w:sz w:val="24"/>
          <w:szCs w:val="24"/>
        </w:rPr>
        <w:sectPr w:rsidR="005E1237" w:rsidSect="004267E7">
          <w:type w:val="continuous"/>
          <w:pgSz w:w="12240" w:h="15840"/>
          <w:pgMar w:top="1135" w:right="1440" w:bottom="1440" w:left="1440" w:header="720" w:footer="720" w:gutter="0"/>
          <w:cols w:space="720"/>
          <w:docGrid w:linePitch="360"/>
        </w:sectPr>
      </w:pPr>
    </w:p>
    <w:p w14:paraId="3DDBEF68" w14:textId="7E35C632" w:rsidR="00D31621" w:rsidRDefault="00D31621" w:rsidP="005E1237">
      <w:pPr>
        <w:pStyle w:val="NoSpacing"/>
        <w:rPr>
          <w:rFonts w:ascii="Times New Roman" w:hAnsi="Times New Roman"/>
          <w:sz w:val="24"/>
          <w:szCs w:val="24"/>
        </w:rPr>
      </w:pPr>
      <w:r>
        <w:rPr>
          <w:rFonts w:ascii="Times New Roman" w:hAnsi="Times New Roman"/>
          <w:sz w:val="24"/>
          <w:szCs w:val="24"/>
        </w:rPr>
        <w:lastRenderedPageBreak/>
        <w:t>In order to check for cointegration</w:t>
      </w:r>
      <w:r w:rsidRPr="001B1878">
        <w:rPr>
          <w:rFonts w:ascii="Times New Roman" w:hAnsi="Times New Roman"/>
          <w:sz w:val="24"/>
          <w:szCs w:val="24"/>
        </w:rPr>
        <w:t>, we used the Johansen procedure</w:t>
      </w:r>
      <w:r>
        <w:rPr>
          <w:rFonts w:ascii="Times New Roman" w:hAnsi="Times New Roman"/>
          <w:sz w:val="24"/>
          <w:szCs w:val="24"/>
        </w:rPr>
        <w:t xml:space="preserve"> </w:t>
      </w:r>
      <w:r w:rsidRPr="00674683">
        <w:rPr>
          <w:rFonts w:ascii="Times New Roman" w:hAnsi="Times New Roman"/>
          <w:sz w:val="24"/>
          <w:szCs w:val="24"/>
        </w:rPr>
        <w:t xml:space="preserve">which uses maximum-likelihood method of estimation to ascertain the number, if any, of </w:t>
      </w:r>
      <w:r w:rsidRPr="00674683">
        <w:rPr>
          <w:rFonts w:ascii="Times New Roman" w:hAnsi="Times New Roman"/>
          <w:sz w:val="24"/>
          <w:szCs w:val="24"/>
        </w:rPr>
        <w:t xml:space="preserve">cointegrating relationships in the vector autoregressive equation. The results of the Johansen cointegration test are presented in </w:t>
      </w:r>
      <w:r>
        <w:rPr>
          <w:rFonts w:ascii="Times New Roman" w:hAnsi="Times New Roman"/>
          <w:sz w:val="24"/>
          <w:szCs w:val="24"/>
        </w:rPr>
        <w:t xml:space="preserve">Table </w:t>
      </w:r>
      <w:r w:rsidR="00AD25CA">
        <w:rPr>
          <w:rFonts w:ascii="Times New Roman" w:hAnsi="Times New Roman"/>
          <w:sz w:val="24"/>
          <w:szCs w:val="24"/>
        </w:rPr>
        <w:t>10</w:t>
      </w:r>
    </w:p>
    <w:p w14:paraId="4FD3DA99" w14:textId="77777777" w:rsidR="005E1237" w:rsidRDefault="005E1237" w:rsidP="00C45F51">
      <w:pPr>
        <w:pStyle w:val="NoSpacing"/>
        <w:ind w:firstLine="720"/>
        <w:jc w:val="both"/>
        <w:rPr>
          <w:rFonts w:ascii="Times New Roman" w:hAnsi="Times New Roman"/>
          <w:b/>
          <w:sz w:val="24"/>
          <w:szCs w:val="24"/>
        </w:rPr>
        <w:sectPr w:rsidR="005E1237" w:rsidSect="005E1237">
          <w:type w:val="continuous"/>
          <w:pgSz w:w="12240" w:h="15840"/>
          <w:pgMar w:top="1135" w:right="1440" w:bottom="1440" w:left="1440" w:header="720" w:footer="720" w:gutter="0"/>
          <w:cols w:num="2" w:space="720"/>
          <w:docGrid w:linePitch="360"/>
        </w:sectPr>
      </w:pPr>
    </w:p>
    <w:p w14:paraId="6AFC5F1E" w14:textId="77777777" w:rsidR="00AD25CA" w:rsidRDefault="00AD25CA" w:rsidP="00C45F51">
      <w:pPr>
        <w:pStyle w:val="NoSpacing"/>
        <w:ind w:firstLine="720"/>
        <w:jc w:val="both"/>
        <w:rPr>
          <w:rFonts w:ascii="Times New Roman" w:hAnsi="Times New Roman"/>
          <w:b/>
          <w:sz w:val="24"/>
          <w:szCs w:val="24"/>
        </w:rPr>
      </w:pPr>
    </w:p>
    <w:p w14:paraId="397C43E5" w14:textId="470020F0" w:rsidR="00D31621" w:rsidRPr="00FC0689" w:rsidRDefault="00D31621" w:rsidP="00C45F51">
      <w:pPr>
        <w:pStyle w:val="NoSpacing"/>
        <w:ind w:firstLine="720"/>
        <w:jc w:val="both"/>
        <w:rPr>
          <w:rFonts w:ascii="Times New Roman" w:hAnsi="Times New Roman"/>
          <w:b/>
          <w:sz w:val="24"/>
          <w:szCs w:val="24"/>
        </w:rPr>
      </w:pPr>
      <w:r>
        <w:rPr>
          <w:rFonts w:ascii="Times New Roman" w:hAnsi="Times New Roman"/>
          <w:b/>
          <w:sz w:val="24"/>
          <w:szCs w:val="24"/>
        </w:rPr>
        <w:t xml:space="preserve">Table </w:t>
      </w:r>
      <w:r w:rsidR="00AD25CA">
        <w:rPr>
          <w:rFonts w:ascii="Times New Roman" w:hAnsi="Times New Roman"/>
          <w:b/>
          <w:sz w:val="24"/>
          <w:szCs w:val="24"/>
        </w:rPr>
        <w:t>10</w:t>
      </w:r>
      <w:r>
        <w:rPr>
          <w:rFonts w:ascii="Times New Roman" w:hAnsi="Times New Roman"/>
          <w:b/>
          <w:sz w:val="24"/>
          <w:szCs w:val="24"/>
        </w:rPr>
        <w:t>: Multivariate Johansen Cointegration Test Result</w:t>
      </w:r>
    </w:p>
    <w:tbl>
      <w:tblPr>
        <w:tblW w:w="8689" w:type="dxa"/>
        <w:tblInd w:w="918" w:type="dxa"/>
        <w:tblLook w:val="04A0" w:firstRow="1" w:lastRow="0" w:firstColumn="1" w:lastColumn="0" w:noHBand="0" w:noVBand="1"/>
      </w:tblPr>
      <w:tblGrid>
        <w:gridCol w:w="1296"/>
        <w:gridCol w:w="2080"/>
        <w:gridCol w:w="1096"/>
        <w:gridCol w:w="1300"/>
        <w:gridCol w:w="1634"/>
        <w:gridCol w:w="1283"/>
      </w:tblGrid>
      <w:tr w:rsidR="00D31621" w:rsidRPr="00FD6E16" w14:paraId="57E246DB" w14:textId="77777777" w:rsidTr="00303B4A">
        <w:trPr>
          <w:trHeight w:val="304"/>
        </w:trPr>
        <w:tc>
          <w:tcPr>
            <w:tcW w:w="8689" w:type="dxa"/>
            <w:gridSpan w:val="6"/>
            <w:tcBorders>
              <w:top w:val="single" w:sz="4" w:space="0" w:color="auto"/>
              <w:left w:val="single" w:sz="4" w:space="0" w:color="auto"/>
              <w:bottom w:val="single" w:sz="4" w:space="0" w:color="auto"/>
              <w:right w:val="single" w:sz="4" w:space="0" w:color="auto"/>
            </w:tcBorders>
            <w:noWrap/>
            <w:vAlign w:val="bottom"/>
            <w:hideMark/>
          </w:tcPr>
          <w:p w14:paraId="6F457D3C" w14:textId="77777777" w:rsidR="00D31621" w:rsidRPr="00FC0689" w:rsidRDefault="00D31621" w:rsidP="00C45F51">
            <w:pPr>
              <w:spacing w:after="0" w:line="240" w:lineRule="auto"/>
              <w:rPr>
                <w:rFonts w:ascii="Times New Roman" w:hAnsi="Times New Roman"/>
                <w:color w:val="000000"/>
                <w:sz w:val="24"/>
                <w:szCs w:val="24"/>
              </w:rPr>
            </w:pPr>
            <w:r w:rsidRPr="00FC0689">
              <w:rPr>
                <w:rFonts w:ascii="Times New Roman" w:hAnsi="Times New Roman"/>
                <w:color w:val="000000"/>
                <w:sz w:val="24"/>
                <w:szCs w:val="24"/>
              </w:rPr>
              <w:t>Cointegration Vector (Series) = (</w:t>
            </w:r>
            <w:r w:rsidRPr="00FC0689">
              <w:rPr>
                <w:rFonts w:ascii="Times New Roman" w:hAnsi="Times New Roman"/>
                <w:i/>
                <w:color w:val="000000"/>
                <w:sz w:val="24"/>
                <w:szCs w:val="24"/>
              </w:rPr>
              <w:t xml:space="preserve">RGDP, </w:t>
            </w:r>
            <w:r>
              <w:rPr>
                <w:rFonts w:ascii="Times New Roman" w:hAnsi="Times New Roman"/>
                <w:i/>
                <w:color w:val="000000"/>
                <w:sz w:val="24"/>
                <w:szCs w:val="24"/>
              </w:rPr>
              <w:t>M2/GDP, P/TDS, LDS, LR, SMR, INF, EXR</w:t>
            </w:r>
            <w:r w:rsidRPr="00FC0689">
              <w:rPr>
                <w:rFonts w:ascii="Times New Roman" w:hAnsi="Times New Roman"/>
                <w:color w:val="000000"/>
                <w:sz w:val="24"/>
                <w:szCs w:val="24"/>
              </w:rPr>
              <w:t>)</w:t>
            </w:r>
          </w:p>
        </w:tc>
      </w:tr>
      <w:tr w:rsidR="00D31621" w:rsidRPr="00FD6E16" w14:paraId="09A8B886" w14:textId="77777777" w:rsidTr="00303B4A">
        <w:trPr>
          <w:trHeight w:val="304"/>
        </w:trPr>
        <w:tc>
          <w:tcPr>
            <w:tcW w:w="8689" w:type="dxa"/>
            <w:gridSpan w:val="6"/>
            <w:tcBorders>
              <w:top w:val="single" w:sz="4" w:space="0" w:color="auto"/>
              <w:left w:val="single" w:sz="4" w:space="0" w:color="auto"/>
              <w:bottom w:val="single" w:sz="4" w:space="0" w:color="auto"/>
              <w:right w:val="single" w:sz="4" w:space="0" w:color="auto"/>
            </w:tcBorders>
            <w:noWrap/>
            <w:vAlign w:val="bottom"/>
            <w:hideMark/>
          </w:tcPr>
          <w:p w14:paraId="1EC5144E" w14:textId="77777777" w:rsidR="00D31621" w:rsidRPr="0030623E" w:rsidRDefault="00D31621" w:rsidP="00C45F51">
            <w:pPr>
              <w:spacing w:after="0" w:line="240" w:lineRule="auto"/>
              <w:rPr>
                <w:rFonts w:ascii="Times New Roman" w:hAnsi="Times New Roman"/>
                <w:b/>
                <w:color w:val="000000"/>
                <w:sz w:val="24"/>
                <w:szCs w:val="24"/>
              </w:rPr>
            </w:pPr>
            <w:r w:rsidRPr="0030623E">
              <w:rPr>
                <w:rFonts w:ascii="Times New Roman" w:hAnsi="Times New Roman"/>
                <w:b/>
                <w:color w:val="000000"/>
                <w:sz w:val="24"/>
                <w:szCs w:val="24"/>
              </w:rPr>
              <w:t>Unrestricted Cointegration Rank Test (Trace)</w:t>
            </w:r>
          </w:p>
        </w:tc>
      </w:tr>
      <w:tr w:rsidR="00D31621" w:rsidRPr="00FD6E16" w14:paraId="2782E342" w14:textId="77777777" w:rsidTr="00303B4A">
        <w:trPr>
          <w:trHeight w:val="304"/>
        </w:trPr>
        <w:tc>
          <w:tcPr>
            <w:tcW w:w="1296" w:type="dxa"/>
            <w:tcBorders>
              <w:top w:val="single" w:sz="4" w:space="0" w:color="auto"/>
              <w:left w:val="single" w:sz="4" w:space="0" w:color="auto"/>
              <w:bottom w:val="single" w:sz="4" w:space="0" w:color="auto"/>
              <w:right w:val="single" w:sz="4" w:space="0" w:color="auto"/>
            </w:tcBorders>
            <w:noWrap/>
            <w:vAlign w:val="bottom"/>
            <w:hideMark/>
          </w:tcPr>
          <w:p w14:paraId="28BBAB65" w14:textId="77777777" w:rsidR="00D31621" w:rsidRPr="00FD6E16" w:rsidRDefault="00D31621" w:rsidP="00C45F51">
            <w:pPr>
              <w:spacing w:after="0" w:line="240" w:lineRule="auto"/>
              <w:rPr>
                <w:rFonts w:ascii="Times New Roman" w:hAnsi="Times New Roman"/>
                <w:color w:val="000000"/>
                <w:sz w:val="24"/>
                <w:szCs w:val="24"/>
              </w:rPr>
            </w:pPr>
            <w:r w:rsidRPr="00FD6E16">
              <w:rPr>
                <w:rFonts w:ascii="Times New Roman" w:hAnsi="Times New Roman"/>
                <w:color w:val="000000"/>
                <w:sz w:val="24"/>
                <w:szCs w:val="24"/>
              </w:rPr>
              <w:t>Null Hypothesis</w:t>
            </w:r>
          </w:p>
        </w:tc>
        <w:tc>
          <w:tcPr>
            <w:tcW w:w="2080" w:type="dxa"/>
            <w:tcBorders>
              <w:top w:val="single" w:sz="4" w:space="0" w:color="auto"/>
              <w:left w:val="nil"/>
              <w:bottom w:val="single" w:sz="4" w:space="0" w:color="auto"/>
              <w:right w:val="single" w:sz="4" w:space="0" w:color="auto"/>
            </w:tcBorders>
            <w:noWrap/>
            <w:vAlign w:val="bottom"/>
            <w:hideMark/>
          </w:tcPr>
          <w:p w14:paraId="42AB1CCE" w14:textId="77777777" w:rsidR="00D31621" w:rsidRPr="00FD6E16" w:rsidRDefault="00D31621" w:rsidP="00C45F51">
            <w:pPr>
              <w:spacing w:after="0" w:line="240" w:lineRule="auto"/>
              <w:rPr>
                <w:rFonts w:ascii="Times New Roman" w:hAnsi="Times New Roman"/>
                <w:color w:val="000000"/>
                <w:sz w:val="24"/>
                <w:szCs w:val="24"/>
              </w:rPr>
            </w:pPr>
            <w:r w:rsidRPr="00FD6E16">
              <w:rPr>
                <w:rFonts w:ascii="Times New Roman" w:hAnsi="Times New Roman"/>
                <w:color w:val="000000"/>
                <w:sz w:val="24"/>
                <w:szCs w:val="24"/>
              </w:rPr>
              <w:t>Alternative Hypothesis</w:t>
            </w:r>
          </w:p>
        </w:tc>
        <w:tc>
          <w:tcPr>
            <w:tcW w:w="1096" w:type="dxa"/>
            <w:tcBorders>
              <w:top w:val="single" w:sz="4" w:space="0" w:color="auto"/>
              <w:left w:val="nil"/>
              <w:bottom w:val="single" w:sz="4" w:space="0" w:color="auto"/>
              <w:right w:val="single" w:sz="4" w:space="0" w:color="auto"/>
            </w:tcBorders>
            <w:noWrap/>
            <w:vAlign w:val="bottom"/>
            <w:hideMark/>
          </w:tcPr>
          <w:p w14:paraId="397CDFE1" w14:textId="77777777" w:rsidR="00D31621" w:rsidRPr="00FD6E16" w:rsidRDefault="00D31621" w:rsidP="00C45F51">
            <w:pPr>
              <w:spacing w:after="0" w:line="240" w:lineRule="auto"/>
              <w:rPr>
                <w:rFonts w:ascii="Times New Roman" w:hAnsi="Times New Roman"/>
                <w:color w:val="000000"/>
                <w:sz w:val="24"/>
                <w:szCs w:val="24"/>
              </w:rPr>
            </w:pPr>
            <w:r w:rsidRPr="00FD6E16">
              <w:rPr>
                <w:rFonts w:ascii="Times New Roman" w:hAnsi="Times New Roman"/>
                <w:color w:val="000000"/>
                <w:sz w:val="24"/>
                <w:szCs w:val="24"/>
              </w:rPr>
              <w:t>Eigen Value</w:t>
            </w:r>
          </w:p>
        </w:tc>
        <w:tc>
          <w:tcPr>
            <w:tcW w:w="1300" w:type="dxa"/>
            <w:tcBorders>
              <w:top w:val="single" w:sz="4" w:space="0" w:color="auto"/>
              <w:left w:val="nil"/>
              <w:bottom w:val="single" w:sz="4" w:space="0" w:color="auto"/>
              <w:right w:val="single" w:sz="4" w:space="0" w:color="auto"/>
            </w:tcBorders>
            <w:noWrap/>
            <w:vAlign w:val="bottom"/>
            <w:hideMark/>
          </w:tcPr>
          <w:p w14:paraId="06A59ACD" w14:textId="77777777" w:rsidR="00D31621" w:rsidRPr="00FC0689" w:rsidRDefault="00D31621" w:rsidP="00C45F51">
            <w:pPr>
              <w:spacing w:after="0" w:line="240" w:lineRule="auto"/>
              <w:rPr>
                <w:rFonts w:ascii="Times New Roman" w:hAnsi="Times New Roman"/>
                <w:color w:val="000000"/>
                <w:sz w:val="24"/>
                <w:szCs w:val="24"/>
              </w:rPr>
            </w:pPr>
            <w:r w:rsidRPr="00FC0689">
              <w:rPr>
                <w:rFonts w:ascii="Times New Roman" w:hAnsi="Times New Roman"/>
                <w:color w:val="000000"/>
                <w:sz w:val="24"/>
                <w:szCs w:val="24"/>
              </w:rPr>
              <w:t>Trace</w:t>
            </w:r>
          </w:p>
          <w:p w14:paraId="1A3058B5" w14:textId="77777777" w:rsidR="00D31621" w:rsidRPr="00FD6E16" w:rsidRDefault="00D31621" w:rsidP="00C45F51">
            <w:pPr>
              <w:spacing w:after="0" w:line="240" w:lineRule="auto"/>
              <w:rPr>
                <w:rFonts w:ascii="Times New Roman" w:hAnsi="Times New Roman"/>
                <w:color w:val="000000"/>
                <w:sz w:val="24"/>
                <w:szCs w:val="24"/>
              </w:rPr>
            </w:pPr>
            <w:r w:rsidRPr="00FC0689">
              <w:rPr>
                <w:rFonts w:ascii="Times New Roman" w:hAnsi="Times New Roman"/>
                <w:color w:val="000000"/>
                <w:sz w:val="24"/>
                <w:szCs w:val="24"/>
              </w:rPr>
              <w:t>Statistic</w:t>
            </w:r>
          </w:p>
        </w:tc>
        <w:tc>
          <w:tcPr>
            <w:tcW w:w="1634" w:type="dxa"/>
            <w:tcBorders>
              <w:top w:val="single" w:sz="4" w:space="0" w:color="auto"/>
              <w:left w:val="nil"/>
              <w:bottom w:val="single" w:sz="4" w:space="0" w:color="auto"/>
              <w:right w:val="single" w:sz="4" w:space="0" w:color="auto"/>
            </w:tcBorders>
            <w:noWrap/>
            <w:vAlign w:val="bottom"/>
            <w:hideMark/>
          </w:tcPr>
          <w:p w14:paraId="4BC7CE00" w14:textId="77777777" w:rsidR="00D31621" w:rsidRPr="00FD6E16" w:rsidRDefault="00D31621" w:rsidP="00C45F51">
            <w:pPr>
              <w:spacing w:after="0" w:line="240" w:lineRule="auto"/>
              <w:rPr>
                <w:rFonts w:ascii="Times New Roman" w:hAnsi="Times New Roman"/>
                <w:color w:val="000000"/>
                <w:sz w:val="24"/>
                <w:szCs w:val="24"/>
              </w:rPr>
            </w:pPr>
            <w:r w:rsidRPr="00FD6E16">
              <w:rPr>
                <w:rFonts w:ascii="Times New Roman" w:hAnsi="Times New Roman"/>
                <w:color w:val="000000"/>
                <w:sz w:val="24"/>
                <w:szCs w:val="24"/>
              </w:rPr>
              <w:t>0.05 Critical Va</w:t>
            </w:r>
            <w:r w:rsidRPr="00FC0689">
              <w:rPr>
                <w:rFonts w:ascii="Times New Roman" w:hAnsi="Times New Roman"/>
                <w:color w:val="000000"/>
                <w:sz w:val="24"/>
                <w:szCs w:val="24"/>
              </w:rPr>
              <w:t>l</w:t>
            </w:r>
            <w:r w:rsidRPr="00FD6E16">
              <w:rPr>
                <w:rFonts w:ascii="Times New Roman" w:hAnsi="Times New Roman"/>
                <w:color w:val="000000"/>
                <w:sz w:val="24"/>
                <w:szCs w:val="24"/>
              </w:rPr>
              <w:t>ue</w:t>
            </w:r>
          </w:p>
        </w:tc>
        <w:tc>
          <w:tcPr>
            <w:tcW w:w="1283" w:type="dxa"/>
            <w:tcBorders>
              <w:top w:val="single" w:sz="4" w:space="0" w:color="auto"/>
              <w:left w:val="nil"/>
              <w:bottom w:val="single" w:sz="4" w:space="0" w:color="auto"/>
              <w:right w:val="single" w:sz="4" w:space="0" w:color="auto"/>
            </w:tcBorders>
            <w:noWrap/>
            <w:vAlign w:val="bottom"/>
            <w:hideMark/>
          </w:tcPr>
          <w:p w14:paraId="4B36C352" w14:textId="77777777" w:rsidR="00D31621" w:rsidRPr="00FC0689" w:rsidRDefault="00D31621" w:rsidP="00C45F51">
            <w:pPr>
              <w:spacing w:after="0" w:line="240" w:lineRule="auto"/>
              <w:rPr>
                <w:rFonts w:ascii="Times New Roman" w:hAnsi="Times New Roman"/>
                <w:color w:val="000000"/>
                <w:sz w:val="24"/>
                <w:szCs w:val="24"/>
              </w:rPr>
            </w:pPr>
            <w:r w:rsidRPr="00FD6E16">
              <w:rPr>
                <w:rFonts w:ascii="Times New Roman" w:hAnsi="Times New Roman"/>
                <w:color w:val="000000"/>
                <w:sz w:val="24"/>
                <w:szCs w:val="24"/>
              </w:rPr>
              <w:t>Probability</w:t>
            </w:r>
          </w:p>
          <w:p w14:paraId="0EEFFB28" w14:textId="77777777" w:rsidR="00D31621" w:rsidRPr="00FD6E16" w:rsidRDefault="00D31621" w:rsidP="00C45F51">
            <w:pPr>
              <w:spacing w:after="0" w:line="240" w:lineRule="auto"/>
              <w:rPr>
                <w:rFonts w:ascii="Times New Roman" w:hAnsi="Times New Roman"/>
                <w:color w:val="000000"/>
                <w:sz w:val="24"/>
                <w:szCs w:val="24"/>
              </w:rPr>
            </w:pPr>
          </w:p>
        </w:tc>
      </w:tr>
      <w:tr w:rsidR="00D31621" w:rsidRPr="00FD6E16" w14:paraId="19F28457" w14:textId="77777777" w:rsidTr="00303B4A">
        <w:trPr>
          <w:trHeight w:val="304"/>
        </w:trPr>
        <w:tc>
          <w:tcPr>
            <w:tcW w:w="1296" w:type="dxa"/>
            <w:tcBorders>
              <w:top w:val="single" w:sz="4" w:space="0" w:color="auto"/>
              <w:left w:val="single" w:sz="4" w:space="0" w:color="auto"/>
              <w:right w:val="single" w:sz="4" w:space="0" w:color="auto"/>
            </w:tcBorders>
            <w:noWrap/>
            <w:vAlign w:val="bottom"/>
            <w:hideMark/>
          </w:tcPr>
          <w:p w14:paraId="63551784" w14:textId="77777777" w:rsidR="00D31621" w:rsidRPr="00FD6E16" w:rsidRDefault="00D31621" w:rsidP="00C45F51">
            <w:pPr>
              <w:spacing w:after="0" w:line="240" w:lineRule="auto"/>
              <w:rPr>
                <w:rFonts w:ascii="Times New Roman" w:hAnsi="Times New Roman"/>
                <w:color w:val="000000"/>
                <w:sz w:val="24"/>
                <w:szCs w:val="24"/>
              </w:rPr>
            </w:pPr>
            <w:r w:rsidRPr="00FC0689">
              <w:rPr>
                <w:rFonts w:ascii="Times New Roman" w:hAnsi="Times New Roman"/>
                <w:color w:val="000000"/>
                <w:sz w:val="24"/>
                <w:szCs w:val="24"/>
              </w:rPr>
              <w:t>r = 0</w:t>
            </w:r>
          </w:p>
        </w:tc>
        <w:tc>
          <w:tcPr>
            <w:tcW w:w="2080" w:type="dxa"/>
            <w:tcBorders>
              <w:top w:val="single" w:sz="4" w:space="0" w:color="auto"/>
              <w:left w:val="nil"/>
              <w:right w:val="single" w:sz="4" w:space="0" w:color="auto"/>
            </w:tcBorders>
            <w:noWrap/>
            <w:vAlign w:val="bottom"/>
            <w:hideMark/>
          </w:tcPr>
          <w:p w14:paraId="52741A2A" w14:textId="77777777" w:rsidR="00D31621" w:rsidRPr="00FD6E16" w:rsidRDefault="00D31621" w:rsidP="00C45F51">
            <w:pPr>
              <w:spacing w:after="0" w:line="240" w:lineRule="auto"/>
              <w:rPr>
                <w:rFonts w:ascii="Times New Roman" w:hAnsi="Times New Roman"/>
                <w:color w:val="000000"/>
                <w:sz w:val="24"/>
                <w:szCs w:val="24"/>
              </w:rPr>
            </w:pPr>
            <w:r w:rsidRPr="00FC0689">
              <w:rPr>
                <w:rFonts w:ascii="Times New Roman" w:hAnsi="Times New Roman"/>
                <w:color w:val="000000"/>
                <w:sz w:val="24"/>
                <w:szCs w:val="24"/>
              </w:rPr>
              <w:t>r = 1</w:t>
            </w:r>
          </w:p>
        </w:tc>
        <w:tc>
          <w:tcPr>
            <w:tcW w:w="1096" w:type="dxa"/>
            <w:tcBorders>
              <w:top w:val="single" w:sz="4" w:space="0" w:color="auto"/>
              <w:left w:val="nil"/>
              <w:right w:val="single" w:sz="4" w:space="0" w:color="auto"/>
            </w:tcBorders>
            <w:noWrap/>
            <w:vAlign w:val="bottom"/>
            <w:hideMark/>
          </w:tcPr>
          <w:p w14:paraId="4B1C96B9"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0.677988</w:t>
            </w:r>
          </w:p>
        </w:tc>
        <w:tc>
          <w:tcPr>
            <w:tcW w:w="1300" w:type="dxa"/>
            <w:tcBorders>
              <w:top w:val="single" w:sz="4" w:space="0" w:color="auto"/>
              <w:left w:val="nil"/>
              <w:right w:val="single" w:sz="4" w:space="0" w:color="auto"/>
            </w:tcBorders>
            <w:noWrap/>
            <w:vAlign w:val="bottom"/>
            <w:hideMark/>
          </w:tcPr>
          <w:p w14:paraId="22CF0C67"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315.2155</w:t>
            </w:r>
          </w:p>
        </w:tc>
        <w:tc>
          <w:tcPr>
            <w:tcW w:w="1634" w:type="dxa"/>
            <w:tcBorders>
              <w:top w:val="single" w:sz="4" w:space="0" w:color="auto"/>
              <w:left w:val="nil"/>
              <w:right w:val="single" w:sz="4" w:space="0" w:color="auto"/>
            </w:tcBorders>
            <w:noWrap/>
            <w:vAlign w:val="bottom"/>
            <w:hideMark/>
          </w:tcPr>
          <w:p w14:paraId="7C1B930C"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169.5991</w:t>
            </w:r>
          </w:p>
        </w:tc>
        <w:tc>
          <w:tcPr>
            <w:tcW w:w="1283" w:type="dxa"/>
            <w:tcBorders>
              <w:top w:val="single" w:sz="4" w:space="0" w:color="auto"/>
              <w:left w:val="nil"/>
              <w:right w:val="single" w:sz="4" w:space="0" w:color="auto"/>
            </w:tcBorders>
            <w:noWrap/>
            <w:vAlign w:val="bottom"/>
            <w:hideMark/>
          </w:tcPr>
          <w:p w14:paraId="48E52613"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0.0000</w:t>
            </w:r>
          </w:p>
        </w:tc>
      </w:tr>
      <w:tr w:rsidR="00D31621" w:rsidRPr="00FD6E16" w14:paraId="1EC63532" w14:textId="77777777" w:rsidTr="00303B4A">
        <w:trPr>
          <w:trHeight w:val="304"/>
        </w:trPr>
        <w:tc>
          <w:tcPr>
            <w:tcW w:w="1296" w:type="dxa"/>
            <w:tcBorders>
              <w:top w:val="nil"/>
              <w:left w:val="single" w:sz="4" w:space="0" w:color="auto"/>
              <w:right w:val="single" w:sz="4" w:space="0" w:color="auto"/>
            </w:tcBorders>
            <w:noWrap/>
            <w:vAlign w:val="bottom"/>
            <w:hideMark/>
          </w:tcPr>
          <w:p w14:paraId="07CBC47E" w14:textId="77777777" w:rsidR="00D31621" w:rsidRPr="00FD6E16" w:rsidRDefault="00D31621" w:rsidP="00C45F51">
            <w:pPr>
              <w:spacing w:after="0" w:line="240" w:lineRule="auto"/>
              <w:rPr>
                <w:rFonts w:ascii="Times New Roman" w:hAnsi="Times New Roman"/>
                <w:color w:val="000000"/>
                <w:sz w:val="24"/>
                <w:szCs w:val="24"/>
              </w:rPr>
            </w:pPr>
            <w:r w:rsidRPr="00FC0689">
              <w:rPr>
                <w:rFonts w:ascii="Times New Roman" w:hAnsi="Times New Roman"/>
                <w:color w:val="000000"/>
                <w:sz w:val="24"/>
                <w:szCs w:val="24"/>
              </w:rPr>
              <w:t>r</w:t>
            </w:r>
            <w:r w:rsidRPr="00FC0689">
              <w:rPr>
                <w:rFonts w:ascii="Times New Roman" w:hAnsi="Times New Roman"/>
                <w:color w:val="000000"/>
                <w:position w:val="-4"/>
                <w:sz w:val="24"/>
                <w:szCs w:val="24"/>
              </w:rPr>
              <w:object w:dxaOrig="200" w:dyaOrig="240" w14:anchorId="647CDF07">
                <v:shape id="_x0000_i1043" type="#_x0000_t75" style="width:10.5pt;height:12pt" o:ole="">
                  <v:imagedata r:id="rId39" o:title=""/>
                </v:shape>
                <o:OLEObject Type="Embed" ProgID="Equation.3" ShapeID="_x0000_i1043" DrawAspect="Content" ObjectID="_1817953514" r:id="rId40"/>
              </w:object>
            </w:r>
            <w:r w:rsidRPr="00FC0689">
              <w:rPr>
                <w:rFonts w:ascii="Times New Roman" w:hAnsi="Times New Roman"/>
                <w:color w:val="000000"/>
                <w:sz w:val="24"/>
                <w:szCs w:val="24"/>
              </w:rPr>
              <w:t>1</w:t>
            </w:r>
          </w:p>
        </w:tc>
        <w:tc>
          <w:tcPr>
            <w:tcW w:w="2080" w:type="dxa"/>
            <w:tcBorders>
              <w:top w:val="nil"/>
              <w:left w:val="nil"/>
              <w:right w:val="single" w:sz="4" w:space="0" w:color="auto"/>
            </w:tcBorders>
            <w:noWrap/>
            <w:vAlign w:val="bottom"/>
            <w:hideMark/>
          </w:tcPr>
          <w:p w14:paraId="2F3DC2CF" w14:textId="77777777" w:rsidR="00D31621" w:rsidRPr="00FD6E16" w:rsidRDefault="00D31621" w:rsidP="00C45F51">
            <w:pPr>
              <w:spacing w:after="0" w:line="240" w:lineRule="auto"/>
              <w:rPr>
                <w:rFonts w:ascii="Times New Roman" w:hAnsi="Times New Roman"/>
                <w:color w:val="000000"/>
                <w:sz w:val="24"/>
                <w:szCs w:val="24"/>
              </w:rPr>
            </w:pPr>
            <w:r w:rsidRPr="00FC0689">
              <w:rPr>
                <w:rFonts w:ascii="Times New Roman" w:hAnsi="Times New Roman"/>
                <w:color w:val="000000"/>
                <w:sz w:val="24"/>
                <w:szCs w:val="24"/>
              </w:rPr>
              <w:t>r = 2</w:t>
            </w:r>
          </w:p>
        </w:tc>
        <w:tc>
          <w:tcPr>
            <w:tcW w:w="1096" w:type="dxa"/>
            <w:tcBorders>
              <w:top w:val="nil"/>
              <w:left w:val="nil"/>
              <w:right w:val="single" w:sz="4" w:space="0" w:color="auto"/>
            </w:tcBorders>
            <w:noWrap/>
            <w:vAlign w:val="bottom"/>
            <w:hideMark/>
          </w:tcPr>
          <w:p w14:paraId="6F67390B"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0.421395</w:t>
            </w:r>
          </w:p>
        </w:tc>
        <w:tc>
          <w:tcPr>
            <w:tcW w:w="1300" w:type="dxa"/>
            <w:tcBorders>
              <w:top w:val="nil"/>
              <w:left w:val="nil"/>
              <w:right w:val="single" w:sz="4" w:space="0" w:color="auto"/>
            </w:tcBorders>
            <w:noWrap/>
            <w:vAlign w:val="bottom"/>
            <w:hideMark/>
          </w:tcPr>
          <w:p w14:paraId="66043D86"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175.8358</w:t>
            </w:r>
          </w:p>
        </w:tc>
        <w:tc>
          <w:tcPr>
            <w:tcW w:w="1634" w:type="dxa"/>
            <w:tcBorders>
              <w:top w:val="nil"/>
              <w:left w:val="nil"/>
              <w:right w:val="single" w:sz="4" w:space="0" w:color="auto"/>
            </w:tcBorders>
            <w:noWrap/>
            <w:vAlign w:val="bottom"/>
            <w:hideMark/>
          </w:tcPr>
          <w:p w14:paraId="4BB9387D"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134.6780</w:t>
            </w:r>
          </w:p>
        </w:tc>
        <w:tc>
          <w:tcPr>
            <w:tcW w:w="1283" w:type="dxa"/>
            <w:tcBorders>
              <w:top w:val="nil"/>
              <w:left w:val="nil"/>
              <w:right w:val="single" w:sz="4" w:space="0" w:color="auto"/>
            </w:tcBorders>
            <w:noWrap/>
            <w:vAlign w:val="bottom"/>
            <w:hideMark/>
          </w:tcPr>
          <w:p w14:paraId="1BB8E216"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0.0000</w:t>
            </w:r>
          </w:p>
        </w:tc>
      </w:tr>
      <w:tr w:rsidR="00D31621" w:rsidRPr="00FD6E16" w14:paraId="794CDA33" w14:textId="77777777" w:rsidTr="00303B4A">
        <w:trPr>
          <w:trHeight w:val="304"/>
        </w:trPr>
        <w:tc>
          <w:tcPr>
            <w:tcW w:w="1296" w:type="dxa"/>
            <w:tcBorders>
              <w:top w:val="nil"/>
              <w:left w:val="single" w:sz="4" w:space="0" w:color="auto"/>
              <w:right w:val="single" w:sz="4" w:space="0" w:color="auto"/>
            </w:tcBorders>
            <w:noWrap/>
            <w:vAlign w:val="bottom"/>
            <w:hideMark/>
          </w:tcPr>
          <w:p w14:paraId="34F3726B" w14:textId="77777777" w:rsidR="00D31621" w:rsidRPr="00FD6E16" w:rsidRDefault="00D31621" w:rsidP="00C45F51">
            <w:pPr>
              <w:spacing w:after="0" w:line="240" w:lineRule="auto"/>
              <w:rPr>
                <w:rFonts w:ascii="Times New Roman" w:hAnsi="Times New Roman"/>
                <w:color w:val="000000"/>
                <w:sz w:val="24"/>
                <w:szCs w:val="24"/>
              </w:rPr>
            </w:pPr>
            <w:r w:rsidRPr="00FC0689">
              <w:rPr>
                <w:rFonts w:ascii="Times New Roman" w:hAnsi="Times New Roman"/>
                <w:color w:val="000000"/>
                <w:sz w:val="24"/>
                <w:szCs w:val="24"/>
              </w:rPr>
              <w:t>r</w:t>
            </w:r>
            <w:r w:rsidRPr="00FC0689">
              <w:rPr>
                <w:rFonts w:ascii="Times New Roman" w:hAnsi="Times New Roman"/>
                <w:color w:val="000000"/>
                <w:position w:val="-4"/>
                <w:sz w:val="24"/>
                <w:szCs w:val="24"/>
              </w:rPr>
              <w:object w:dxaOrig="200" w:dyaOrig="240" w14:anchorId="2584F692">
                <v:shape id="_x0000_i1044" type="#_x0000_t75" style="width:10.5pt;height:12pt" o:ole="">
                  <v:imagedata r:id="rId41" o:title=""/>
                </v:shape>
                <o:OLEObject Type="Embed" ProgID="Equation.3" ShapeID="_x0000_i1044" DrawAspect="Content" ObjectID="_1817953515" r:id="rId42"/>
              </w:object>
            </w:r>
            <w:r w:rsidRPr="00FC0689">
              <w:rPr>
                <w:rFonts w:ascii="Times New Roman" w:hAnsi="Times New Roman"/>
                <w:color w:val="000000"/>
                <w:sz w:val="24"/>
                <w:szCs w:val="24"/>
              </w:rPr>
              <w:t>2</w:t>
            </w:r>
          </w:p>
        </w:tc>
        <w:tc>
          <w:tcPr>
            <w:tcW w:w="2080" w:type="dxa"/>
            <w:tcBorders>
              <w:top w:val="nil"/>
              <w:left w:val="nil"/>
              <w:right w:val="single" w:sz="4" w:space="0" w:color="auto"/>
            </w:tcBorders>
            <w:noWrap/>
            <w:vAlign w:val="bottom"/>
            <w:hideMark/>
          </w:tcPr>
          <w:p w14:paraId="7A792FA2" w14:textId="77777777" w:rsidR="00D31621" w:rsidRPr="00FD6E16" w:rsidRDefault="00D31621" w:rsidP="00C45F51">
            <w:pPr>
              <w:spacing w:after="0" w:line="240" w:lineRule="auto"/>
              <w:rPr>
                <w:rFonts w:ascii="Times New Roman" w:hAnsi="Times New Roman"/>
                <w:color w:val="000000"/>
                <w:sz w:val="24"/>
                <w:szCs w:val="24"/>
              </w:rPr>
            </w:pPr>
            <w:r w:rsidRPr="00FC0689">
              <w:rPr>
                <w:rFonts w:ascii="Times New Roman" w:hAnsi="Times New Roman"/>
                <w:color w:val="000000"/>
                <w:sz w:val="24"/>
                <w:szCs w:val="24"/>
              </w:rPr>
              <w:t>r = 3</w:t>
            </w:r>
          </w:p>
        </w:tc>
        <w:tc>
          <w:tcPr>
            <w:tcW w:w="1096" w:type="dxa"/>
            <w:tcBorders>
              <w:top w:val="nil"/>
              <w:left w:val="nil"/>
              <w:right w:val="single" w:sz="4" w:space="0" w:color="auto"/>
            </w:tcBorders>
            <w:noWrap/>
            <w:vAlign w:val="bottom"/>
            <w:hideMark/>
          </w:tcPr>
          <w:p w14:paraId="162565F8"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0.277638</w:t>
            </w:r>
          </w:p>
        </w:tc>
        <w:tc>
          <w:tcPr>
            <w:tcW w:w="1300" w:type="dxa"/>
            <w:tcBorders>
              <w:top w:val="nil"/>
              <w:left w:val="nil"/>
              <w:right w:val="single" w:sz="4" w:space="0" w:color="auto"/>
            </w:tcBorders>
            <w:noWrap/>
            <w:vAlign w:val="bottom"/>
            <w:hideMark/>
          </w:tcPr>
          <w:p w14:paraId="33C5A859"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102.5382</w:t>
            </w:r>
          </w:p>
        </w:tc>
        <w:tc>
          <w:tcPr>
            <w:tcW w:w="1634" w:type="dxa"/>
            <w:tcBorders>
              <w:top w:val="nil"/>
              <w:left w:val="nil"/>
              <w:right w:val="single" w:sz="4" w:space="0" w:color="auto"/>
            </w:tcBorders>
            <w:noWrap/>
            <w:vAlign w:val="bottom"/>
            <w:hideMark/>
          </w:tcPr>
          <w:p w14:paraId="40D81C39"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103.8473</w:t>
            </w:r>
          </w:p>
        </w:tc>
        <w:tc>
          <w:tcPr>
            <w:tcW w:w="1283" w:type="dxa"/>
            <w:tcBorders>
              <w:top w:val="nil"/>
              <w:left w:val="nil"/>
              <w:right w:val="single" w:sz="4" w:space="0" w:color="auto"/>
            </w:tcBorders>
            <w:noWrap/>
            <w:vAlign w:val="bottom"/>
            <w:hideMark/>
          </w:tcPr>
          <w:p w14:paraId="3DBF91E5"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0.1436</w:t>
            </w:r>
          </w:p>
        </w:tc>
      </w:tr>
      <w:tr w:rsidR="00D31621" w:rsidRPr="00FD6E16" w14:paraId="191537BE" w14:textId="77777777" w:rsidTr="00303B4A">
        <w:trPr>
          <w:trHeight w:val="304"/>
        </w:trPr>
        <w:tc>
          <w:tcPr>
            <w:tcW w:w="1296" w:type="dxa"/>
            <w:tcBorders>
              <w:top w:val="nil"/>
              <w:left w:val="single" w:sz="4" w:space="0" w:color="auto"/>
              <w:right w:val="single" w:sz="4" w:space="0" w:color="auto"/>
            </w:tcBorders>
            <w:noWrap/>
            <w:vAlign w:val="bottom"/>
            <w:hideMark/>
          </w:tcPr>
          <w:p w14:paraId="145BD8D5" w14:textId="77777777" w:rsidR="00D31621" w:rsidRPr="00FD6E16" w:rsidRDefault="00D31621" w:rsidP="00C45F51">
            <w:pPr>
              <w:spacing w:after="0" w:line="240" w:lineRule="auto"/>
              <w:rPr>
                <w:rFonts w:ascii="Times New Roman" w:hAnsi="Times New Roman"/>
                <w:color w:val="000000"/>
                <w:sz w:val="24"/>
                <w:szCs w:val="24"/>
              </w:rPr>
            </w:pPr>
            <w:r w:rsidRPr="00FC0689">
              <w:rPr>
                <w:rFonts w:ascii="Times New Roman" w:hAnsi="Times New Roman"/>
                <w:color w:val="000000"/>
                <w:sz w:val="24"/>
                <w:szCs w:val="24"/>
              </w:rPr>
              <w:t>r</w:t>
            </w:r>
            <w:r w:rsidRPr="00FC0689">
              <w:rPr>
                <w:rFonts w:ascii="Times New Roman" w:hAnsi="Times New Roman"/>
                <w:color w:val="000000"/>
                <w:position w:val="-4"/>
                <w:sz w:val="24"/>
                <w:szCs w:val="24"/>
              </w:rPr>
              <w:object w:dxaOrig="200" w:dyaOrig="240" w14:anchorId="78F40F82">
                <v:shape id="_x0000_i1045" type="#_x0000_t75" style="width:10.5pt;height:12pt" o:ole="">
                  <v:imagedata r:id="rId41" o:title=""/>
                </v:shape>
                <o:OLEObject Type="Embed" ProgID="Equation.3" ShapeID="_x0000_i1045" DrawAspect="Content" ObjectID="_1817953516" r:id="rId43"/>
              </w:object>
            </w:r>
            <w:r w:rsidRPr="00FC0689">
              <w:rPr>
                <w:rFonts w:ascii="Times New Roman" w:hAnsi="Times New Roman"/>
                <w:color w:val="000000"/>
                <w:sz w:val="24"/>
                <w:szCs w:val="24"/>
              </w:rPr>
              <w:t>3</w:t>
            </w:r>
          </w:p>
        </w:tc>
        <w:tc>
          <w:tcPr>
            <w:tcW w:w="2080" w:type="dxa"/>
            <w:tcBorders>
              <w:top w:val="nil"/>
              <w:left w:val="nil"/>
              <w:right w:val="single" w:sz="4" w:space="0" w:color="auto"/>
            </w:tcBorders>
            <w:noWrap/>
            <w:vAlign w:val="bottom"/>
            <w:hideMark/>
          </w:tcPr>
          <w:p w14:paraId="229A1210" w14:textId="77777777" w:rsidR="00D31621" w:rsidRPr="00FD6E16" w:rsidRDefault="00D31621" w:rsidP="00C45F51">
            <w:pPr>
              <w:spacing w:after="0" w:line="240" w:lineRule="auto"/>
              <w:rPr>
                <w:rFonts w:ascii="Times New Roman" w:hAnsi="Times New Roman"/>
                <w:color w:val="000000"/>
                <w:sz w:val="24"/>
                <w:szCs w:val="24"/>
              </w:rPr>
            </w:pPr>
            <w:r w:rsidRPr="00FC0689">
              <w:rPr>
                <w:rFonts w:ascii="Times New Roman" w:hAnsi="Times New Roman"/>
                <w:color w:val="000000"/>
                <w:sz w:val="24"/>
                <w:szCs w:val="24"/>
              </w:rPr>
              <w:t>r = 4</w:t>
            </w:r>
          </w:p>
        </w:tc>
        <w:tc>
          <w:tcPr>
            <w:tcW w:w="1096" w:type="dxa"/>
            <w:tcBorders>
              <w:top w:val="nil"/>
              <w:left w:val="nil"/>
              <w:right w:val="single" w:sz="4" w:space="0" w:color="auto"/>
            </w:tcBorders>
            <w:noWrap/>
            <w:vAlign w:val="bottom"/>
            <w:hideMark/>
          </w:tcPr>
          <w:p w14:paraId="0BB3A983"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0.191134</w:t>
            </w:r>
          </w:p>
        </w:tc>
        <w:tc>
          <w:tcPr>
            <w:tcW w:w="1300" w:type="dxa"/>
            <w:tcBorders>
              <w:top w:val="nil"/>
              <w:left w:val="nil"/>
              <w:right w:val="single" w:sz="4" w:space="0" w:color="auto"/>
            </w:tcBorders>
            <w:noWrap/>
            <w:vAlign w:val="bottom"/>
            <w:hideMark/>
          </w:tcPr>
          <w:p w14:paraId="067AB4D3"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68.53499</w:t>
            </w:r>
          </w:p>
        </w:tc>
        <w:tc>
          <w:tcPr>
            <w:tcW w:w="1634" w:type="dxa"/>
            <w:tcBorders>
              <w:top w:val="nil"/>
              <w:left w:val="nil"/>
              <w:right w:val="single" w:sz="4" w:space="0" w:color="auto"/>
            </w:tcBorders>
            <w:noWrap/>
            <w:vAlign w:val="bottom"/>
            <w:hideMark/>
          </w:tcPr>
          <w:p w14:paraId="2C77B8E7"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76.97277</w:t>
            </w:r>
          </w:p>
        </w:tc>
        <w:tc>
          <w:tcPr>
            <w:tcW w:w="1283" w:type="dxa"/>
            <w:tcBorders>
              <w:top w:val="nil"/>
              <w:left w:val="nil"/>
              <w:right w:val="single" w:sz="4" w:space="0" w:color="auto"/>
            </w:tcBorders>
            <w:noWrap/>
            <w:vAlign w:val="bottom"/>
            <w:hideMark/>
          </w:tcPr>
          <w:p w14:paraId="07FD3CE1"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0.1848</w:t>
            </w:r>
          </w:p>
        </w:tc>
      </w:tr>
      <w:tr w:rsidR="00D31621" w:rsidRPr="00FD6E16" w14:paraId="6FF77852" w14:textId="77777777" w:rsidTr="00303B4A">
        <w:trPr>
          <w:trHeight w:val="304"/>
        </w:trPr>
        <w:tc>
          <w:tcPr>
            <w:tcW w:w="1296" w:type="dxa"/>
            <w:tcBorders>
              <w:top w:val="nil"/>
              <w:left w:val="single" w:sz="4" w:space="0" w:color="auto"/>
              <w:right w:val="single" w:sz="4" w:space="0" w:color="auto"/>
            </w:tcBorders>
            <w:noWrap/>
            <w:vAlign w:val="bottom"/>
            <w:hideMark/>
          </w:tcPr>
          <w:p w14:paraId="5E0829BF" w14:textId="77777777" w:rsidR="00D31621" w:rsidRPr="00FD6E16" w:rsidRDefault="00D31621" w:rsidP="00C45F51">
            <w:pPr>
              <w:spacing w:after="0" w:line="240" w:lineRule="auto"/>
              <w:rPr>
                <w:rFonts w:ascii="Times New Roman" w:hAnsi="Times New Roman"/>
                <w:color w:val="000000"/>
                <w:sz w:val="24"/>
                <w:szCs w:val="24"/>
              </w:rPr>
            </w:pPr>
            <w:r w:rsidRPr="00FC0689">
              <w:rPr>
                <w:rFonts w:ascii="Times New Roman" w:hAnsi="Times New Roman"/>
                <w:color w:val="000000"/>
                <w:sz w:val="24"/>
                <w:szCs w:val="24"/>
              </w:rPr>
              <w:t>r</w:t>
            </w:r>
            <w:r w:rsidRPr="00FC0689">
              <w:rPr>
                <w:rFonts w:ascii="Times New Roman" w:hAnsi="Times New Roman"/>
                <w:color w:val="000000"/>
                <w:position w:val="-4"/>
                <w:sz w:val="24"/>
                <w:szCs w:val="24"/>
              </w:rPr>
              <w:object w:dxaOrig="200" w:dyaOrig="240" w14:anchorId="4603F193">
                <v:shape id="_x0000_i1046" type="#_x0000_t75" style="width:10.5pt;height:12pt" o:ole="">
                  <v:imagedata r:id="rId41" o:title=""/>
                </v:shape>
                <o:OLEObject Type="Embed" ProgID="Equation.3" ShapeID="_x0000_i1046" DrawAspect="Content" ObjectID="_1817953517" r:id="rId44"/>
              </w:object>
            </w:r>
            <w:r w:rsidRPr="00FC0689">
              <w:rPr>
                <w:rFonts w:ascii="Times New Roman" w:hAnsi="Times New Roman"/>
                <w:color w:val="000000"/>
                <w:sz w:val="24"/>
                <w:szCs w:val="24"/>
              </w:rPr>
              <w:t>4</w:t>
            </w:r>
          </w:p>
        </w:tc>
        <w:tc>
          <w:tcPr>
            <w:tcW w:w="2080" w:type="dxa"/>
            <w:tcBorders>
              <w:top w:val="nil"/>
              <w:left w:val="nil"/>
              <w:right w:val="single" w:sz="4" w:space="0" w:color="auto"/>
            </w:tcBorders>
            <w:noWrap/>
            <w:vAlign w:val="bottom"/>
            <w:hideMark/>
          </w:tcPr>
          <w:p w14:paraId="7A36674A" w14:textId="77777777" w:rsidR="00D31621" w:rsidRPr="00FD6E16" w:rsidRDefault="00D31621" w:rsidP="00C45F51">
            <w:pPr>
              <w:spacing w:after="0" w:line="240" w:lineRule="auto"/>
              <w:rPr>
                <w:rFonts w:ascii="Times New Roman" w:hAnsi="Times New Roman"/>
                <w:color w:val="000000"/>
                <w:sz w:val="24"/>
                <w:szCs w:val="24"/>
              </w:rPr>
            </w:pPr>
            <w:r w:rsidRPr="00FC0689">
              <w:rPr>
                <w:rFonts w:ascii="Times New Roman" w:hAnsi="Times New Roman"/>
                <w:color w:val="000000"/>
                <w:sz w:val="24"/>
                <w:szCs w:val="24"/>
              </w:rPr>
              <w:t>r = 5</w:t>
            </w:r>
          </w:p>
        </w:tc>
        <w:tc>
          <w:tcPr>
            <w:tcW w:w="1096" w:type="dxa"/>
            <w:tcBorders>
              <w:top w:val="nil"/>
              <w:left w:val="nil"/>
              <w:right w:val="single" w:sz="4" w:space="0" w:color="auto"/>
            </w:tcBorders>
            <w:noWrap/>
            <w:vAlign w:val="bottom"/>
            <w:hideMark/>
          </w:tcPr>
          <w:p w14:paraId="14257919"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0.131294</w:t>
            </w:r>
          </w:p>
        </w:tc>
        <w:tc>
          <w:tcPr>
            <w:tcW w:w="1300" w:type="dxa"/>
            <w:tcBorders>
              <w:top w:val="nil"/>
              <w:left w:val="nil"/>
              <w:right w:val="single" w:sz="4" w:space="0" w:color="auto"/>
            </w:tcBorders>
            <w:noWrap/>
            <w:vAlign w:val="bottom"/>
            <w:hideMark/>
          </w:tcPr>
          <w:p w14:paraId="7CA36741"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42.44404</w:t>
            </w:r>
          </w:p>
        </w:tc>
        <w:tc>
          <w:tcPr>
            <w:tcW w:w="1634" w:type="dxa"/>
            <w:tcBorders>
              <w:top w:val="nil"/>
              <w:left w:val="nil"/>
              <w:right w:val="single" w:sz="4" w:space="0" w:color="auto"/>
            </w:tcBorders>
            <w:noWrap/>
            <w:vAlign w:val="bottom"/>
            <w:hideMark/>
          </w:tcPr>
          <w:p w14:paraId="23BD2B24"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54.07904</w:t>
            </w:r>
          </w:p>
        </w:tc>
        <w:tc>
          <w:tcPr>
            <w:tcW w:w="1283" w:type="dxa"/>
            <w:tcBorders>
              <w:top w:val="nil"/>
              <w:left w:val="nil"/>
              <w:right w:val="single" w:sz="4" w:space="0" w:color="auto"/>
            </w:tcBorders>
            <w:noWrap/>
            <w:vAlign w:val="bottom"/>
            <w:hideMark/>
          </w:tcPr>
          <w:p w14:paraId="2B2CC7BD"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0.3538</w:t>
            </w:r>
          </w:p>
        </w:tc>
      </w:tr>
      <w:tr w:rsidR="00D31621" w:rsidRPr="00FD6E16" w14:paraId="1776A15D" w14:textId="77777777" w:rsidTr="00303B4A">
        <w:trPr>
          <w:trHeight w:val="304"/>
        </w:trPr>
        <w:tc>
          <w:tcPr>
            <w:tcW w:w="1296" w:type="dxa"/>
            <w:tcBorders>
              <w:top w:val="nil"/>
              <w:left w:val="single" w:sz="4" w:space="0" w:color="auto"/>
              <w:right w:val="single" w:sz="4" w:space="0" w:color="auto"/>
            </w:tcBorders>
            <w:noWrap/>
            <w:vAlign w:val="bottom"/>
            <w:hideMark/>
          </w:tcPr>
          <w:p w14:paraId="03CFD9C1" w14:textId="77777777" w:rsidR="00D31621" w:rsidRPr="00FC0689" w:rsidRDefault="00D31621" w:rsidP="00C45F51">
            <w:pPr>
              <w:spacing w:after="0" w:line="240" w:lineRule="auto"/>
              <w:rPr>
                <w:rFonts w:ascii="Times New Roman" w:hAnsi="Times New Roman"/>
                <w:color w:val="000000"/>
                <w:sz w:val="24"/>
                <w:szCs w:val="24"/>
              </w:rPr>
            </w:pPr>
            <w:r w:rsidRPr="00FC0689">
              <w:rPr>
                <w:rFonts w:ascii="Times New Roman" w:hAnsi="Times New Roman"/>
                <w:color w:val="000000"/>
                <w:sz w:val="24"/>
                <w:szCs w:val="24"/>
              </w:rPr>
              <w:t>r</w:t>
            </w:r>
            <w:r w:rsidRPr="00FC0689">
              <w:rPr>
                <w:rFonts w:ascii="Times New Roman" w:hAnsi="Times New Roman"/>
                <w:color w:val="000000"/>
                <w:position w:val="-4"/>
                <w:sz w:val="24"/>
                <w:szCs w:val="24"/>
              </w:rPr>
              <w:object w:dxaOrig="200" w:dyaOrig="240" w14:anchorId="20577E47">
                <v:shape id="_x0000_i1047" type="#_x0000_t75" style="width:10.5pt;height:12pt" o:ole="">
                  <v:imagedata r:id="rId41" o:title=""/>
                </v:shape>
                <o:OLEObject Type="Embed" ProgID="Equation.3" ShapeID="_x0000_i1047" DrawAspect="Content" ObjectID="_1817953518" r:id="rId45"/>
              </w:object>
            </w:r>
            <w:r>
              <w:rPr>
                <w:rFonts w:ascii="Times New Roman" w:hAnsi="Times New Roman"/>
                <w:color w:val="000000"/>
                <w:sz w:val="24"/>
                <w:szCs w:val="24"/>
              </w:rPr>
              <w:t>5</w:t>
            </w:r>
          </w:p>
        </w:tc>
        <w:tc>
          <w:tcPr>
            <w:tcW w:w="2080" w:type="dxa"/>
            <w:tcBorders>
              <w:top w:val="nil"/>
              <w:left w:val="nil"/>
              <w:right w:val="single" w:sz="4" w:space="0" w:color="auto"/>
            </w:tcBorders>
            <w:noWrap/>
            <w:vAlign w:val="bottom"/>
            <w:hideMark/>
          </w:tcPr>
          <w:p w14:paraId="57E16D3F" w14:textId="77777777" w:rsidR="00D31621" w:rsidRPr="00FC0689" w:rsidRDefault="00D31621" w:rsidP="00C45F51">
            <w:pPr>
              <w:spacing w:after="0" w:line="240" w:lineRule="auto"/>
              <w:rPr>
                <w:rFonts w:ascii="Times New Roman" w:hAnsi="Times New Roman"/>
                <w:color w:val="000000"/>
                <w:sz w:val="24"/>
                <w:szCs w:val="24"/>
              </w:rPr>
            </w:pPr>
            <w:r w:rsidRPr="00FC0689">
              <w:rPr>
                <w:rFonts w:ascii="Times New Roman" w:hAnsi="Times New Roman"/>
                <w:color w:val="000000"/>
                <w:sz w:val="24"/>
                <w:szCs w:val="24"/>
              </w:rPr>
              <w:t xml:space="preserve">r = </w:t>
            </w:r>
            <w:r>
              <w:rPr>
                <w:rFonts w:ascii="Times New Roman" w:hAnsi="Times New Roman"/>
                <w:color w:val="000000"/>
                <w:sz w:val="24"/>
                <w:szCs w:val="24"/>
              </w:rPr>
              <w:t>6</w:t>
            </w:r>
          </w:p>
        </w:tc>
        <w:tc>
          <w:tcPr>
            <w:tcW w:w="1096" w:type="dxa"/>
            <w:tcBorders>
              <w:top w:val="nil"/>
              <w:left w:val="nil"/>
              <w:right w:val="single" w:sz="4" w:space="0" w:color="auto"/>
            </w:tcBorders>
            <w:noWrap/>
            <w:vAlign w:val="bottom"/>
            <w:hideMark/>
          </w:tcPr>
          <w:p w14:paraId="7E28E333"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0.120574</w:t>
            </w:r>
          </w:p>
        </w:tc>
        <w:tc>
          <w:tcPr>
            <w:tcW w:w="1300" w:type="dxa"/>
            <w:tcBorders>
              <w:top w:val="nil"/>
              <w:left w:val="nil"/>
              <w:right w:val="single" w:sz="4" w:space="0" w:color="auto"/>
            </w:tcBorders>
            <w:noWrap/>
            <w:vAlign w:val="bottom"/>
            <w:hideMark/>
          </w:tcPr>
          <w:p w14:paraId="01A10927"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25.13167</w:t>
            </w:r>
          </w:p>
        </w:tc>
        <w:tc>
          <w:tcPr>
            <w:tcW w:w="1634" w:type="dxa"/>
            <w:tcBorders>
              <w:top w:val="nil"/>
              <w:left w:val="nil"/>
              <w:right w:val="single" w:sz="4" w:space="0" w:color="auto"/>
            </w:tcBorders>
            <w:noWrap/>
            <w:vAlign w:val="bottom"/>
            <w:hideMark/>
          </w:tcPr>
          <w:p w14:paraId="19E8C6C1"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35.19275</w:t>
            </w:r>
          </w:p>
        </w:tc>
        <w:tc>
          <w:tcPr>
            <w:tcW w:w="1283" w:type="dxa"/>
            <w:tcBorders>
              <w:top w:val="nil"/>
              <w:left w:val="nil"/>
              <w:right w:val="single" w:sz="4" w:space="0" w:color="auto"/>
            </w:tcBorders>
            <w:noWrap/>
            <w:vAlign w:val="bottom"/>
            <w:hideMark/>
          </w:tcPr>
          <w:p w14:paraId="121DACB0"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0.3923</w:t>
            </w:r>
          </w:p>
        </w:tc>
      </w:tr>
      <w:tr w:rsidR="00D31621" w:rsidRPr="00FD6E16" w14:paraId="76ACC3C2" w14:textId="77777777" w:rsidTr="00303B4A">
        <w:trPr>
          <w:trHeight w:val="304"/>
        </w:trPr>
        <w:tc>
          <w:tcPr>
            <w:tcW w:w="1296" w:type="dxa"/>
            <w:tcBorders>
              <w:top w:val="nil"/>
              <w:left w:val="single" w:sz="4" w:space="0" w:color="auto"/>
              <w:right w:val="single" w:sz="4" w:space="0" w:color="auto"/>
            </w:tcBorders>
            <w:noWrap/>
            <w:vAlign w:val="bottom"/>
            <w:hideMark/>
          </w:tcPr>
          <w:p w14:paraId="3D191835" w14:textId="77777777" w:rsidR="00D31621" w:rsidRPr="00FC0689" w:rsidRDefault="00D31621" w:rsidP="00C45F51">
            <w:pPr>
              <w:spacing w:after="0" w:line="240" w:lineRule="auto"/>
              <w:rPr>
                <w:rFonts w:ascii="Times New Roman" w:hAnsi="Times New Roman"/>
                <w:color w:val="000000"/>
                <w:sz w:val="24"/>
                <w:szCs w:val="24"/>
              </w:rPr>
            </w:pPr>
            <w:r w:rsidRPr="00FC0689">
              <w:rPr>
                <w:rFonts w:ascii="Times New Roman" w:hAnsi="Times New Roman"/>
                <w:color w:val="000000"/>
                <w:sz w:val="24"/>
                <w:szCs w:val="24"/>
              </w:rPr>
              <w:t>r</w:t>
            </w:r>
            <w:r w:rsidRPr="00FC0689">
              <w:rPr>
                <w:rFonts w:ascii="Times New Roman" w:hAnsi="Times New Roman"/>
                <w:color w:val="000000"/>
                <w:position w:val="-4"/>
                <w:sz w:val="24"/>
                <w:szCs w:val="24"/>
              </w:rPr>
              <w:object w:dxaOrig="200" w:dyaOrig="240" w14:anchorId="57943685">
                <v:shape id="_x0000_i1048" type="#_x0000_t75" style="width:10.5pt;height:12pt" o:ole="">
                  <v:imagedata r:id="rId41" o:title=""/>
                </v:shape>
                <o:OLEObject Type="Embed" ProgID="Equation.3" ShapeID="_x0000_i1048" DrawAspect="Content" ObjectID="_1817953519" r:id="rId46"/>
              </w:object>
            </w:r>
            <w:r>
              <w:rPr>
                <w:rFonts w:ascii="Times New Roman" w:hAnsi="Times New Roman"/>
                <w:color w:val="000000"/>
                <w:sz w:val="24"/>
                <w:szCs w:val="24"/>
              </w:rPr>
              <w:t>6</w:t>
            </w:r>
          </w:p>
        </w:tc>
        <w:tc>
          <w:tcPr>
            <w:tcW w:w="2080" w:type="dxa"/>
            <w:tcBorders>
              <w:top w:val="nil"/>
              <w:left w:val="nil"/>
              <w:right w:val="single" w:sz="4" w:space="0" w:color="auto"/>
            </w:tcBorders>
            <w:noWrap/>
            <w:vAlign w:val="bottom"/>
            <w:hideMark/>
          </w:tcPr>
          <w:p w14:paraId="06C279EB" w14:textId="77777777" w:rsidR="00D31621" w:rsidRPr="00FC0689" w:rsidRDefault="00D31621" w:rsidP="00C45F51">
            <w:pPr>
              <w:spacing w:after="0" w:line="240" w:lineRule="auto"/>
              <w:rPr>
                <w:rFonts w:ascii="Times New Roman" w:hAnsi="Times New Roman"/>
                <w:color w:val="000000"/>
                <w:sz w:val="24"/>
                <w:szCs w:val="24"/>
              </w:rPr>
            </w:pPr>
            <w:r w:rsidRPr="00FC0689">
              <w:rPr>
                <w:rFonts w:ascii="Times New Roman" w:hAnsi="Times New Roman"/>
                <w:color w:val="000000"/>
                <w:sz w:val="24"/>
                <w:szCs w:val="24"/>
              </w:rPr>
              <w:t xml:space="preserve">r = </w:t>
            </w:r>
            <w:r>
              <w:rPr>
                <w:rFonts w:ascii="Times New Roman" w:hAnsi="Times New Roman"/>
                <w:color w:val="000000"/>
                <w:sz w:val="24"/>
                <w:szCs w:val="24"/>
              </w:rPr>
              <w:t>7</w:t>
            </w:r>
          </w:p>
        </w:tc>
        <w:tc>
          <w:tcPr>
            <w:tcW w:w="1096" w:type="dxa"/>
            <w:tcBorders>
              <w:top w:val="nil"/>
              <w:left w:val="nil"/>
              <w:right w:val="single" w:sz="4" w:space="0" w:color="auto"/>
            </w:tcBorders>
            <w:noWrap/>
            <w:vAlign w:val="bottom"/>
            <w:hideMark/>
          </w:tcPr>
          <w:p w14:paraId="6DCBE145"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0.038844</w:t>
            </w:r>
          </w:p>
        </w:tc>
        <w:tc>
          <w:tcPr>
            <w:tcW w:w="1300" w:type="dxa"/>
            <w:tcBorders>
              <w:top w:val="nil"/>
              <w:left w:val="nil"/>
              <w:right w:val="single" w:sz="4" w:space="0" w:color="auto"/>
            </w:tcBorders>
            <w:noWrap/>
            <w:vAlign w:val="bottom"/>
            <w:hideMark/>
          </w:tcPr>
          <w:p w14:paraId="418DF70C"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9.327915</w:t>
            </w:r>
          </w:p>
        </w:tc>
        <w:tc>
          <w:tcPr>
            <w:tcW w:w="1634" w:type="dxa"/>
            <w:tcBorders>
              <w:top w:val="nil"/>
              <w:left w:val="nil"/>
              <w:right w:val="single" w:sz="4" w:space="0" w:color="auto"/>
            </w:tcBorders>
            <w:noWrap/>
            <w:vAlign w:val="bottom"/>
            <w:hideMark/>
          </w:tcPr>
          <w:p w14:paraId="7E4B5F3F"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20.26184</w:t>
            </w:r>
          </w:p>
        </w:tc>
        <w:tc>
          <w:tcPr>
            <w:tcW w:w="1283" w:type="dxa"/>
            <w:tcBorders>
              <w:top w:val="nil"/>
              <w:left w:val="nil"/>
              <w:right w:val="single" w:sz="4" w:space="0" w:color="auto"/>
            </w:tcBorders>
            <w:noWrap/>
            <w:vAlign w:val="bottom"/>
            <w:hideMark/>
          </w:tcPr>
          <w:p w14:paraId="2C91F690"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0.7053</w:t>
            </w:r>
          </w:p>
        </w:tc>
      </w:tr>
      <w:tr w:rsidR="00D31621" w:rsidRPr="00FD6E16" w14:paraId="7C26746F" w14:textId="77777777" w:rsidTr="00303B4A">
        <w:trPr>
          <w:trHeight w:val="304"/>
        </w:trPr>
        <w:tc>
          <w:tcPr>
            <w:tcW w:w="1296" w:type="dxa"/>
            <w:tcBorders>
              <w:top w:val="nil"/>
              <w:left w:val="single" w:sz="4" w:space="0" w:color="auto"/>
              <w:bottom w:val="single" w:sz="4" w:space="0" w:color="auto"/>
              <w:right w:val="single" w:sz="4" w:space="0" w:color="auto"/>
            </w:tcBorders>
            <w:noWrap/>
            <w:vAlign w:val="bottom"/>
            <w:hideMark/>
          </w:tcPr>
          <w:p w14:paraId="5CDED453" w14:textId="77777777" w:rsidR="00D31621" w:rsidRPr="00FC0689" w:rsidRDefault="00D31621" w:rsidP="00C45F51">
            <w:pPr>
              <w:spacing w:after="0" w:line="240" w:lineRule="auto"/>
              <w:rPr>
                <w:rFonts w:ascii="Times New Roman" w:hAnsi="Times New Roman"/>
                <w:color w:val="000000"/>
                <w:sz w:val="24"/>
                <w:szCs w:val="24"/>
              </w:rPr>
            </w:pPr>
            <w:r w:rsidRPr="00FC0689">
              <w:rPr>
                <w:rFonts w:ascii="Times New Roman" w:hAnsi="Times New Roman"/>
                <w:color w:val="000000"/>
                <w:sz w:val="24"/>
                <w:szCs w:val="24"/>
              </w:rPr>
              <w:t>r</w:t>
            </w:r>
            <w:r w:rsidRPr="00FC0689">
              <w:rPr>
                <w:rFonts w:ascii="Times New Roman" w:hAnsi="Times New Roman"/>
                <w:color w:val="000000"/>
                <w:position w:val="-4"/>
                <w:sz w:val="24"/>
                <w:szCs w:val="24"/>
              </w:rPr>
              <w:object w:dxaOrig="200" w:dyaOrig="240" w14:anchorId="6BFC6627">
                <v:shape id="_x0000_i1049" type="#_x0000_t75" style="width:10.5pt;height:12pt" o:ole="">
                  <v:imagedata r:id="rId41" o:title=""/>
                </v:shape>
                <o:OLEObject Type="Embed" ProgID="Equation.3" ShapeID="_x0000_i1049" DrawAspect="Content" ObjectID="_1817953520" r:id="rId47"/>
              </w:object>
            </w:r>
            <w:r>
              <w:rPr>
                <w:rFonts w:ascii="Times New Roman" w:hAnsi="Times New Roman"/>
                <w:color w:val="000000"/>
                <w:sz w:val="24"/>
                <w:szCs w:val="24"/>
              </w:rPr>
              <w:t>7</w:t>
            </w:r>
          </w:p>
        </w:tc>
        <w:tc>
          <w:tcPr>
            <w:tcW w:w="2080" w:type="dxa"/>
            <w:tcBorders>
              <w:top w:val="nil"/>
              <w:left w:val="nil"/>
              <w:bottom w:val="single" w:sz="4" w:space="0" w:color="auto"/>
              <w:right w:val="single" w:sz="4" w:space="0" w:color="auto"/>
            </w:tcBorders>
            <w:noWrap/>
            <w:vAlign w:val="bottom"/>
            <w:hideMark/>
          </w:tcPr>
          <w:p w14:paraId="6B844EE3" w14:textId="77777777" w:rsidR="00D31621" w:rsidRPr="00FC0689" w:rsidRDefault="00D31621" w:rsidP="00C45F51">
            <w:pPr>
              <w:spacing w:after="0" w:line="240" w:lineRule="auto"/>
              <w:rPr>
                <w:rFonts w:ascii="Times New Roman" w:hAnsi="Times New Roman"/>
                <w:color w:val="000000"/>
                <w:sz w:val="24"/>
                <w:szCs w:val="24"/>
              </w:rPr>
            </w:pPr>
            <w:r w:rsidRPr="00FC0689">
              <w:rPr>
                <w:rFonts w:ascii="Times New Roman" w:hAnsi="Times New Roman"/>
                <w:color w:val="000000"/>
                <w:sz w:val="24"/>
                <w:szCs w:val="24"/>
              </w:rPr>
              <w:t xml:space="preserve">r = </w:t>
            </w:r>
            <w:r>
              <w:rPr>
                <w:rFonts w:ascii="Times New Roman" w:hAnsi="Times New Roman"/>
                <w:color w:val="000000"/>
                <w:sz w:val="24"/>
                <w:szCs w:val="24"/>
              </w:rPr>
              <w:t>8</w:t>
            </w:r>
          </w:p>
        </w:tc>
        <w:tc>
          <w:tcPr>
            <w:tcW w:w="1096" w:type="dxa"/>
            <w:tcBorders>
              <w:top w:val="nil"/>
              <w:left w:val="nil"/>
              <w:bottom w:val="single" w:sz="4" w:space="0" w:color="auto"/>
              <w:right w:val="single" w:sz="4" w:space="0" w:color="auto"/>
            </w:tcBorders>
            <w:noWrap/>
            <w:vAlign w:val="bottom"/>
            <w:hideMark/>
          </w:tcPr>
          <w:p w14:paraId="4DD35965"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0.035570</w:t>
            </w:r>
          </w:p>
        </w:tc>
        <w:tc>
          <w:tcPr>
            <w:tcW w:w="1300" w:type="dxa"/>
            <w:tcBorders>
              <w:top w:val="nil"/>
              <w:left w:val="nil"/>
              <w:bottom w:val="single" w:sz="4" w:space="0" w:color="auto"/>
              <w:right w:val="single" w:sz="4" w:space="0" w:color="auto"/>
            </w:tcBorders>
            <w:noWrap/>
            <w:vAlign w:val="bottom"/>
            <w:hideMark/>
          </w:tcPr>
          <w:p w14:paraId="40194624"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4.454792</w:t>
            </w:r>
          </w:p>
        </w:tc>
        <w:tc>
          <w:tcPr>
            <w:tcW w:w="1634" w:type="dxa"/>
            <w:tcBorders>
              <w:top w:val="nil"/>
              <w:left w:val="nil"/>
              <w:bottom w:val="single" w:sz="4" w:space="0" w:color="auto"/>
              <w:right w:val="single" w:sz="4" w:space="0" w:color="auto"/>
            </w:tcBorders>
            <w:noWrap/>
            <w:vAlign w:val="bottom"/>
            <w:hideMark/>
          </w:tcPr>
          <w:p w14:paraId="24A4B3BD"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9.164546</w:t>
            </w:r>
          </w:p>
        </w:tc>
        <w:tc>
          <w:tcPr>
            <w:tcW w:w="1283" w:type="dxa"/>
            <w:tcBorders>
              <w:top w:val="nil"/>
              <w:left w:val="nil"/>
              <w:bottom w:val="single" w:sz="4" w:space="0" w:color="auto"/>
              <w:right w:val="single" w:sz="4" w:space="0" w:color="auto"/>
            </w:tcBorders>
            <w:noWrap/>
            <w:vAlign w:val="bottom"/>
            <w:hideMark/>
          </w:tcPr>
          <w:p w14:paraId="5D901946"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0.3486</w:t>
            </w:r>
          </w:p>
        </w:tc>
      </w:tr>
      <w:tr w:rsidR="00D31621" w:rsidRPr="00FD6E16" w14:paraId="42649635" w14:textId="77777777" w:rsidTr="00303B4A">
        <w:trPr>
          <w:trHeight w:val="304"/>
        </w:trPr>
        <w:tc>
          <w:tcPr>
            <w:tcW w:w="8689" w:type="dxa"/>
            <w:gridSpan w:val="6"/>
            <w:tcBorders>
              <w:top w:val="nil"/>
              <w:left w:val="single" w:sz="4" w:space="0" w:color="auto"/>
              <w:bottom w:val="single" w:sz="4" w:space="0" w:color="auto"/>
              <w:right w:val="single" w:sz="4" w:space="0" w:color="auto"/>
            </w:tcBorders>
            <w:noWrap/>
            <w:vAlign w:val="bottom"/>
            <w:hideMark/>
          </w:tcPr>
          <w:p w14:paraId="6A4DB6A4" w14:textId="77777777" w:rsidR="00D31621" w:rsidRPr="0030623E" w:rsidRDefault="00D31621" w:rsidP="00C45F51">
            <w:pPr>
              <w:spacing w:after="0" w:line="240" w:lineRule="auto"/>
              <w:rPr>
                <w:rFonts w:ascii="Times New Roman" w:hAnsi="Times New Roman"/>
                <w:b/>
                <w:color w:val="000000"/>
                <w:sz w:val="24"/>
                <w:szCs w:val="24"/>
              </w:rPr>
            </w:pPr>
            <w:r w:rsidRPr="0030623E">
              <w:rPr>
                <w:rFonts w:ascii="Arial" w:hAnsi="Arial" w:cs="Arial"/>
                <w:b/>
                <w:color w:val="000000"/>
                <w:sz w:val="18"/>
                <w:szCs w:val="18"/>
              </w:rPr>
              <w:t>Unrestricted Cointegration Rank Test (Maximum Eigenvalue)</w:t>
            </w:r>
          </w:p>
        </w:tc>
      </w:tr>
      <w:tr w:rsidR="00D31621" w:rsidRPr="00FD6E16" w14:paraId="5F1ACBC0" w14:textId="77777777" w:rsidTr="00303B4A">
        <w:trPr>
          <w:trHeight w:val="304"/>
        </w:trPr>
        <w:tc>
          <w:tcPr>
            <w:tcW w:w="1296" w:type="dxa"/>
            <w:tcBorders>
              <w:top w:val="nil"/>
              <w:left w:val="single" w:sz="4" w:space="0" w:color="auto"/>
              <w:bottom w:val="single" w:sz="4" w:space="0" w:color="auto"/>
              <w:right w:val="single" w:sz="4" w:space="0" w:color="auto"/>
            </w:tcBorders>
            <w:noWrap/>
            <w:vAlign w:val="bottom"/>
            <w:hideMark/>
          </w:tcPr>
          <w:p w14:paraId="27E346EC" w14:textId="77777777" w:rsidR="00D31621" w:rsidRPr="00FD6E16" w:rsidRDefault="00D31621" w:rsidP="00C45F51">
            <w:pPr>
              <w:spacing w:after="0" w:line="240" w:lineRule="auto"/>
              <w:rPr>
                <w:rFonts w:ascii="Times New Roman" w:hAnsi="Times New Roman"/>
                <w:color w:val="000000"/>
                <w:sz w:val="24"/>
                <w:szCs w:val="24"/>
              </w:rPr>
            </w:pPr>
            <w:r w:rsidRPr="00FD6E16">
              <w:rPr>
                <w:rFonts w:ascii="Times New Roman" w:hAnsi="Times New Roman"/>
                <w:color w:val="000000"/>
                <w:sz w:val="24"/>
                <w:szCs w:val="24"/>
              </w:rPr>
              <w:t>Null Hypothesis</w:t>
            </w:r>
          </w:p>
        </w:tc>
        <w:tc>
          <w:tcPr>
            <w:tcW w:w="2080" w:type="dxa"/>
            <w:tcBorders>
              <w:top w:val="nil"/>
              <w:left w:val="nil"/>
              <w:bottom w:val="single" w:sz="4" w:space="0" w:color="auto"/>
              <w:right w:val="single" w:sz="4" w:space="0" w:color="auto"/>
            </w:tcBorders>
            <w:noWrap/>
            <w:vAlign w:val="bottom"/>
            <w:hideMark/>
          </w:tcPr>
          <w:p w14:paraId="55249324" w14:textId="77777777" w:rsidR="00D31621" w:rsidRPr="00FD6E16" w:rsidRDefault="00D31621" w:rsidP="00C45F51">
            <w:pPr>
              <w:spacing w:after="0" w:line="240" w:lineRule="auto"/>
              <w:rPr>
                <w:rFonts w:ascii="Times New Roman" w:hAnsi="Times New Roman"/>
                <w:color w:val="000000"/>
                <w:sz w:val="24"/>
                <w:szCs w:val="24"/>
              </w:rPr>
            </w:pPr>
            <w:r w:rsidRPr="00FD6E16">
              <w:rPr>
                <w:rFonts w:ascii="Times New Roman" w:hAnsi="Times New Roman"/>
                <w:color w:val="000000"/>
                <w:sz w:val="24"/>
                <w:szCs w:val="24"/>
              </w:rPr>
              <w:t>Alternative Hypothesis</w:t>
            </w:r>
          </w:p>
        </w:tc>
        <w:tc>
          <w:tcPr>
            <w:tcW w:w="1096" w:type="dxa"/>
            <w:tcBorders>
              <w:top w:val="nil"/>
              <w:left w:val="nil"/>
              <w:bottom w:val="single" w:sz="4" w:space="0" w:color="auto"/>
              <w:right w:val="single" w:sz="4" w:space="0" w:color="auto"/>
            </w:tcBorders>
            <w:noWrap/>
            <w:vAlign w:val="bottom"/>
            <w:hideMark/>
          </w:tcPr>
          <w:p w14:paraId="772DA9E3" w14:textId="77777777" w:rsidR="00D31621" w:rsidRPr="00FD6E16" w:rsidRDefault="00D31621" w:rsidP="00C45F51">
            <w:pPr>
              <w:spacing w:after="0" w:line="240" w:lineRule="auto"/>
              <w:rPr>
                <w:rFonts w:ascii="Times New Roman" w:hAnsi="Times New Roman"/>
                <w:color w:val="000000"/>
                <w:sz w:val="24"/>
                <w:szCs w:val="24"/>
              </w:rPr>
            </w:pPr>
            <w:r w:rsidRPr="00FD6E16">
              <w:rPr>
                <w:rFonts w:ascii="Times New Roman" w:hAnsi="Times New Roman"/>
                <w:color w:val="000000"/>
                <w:sz w:val="24"/>
                <w:szCs w:val="24"/>
              </w:rPr>
              <w:t>Eigen Value</w:t>
            </w:r>
          </w:p>
        </w:tc>
        <w:tc>
          <w:tcPr>
            <w:tcW w:w="1300" w:type="dxa"/>
            <w:tcBorders>
              <w:top w:val="nil"/>
              <w:left w:val="nil"/>
              <w:bottom w:val="single" w:sz="4" w:space="0" w:color="auto"/>
              <w:right w:val="single" w:sz="4" w:space="0" w:color="auto"/>
            </w:tcBorders>
            <w:noWrap/>
            <w:vAlign w:val="bottom"/>
            <w:hideMark/>
          </w:tcPr>
          <w:p w14:paraId="2DDB5331" w14:textId="77777777" w:rsidR="00D31621" w:rsidRPr="00FC0689" w:rsidRDefault="00D31621" w:rsidP="00C45F51">
            <w:pPr>
              <w:spacing w:after="0" w:line="240" w:lineRule="auto"/>
              <w:rPr>
                <w:rFonts w:ascii="Times New Roman" w:hAnsi="Times New Roman"/>
                <w:color w:val="000000"/>
                <w:sz w:val="24"/>
                <w:szCs w:val="24"/>
              </w:rPr>
            </w:pPr>
            <w:r w:rsidRPr="00FC0689">
              <w:rPr>
                <w:rFonts w:ascii="Times New Roman" w:hAnsi="Times New Roman"/>
                <w:color w:val="000000"/>
                <w:sz w:val="24"/>
                <w:szCs w:val="24"/>
              </w:rPr>
              <w:t>Max-Eigen</w:t>
            </w:r>
          </w:p>
          <w:p w14:paraId="52133DAA" w14:textId="77777777" w:rsidR="00D31621" w:rsidRPr="00FD6E16" w:rsidRDefault="00D31621" w:rsidP="00C45F51">
            <w:pPr>
              <w:spacing w:after="0" w:line="240" w:lineRule="auto"/>
              <w:rPr>
                <w:rFonts w:ascii="Times New Roman" w:hAnsi="Times New Roman"/>
                <w:color w:val="000000"/>
                <w:sz w:val="24"/>
                <w:szCs w:val="24"/>
              </w:rPr>
            </w:pPr>
            <w:r w:rsidRPr="00FC0689">
              <w:rPr>
                <w:rFonts w:ascii="Times New Roman" w:hAnsi="Times New Roman"/>
                <w:color w:val="000000"/>
                <w:sz w:val="24"/>
                <w:szCs w:val="24"/>
              </w:rPr>
              <w:t>Statistic</w:t>
            </w:r>
          </w:p>
        </w:tc>
        <w:tc>
          <w:tcPr>
            <w:tcW w:w="1634" w:type="dxa"/>
            <w:tcBorders>
              <w:top w:val="nil"/>
              <w:left w:val="nil"/>
              <w:bottom w:val="single" w:sz="4" w:space="0" w:color="auto"/>
              <w:right w:val="single" w:sz="4" w:space="0" w:color="auto"/>
            </w:tcBorders>
            <w:noWrap/>
            <w:vAlign w:val="bottom"/>
            <w:hideMark/>
          </w:tcPr>
          <w:p w14:paraId="47318BCF" w14:textId="77777777" w:rsidR="00D31621" w:rsidRPr="00FD6E16" w:rsidRDefault="00D31621" w:rsidP="00C45F51">
            <w:pPr>
              <w:spacing w:after="0" w:line="240" w:lineRule="auto"/>
              <w:rPr>
                <w:rFonts w:ascii="Times New Roman" w:hAnsi="Times New Roman"/>
                <w:color w:val="000000"/>
                <w:sz w:val="24"/>
                <w:szCs w:val="24"/>
              </w:rPr>
            </w:pPr>
            <w:r w:rsidRPr="00FD6E16">
              <w:rPr>
                <w:rFonts w:ascii="Times New Roman" w:hAnsi="Times New Roman"/>
                <w:color w:val="000000"/>
                <w:sz w:val="24"/>
                <w:szCs w:val="24"/>
              </w:rPr>
              <w:t>0.05 Critical Va</w:t>
            </w:r>
            <w:r w:rsidRPr="00FC0689">
              <w:rPr>
                <w:rFonts w:ascii="Times New Roman" w:hAnsi="Times New Roman"/>
                <w:color w:val="000000"/>
                <w:sz w:val="24"/>
                <w:szCs w:val="24"/>
              </w:rPr>
              <w:t>l</w:t>
            </w:r>
            <w:r w:rsidRPr="00FD6E16">
              <w:rPr>
                <w:rFonts w:ascii="Times New Roman" w:hAnsi="Times New Roman"/>
                <w:color w:val="000000"/>
                <w:sz w:val="24"/>
                <w:szCs w:val="24"/>
              </w:rPr>
              <w:t>ue</w:t>
            </w:r>
          </w:p>
        </w:tc>
        <w:tc>
          <w:tcPr>
            <w:tcW w:w="1283" w:type="dxa"/>
            <w:tcBorders>
              <w:top w:val="nil"/>
              <w:left w:val="nil"/>
              <w:bottom w:val="single" w:sz="4" w:space="0" w:color="auto"/>
              <w:right w:val="single" w:sz="4" w:space="0" w:color="auto"/>
            </w:tcBorders>
            <w:noWrap/>
            <w:vAlign w:val="bottom"/>
            <w:hideMark/>
          </w:tcPr>
          <w:p w14:paraId="52CD5100" w14:textId="77777777" w:rsidR="00D31621" w:rsidRPr="00FC0689" w:rsidRDefault="00D31621" w:rsidP="00C45F51">
            <w:pPr>
              <w:spacing w:after="0" w:line="240" w:lineRule="auto"/>
              <w:rPr>
                <w:rFonts w:ascii="Times New Roman" w:hAnsi="Times New Roman"/>
                <w:color w:val="000000"/>
                <w:sz w:val="24"/>
                <w:szCs w:val="24"/>
              </w:rPr>
            </w:pPr>
            <w:r w:rsidRPr="00FD6E16">
              <w:rPr>
                <w:rFonts w:ascii="Times New Roman" w:hAnsi="Times New Roman"/>
                <w:color w:val="000000"/>
                <w:sz w:val="24"/>
                <w:szCs w:val="24"/>
              </w:rPr>
              <w:t>Probability</w:t>
            </w:r>
          </w:p>
          <w:p w14:paraId="29A94DCF" w14:textId="77777777" w:rsidR="00D31621" w:rsidRPr="00FD6E16" w:rsidRDefault="00D31621" w:rsidP="00C45F51">
            <w:pPr>
              <w:spacing w:after="0" w:line="240" w:lineRule="auto"/>
              <w:rPr>
                <w:rFonts w:ascii="Times New Roman" w:hAnsi="Times New Roman"/>
                <w:color w:val="000000"/>
                <w:sz w:val="24"/>
                <w:szCs w:val="24"/>
              </w:rPr>
            </w:pPr>
          </w:p>
        </w:tc>
      </w:tr>
      <w:tr w:rsidR="00D31621" w:rsidRPr="00FD6E16" w14:paraId="78C434D6" w14:textId="77777777" w:rsidTr="00303B4A">
        <w:trPr>
          <w:trHeight w:val="304"/>
        </w:trPr>
        <w:tc>
          <w:tcPr>
            <w:tcW w:w="1296" w:type="dxa"/>
            <w:tcBorders>
              <w:top w:val="single" w:sz="4" w:space="0" w:color="auto"/>
              <w:left w:val="single" w:sz="4" w:space="0" w:color="auto"/>
              <w:right w:val="single" w:sz="4" w:space="0" w:color="auto"/>
            </w:tcBorders>
            <w:noWrap/>
            <w:vAlign w:val="bottom"/>
            <w:hideMark/>
          </w:tcPr>
          <w:p w14:paraId="22075E84" w14:textId="77777777" w:rsidR="00D31621" w:rsidRPr="00FD6E16" w:rsidRDefault="00D31621" w:rsidP="00C45F51">
            <w:pPr>
              <w:spacing w:after="0" w:line="240" w:lineRule="auto"/>
              <w:rPr>
                <w:rFonts w:ascii="Times New Roman" w:hAnsi="Times New Roman"/>
                <w:color w:val="000000"/>
                <w:sz w:val="24"/>
                <w:szCs w:val="24"/>
              </w:rPr>
            </w:pPr>
            <w:r w:rsidRPr="00FC0689">
              <w:rPr>
                <w:rFonts w:ascii="Times New Roman" w:hAnsi="Times New Roman"/>
                <w:color w:val="000000"/>
                <w:sz w:val="24"/>
                <w:szCs w:val="24"/>
              </w:rPr>
              <w:t>r = 0</w:t>
            </w:r>
          </w:p>
        </w:tc>
        <w:tc>
          <w:tcPr>
            <w:tcW w:w="2080" w:type="dxa"/>
            <w:tcBorders>
              <w:top w:val="single" w:sz="4" w:space="0" w:color="auto"/>
              <w:left w:val="nil"/>
              <w:right w:val="single" w:sz="4" w:space="0" w:color="auto"/>
            </w:tcBorders>
            <w:noWrap/>
            <w:vAlign w:val="bottom"/>
            <w:hideMark/>
          </w:tcPr>
          <w:p w14:paraId="0FC1B8A9" w14:textId="77777777" w:rsidR="00D31621" w:rsidRPr="00FD6E16" w:rsidRDefault="00D31621" w:rsidP="00C45F51">
            <w:pPr>
              <w:spacing w:after="0" w:line="240" w:lineRule="auto"/>
              <w:rPr>
                <w:rFonts w:ascii="Times New Roman" w:hAnsi="Times New Roman"/>
                <w:color w:val="000000"/>
                <w:sz w:val="24"/>
                <w:szCs w:val="24"/>
              </w:rPr>
            </w:pPr>
            <w:r w:rsidRPr="00FC0689">
              <w:rPr>
                <w:rFonts w:ascii="Times New Roman" w:hAnsi="Times New Roman"/>
                <w:color w:val="000000"/>
                <w:sz w:val="24"/>
                <w:szCs w:val="24"/>
              </w:rPr>
              <w:t>r = 1</w:t>
            </w:r>
          </w:p>
        </w:tc>
        <w:tc>
          <w:tcPr>
            <w:tcW w:w="1096" w:type="dxa"/>
            <w:tcBorders>
              <w:top w:val="single" w:sz="4" w:space="0" w:color="auto"/>
              <w:left w:val="nil"/>
              <w:right w:val="single" w:sz="4" w:space="0" w:color="auto"/>
            </w:tcBorders>
            <w:noWrap/>
            <w:vAlign w:val="bottom"/>
            <w:hideMark/>
          </w:tcPr>
          <w:p w14:paraId="15D5E28B"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0.677988</w:t>
            </w:r>
          </w:p>
        </w:tc>
        <w:tc>
          <w:tcPr>
            <w:tcW w:w="1300" w:type="dxa"/>
            <w:tcBorders>
              <w:top w:val="single" w:sz="4" w:space="0" w:color="auto"/>
              <w:left w:val="nil"/>
              <w:right w:val="single" w:sz="4" w:space="0" w:color="auto"/>
            </w:tcBorders>
            <w:noWrap/>
            <w:vAlign w:val="bottom"/>
            <w:hideMark/>
          </w:tcPr>
          <w:p w14:paraId="4960BC59"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139.3796</w:t>
            </w:r>
          </w:p>
        </w:tc>
        <w:tc>
          <w:tcPr>
            <w:tcW w:w="1634" w:type="dxa"/>
            <w:tcBorders>
              <w:top w:val="single" w:sz="4" w:space="0" w:color="auto"/>
              <w:left w:val="nil"/>
              <w:right w:val="single" w:sz="4" w:space="0" w:color="auto"/>
            </w:tcBorders>
            <w:noWrap/>
            <w:vAlign w:val="bottom"/>
            <w:hideMark/>
          </w:tcPr>
          <w:p w14:paraId="1F26719C"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53.18784</w:t>
            </w:r>
          </w:p>
        </w:tc>
        <w:tc>
          <w:tcPr>
            <w:tcW w:w="1283" w:type="dxa"/>
            <w:tcBorders>
              <w:top w:val="single" w:sz="4" w:space="0" w:color="auto"/>
              <w:left w:val="nil"/>
              <w:right w:val="single" w:sz="4" w:space="0" w:color="auto"/>
            </w:tcBorders>
            <w:noWrap/>
            <w:vAlign w:val="bottom"/>
            <w:hideMark/>
          </w:tcPr>
          <w:p w14:paraId="20E127E5"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0.0000</w:t>
            </w:r>
          </w:p>
        </w:tc>
      </w:tr>
      <w:tr w:rsidR="00D31621" w:rsidRPr="00FD6E16" w14:paraId="08DDBA0A" w14:textId="77777777" w:rsidTr="00303B4A">
        <w:trPr>
          <w:trHeight w:val="304"/>
        </w:trPr>
        <w:tc>
          <w:tcPr>
            <w:tcW w:w="1296" w:type="dxa"/>
            <w:tcBorders>
              <w:top w:val="nil"/>
              <w:left w:val="single" w:sz="4" w:space="0" w:color="auto"/>
              <w:right w:val="single" w:sz="4" w:space="0" w:color="auto"/>
            </w:tcBorders>
            <w:noWrap/>
            <w:vAlign w:val="bottom"/>
            <w:hideMark/>
          </w:tcPr>
          <w:p w14:paraId="1A2BDBDF" w14:textId="77777777" w:rsidR="00D31621" w:rsidRPr="00FD6E16" w:rsidRDefault="00D31621" w:rsidP="00C45F51">
            <w:pPr>
              <w:spacing w:after="0" w:line="240" w:lineRule="auto"/>
              <w:rPr>
                <w:rFonts w:ascii="Times New Roman" w:hAnsi="Times New Roman"/>
                <w:color w:val="000000"/>
                <w:sz w:val="24"/>
                <w:szCs w:val="24"/>
              </w:rPr>
            </w:pPr>
            <w:r w:rsidRPr="00FC0689">
              <w:rPr>
                <w:rFonts w:ascii="Times New Roman" w:hAnsi="Times New Roman"/>
                <w:color w:val="000000"/>
                <w:sz w:val="24"/>
                <w:szCs w:val="24"/>
              </w:rPr>
              <w:t>r</w:t>
            </w:r>
            <w:r w:rsidRPr="00FC0689">
              <w:rPr>
                <w:rFonts w:ascii="Times New Roman" w:hAnsi="Times New Roman"/>
                <w:color w:val="000000"/>
                <w:position w:val="-4"/>
                <w:sz w:val="24"/>
                <w:szCs w:val="24"/>
              </w:rPr>
              <w:object w:dxaOrig="200" w:dyaOrig="240" w14:anchorId="4CE7DE34">
                <v:shape id="_x0000_i1050" type="#_x0000_t75" style="width:10.5pt;height:12pt" o:ole="">
                  <v:imagedata r:id="rId39" o:title=""/>
                </v:shape>
                <o:OLEObject Type="Embed" ProgID="Equation.3" ShapeID="_x0000_i1050" DrawAspect="Content" ObjectID="_1817953521" r:id="rId48"/>
              </w:object>
            </w:r>
            <w:r w:rsidRPr="00FC0689">
              <w:rPr>
                <w:rFonts w:ascii="Times New Roman" w:hAnsi="Times New Roman"/>
                <w:color w:val="000000"/>
                <w:sz w:val="24"/>
                <w:szCs w:val="24"/>
              </w:rPr>
              <w:t>1</w:t>
            </w:r>
          </w:p>
        </w:tc>
        <w:tc>
          <w:tcPr>
            <w:tcW w:w="2080" w:type="dxa"/>
            <w:tcBorders>
              <w:top w:val="nil"/>
              <w:left w:val="nil"/>
              <w:right w:val="single" w:sz="4" w:space="0" w:color="auto"/>
            </w:tcBorders>
            <w:noWrap/>
            <w:vAlign w:val="bottom"/>
            <w:hideMark/>
          </w:tcPr>
          <w:p w14:paraId="1F9EC3AB" w14:textId="77777777" w:rsidR="00D31621" w:rsidRPr="00FD6E16" w:rsidRDefault="00D31621" w:rsidP="00C45F51">
            <w:pPr>
              <w:spacing w:after="0" w:line="240" w:lineRule="auto"/>
              <w:rPr>
                <w:rFonts w:ascii="Times New Roman" w:hAnsi="Times New Roman"/>
                <w:color w:val="000000"/>
                <w:sz w:val="24"/>
                <w:szCs w:val="24"/>
              </w:rPr>
            </w:pPr>
            <w:r w:rsidRPr="00FC0689">
              <w:rPr>
                <w:rFonts w:ascii="Times New Roman" w:hAnsi="Times New Roman"/>
                <w:color w:val="000000"/>
                <w:sz w:val="24"/>
                <w:szCs w:val="24"/>
              </w:rPr>
              <w:t>r = 2</w:t>
            </w:r>
          </w:p>
        </w:tc>
        <w:tc>
          <w:tcPr>
            <w:tcW w:w="1096" w:type="dxa"/>
            <w:tcBorders>
              <w:top w:val="nil"/>
              <w:left w:val="nil"/>
              <w:right w:val="single" w:sz="4" w:space="0" w:color="auto"/>
            </w:tcBorders>
            <w:noWrap/>
            <w:vAlign w:val="bottom"/>
            <w:hideMark/>
          </w:tcPr>
          <w:p w14:paraId="28C53FCE"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0.421395</w:t>
            </w:r>
          </w:p>
        </w:tc>
        <w:tc>
          <w:tcPr>
            <w:tcW w:w="1300" w:type="dxa"/>
            <w:tcBorders>
              <w:top w:val="nil"/>
              <w:left w:val="nil"/>
              <w:right w:val="single" w:sz="4" w:space="0" w:color="auto"/>
            </w:tcBorders>
            <w:noWrap/>
            <w:vAlign w:val="bottom"/>
            <w:hideMark/>
          </w:tcPr>
          <w:p w14:paraId="322D7CA8"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67.29761</w:t>
            </w:r>
          </w:p>
        </w:tc>
        <w:tc>
          <w:tcPr>
            <w:tcW w:w="1634" w:type="dxa"/>
            <w:tcBorders>
              <w:top w:val="nil"/>
              <w:left w:val="nil"/>
              <w:right w:val="single" w:sz="4" w:space="0" w:color="auto"/>
            </w:tcBorders>
            <w:noWrap/>
            <w:vAlign w:val="bottom"/>
            <w:hideMark/>
          </w:tcPr>
          <w:p w14:paraId="16140310"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47.07897</w:t>
            </w:r>
          </w:p>
        </w:tc>
        <w:tc>
          <w:tcPr>
            <w:tcW w:w="1283" w:type="dxa"/>
            <w:tcBorders>
              <w:top w:val="nil"/>
              <w:left w:val="nil"/>
              <w:right w:val="single" w:sz="4" w:space="0" w:color="auto"/>
            </w:tcBorders>
            <w:noWrap/>
            <w:vAlign w:val="bottom"/>
            <w:hideMark/>
          </w:tcPr>
          <w:p w14:paraId="18C641F9"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0.0001</w:t>
            </w:r>
          </w:p>
        </w:tc>
      </w:tr>
      <w:tr w:rsidR="00D31621" w:rsidRPr="00FD6E16" w14:paraId="7417BB73" w14:textId="77777777" w:rsidTr="00303B4A">
        <w:trPr>
          <w:trHeight w:val="304"/>
        </w:trPr>
        <w:tc>
          <w:tcPr>
            <w:tcW w:w="1296" w:type="dxa"/>
            <w:tcBorders>
              <w:top w:val="nil"/>
              <w:left w:val="single" w:sz="4" w:space="0" w:color="auto"/>
              <w:right w:val="single" w:sz="4" w:space="0" w:color="auto"/>
            </w:tcBorders>
            <w:noWrap/>
            <w:vAlign w:val="bottom"/>
            <w:hideMark/>
          </w:tcPr>
          <w:p w14:paraId="3D36B72C" w14:textId="77777777" w:rsidR="00D31621" w:rsidRPr="00FD6E16" w:rsidRDefault="00D31621" w:rsidP="00C45F51">
            <w:pPr>
              <w:spacing w:after="0" w:line="240" w:lineRule="auto"/>
              <w:rPr>
                <w:rFonts w:ascii="Times New Roman" w:hAnsi="Times New Roman"/>
                <w:color w:val="000000"/>
                <w:sz w:val="24"/>
                <w:szCs w:val="24"/>
              </w:rPr>
            </w:pPr>
            <w:r w:rsidRPr="00FC0689">
              <w:rPr>
                <w:rFonts w:ascii="Times New Roman" w:hAnsi="Times New Roman"/>
                <w:color w:val="000000"/>
                <w:sz w:val="24"/>
                <w:szCs w:val="24"/>
              </w:rPr>
              <w:t>r</w:t>
            </w:r>
            <w:r w:rsidRPr="00FC0689">
              <w:rPr>
                <w:rFonts w:ascii="Times New Roman" w:hAnsi="Times New Roman"/>
                <w:color w:val="000000"/>
                <w:position w:val="-4"/>
                <w:sz w:val="24"/>
                <w:szCs w:val="24"/>
              </w:rPr>
              <w:object w:dxaOrig="200" w:dyaOrig="240" w14:anchorId="76444A6D">
                <v:shape id="_x0000_i1051" type="#_x0000_t75" style="width:10.5pt;height:12pt" o:ole="">
                  <v:imagedata r:id="rId41" o:title=""/>
                </v:shape>
                <o:OLEObject Type="Embed" ProgID="Equation.3" ShapeID="_x0000_i1051" DrawAspect="Content" ObjectID="_1817953522" r:id="rId49"/>
              </w:object>
            </w:r>
            <w:r w:rsidRPr="00FC0689">
              <w:rPr>
                <w:rFonts w:ascii="Times New Roman" w:hAnsi="Times New Roman"/>
                <w:color w:val="000000"/>
                <w:sz w:val="24"/>
                <w:szCs w:val="24"/>
              </w:rPr>
              <w:t>2</w:t>
            </w:r>
          </w:p>
        </w:tc>
        <w:tc>
          <w:tcPr>
            <w:tcW w:w="2080" w:type="dxa"/>
            <w:tcBorders>
              <w:top w:val="nil"/>
              <w:left w:val="nil"/>
              <w:right w:val="single" w:sz="4" w:space="0" w:color="auto"/>
            </w:tcBorders>
            <w:noWrap/>
            <w:vAlign w:val="bottom"/>
            <w:hideMark/>
          </w:tcPr>
          <w:p w14:paraId="771DECE5" w14:textId="77777777" w:rsidR="00D31621" w:rsidRPr="00FD6E16" w:rsidRDefault="00D31621" w:rsidP="00C45F51">
            <w:pPr>
              <w:spacing w:after="0" w:line="240" w:lineRule="auto"/>
              <w:rPr>
                <w:rFonts w:ascii="Times New Roman" w:hAnsi="Times New Roman"/>
                <w:color w:val="000000"/>
                <w:sz w:val="24"/>
                <w:szCs w:val="24"/>
              </w:rPr>
            </w:pPr>
            <w:r w:rsidRPr="00FC0689">
              <w:rPr>
                <w:rFonts w:ascii="Times New Roman" w:hAnsi="Times New Roman"/>
                <w:color w:val="000000"/>
                <w:sz w:val="24"/>
                <w:szCs w:val="24"/>
              </w:rPr>
              <w:t>r = 3</w:t>
            </w:r>
          </w:p>
        </w:tc>
        <w:tc>
          <w:tcPr>
            <w:tcW w:w="1096" w:type="dxa"/>
            <w:tcBorders>
              <w:top w:val="nil"/>
              <w:left w:val="nil"/>
              <w:right w:val="single" w:sz="4" w:space="0" w:color="auto"/>
            </w:tcBorders>
            <w:noWrap/>
            <w:vAlign w:val="bottom"/>
            <w:hideMark/>
          </w:tcPr>
          <w:p w14:paraId="52160C32"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0.277638</w:t>
            </w:r>
          </w:p>
        </w:tc>
        <w:tc>
          <w:tcPr>
            <w:tcW w:w="1300" w:type="dxa"/>
            <w:tcBorders>
              <w:top w:val="nil"/>
              <w:left w:val="nil"/>
              <w:right w:val="single" w:sz="4" w:space="0" w:color="auto"/>
            </w:tcBorders>
            <w:noWrap/>
            <w:vAlign w:val="bottom"/>
            <w:hideMark/>
          </w:tcPr>
          <w:p w14:paraId="32DEAF82"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40.00322</w:t>
            </w:r>
          </w:p>
        </w:tc>
        <w:tc>
          <w:tcPr>
            <w:tcW w:w="1634" w:type="dxa"/>
            <w:tcBorders>
              <w:top w:val="nil"/>
              <w:left w:val="nil"/>
              <w:right w:val="single" w:sz="4" w:space="0" w:color="auto"/>
            </w:tcBorders>
            <w:noWrap/>
            <w:vAlign w:val="bottom"/>
            <w:hideMark/>
          </w:tcPr>
          <w:p w14:paraId="23FFE3CC"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40.95680</w:t>
            </w:r>
          </w:p>
        </w:tc>
        <w:tc>
          <w:tcPr>
            <w:tcW w:w="1283" w:type="dxa"/>
            <w:tcBorders>
              <w:top w:val="nil"/>
              <w:left w:val="nil"/>
              <w:right w:val="single" w:sz="4" w:space="0" w:color="auto"/>
            </w:tcBorders>
            <w:noWrap/>
            <w:vAlign w:val="bottom"/>
            <w:hideMark/>
          </w:tcPr>
          <w:p w14:paraId="2AD2CD39"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0.0638</w:t>
            </w:r>
          </w:p>
        </w:tc>
      </w:tr>
      <w:tr w:rsidR="00D31621" w:rsidRPr="00FD6E16" w14:paraId="4ECD78C9" w14:textId="77777777" w:rsidTr="00303B4A">
        <w:trPr>
          <w:trHeight w:val="304"/>
        </w:trPr>
        <w:tc>
          <w:tcPr>
            <w:tcW w:w="1296" w:type="dxa"/>
            <w:tcBorders>
              <w:top w:val="nil"/>
              <w:left w:val="single" w:sz="4" w:space="0" w:color="auto"/>
              <w:right w:val="single" w:sz="4" w:space="0" w:color="auto"/>
            </w:tcBorders>
            <w:noWrap/>
            <w:vAlign w:val="bottom"/>
            <w:hideMark/>
          </w:tcPr>
          <w:p w14:paraId="4D7F3060" w14:textId="77777777" w:rsidR="00D31621" w:rsidRPr="00FD6E16" w:rsidRDefault="00D31621" w:rsidP="00C45F51">
            <w:pPr>
              <w:spacing w:after="0" w:line="240" w:lineRule="auto"/>
              <w:rPr>
                <w:rFonts w:ascii="Times New Roman" w:hAnsi="Times New Roman"/>
                <w:color w:val="000000"/>
                <w:sz w:val="24"/>
                <w:szCs w:val="24"/>
              </w:rPr>
            </w:pPr>
            <w:r w:rsidRPr="00FC0689">
              <w:rPr>
                <w:rFonts w:ascii="Times New Roman" w:hAnsi="Times New Roman"/>
                <w:color w:val="000000"/>
                <w:sz w:val="24"/>
                <w:szCs w:val="24"/>
              </w:rPr>
              <w:t>r</w:t>
            </w:r>
            <w:r w:rsidRPr="00FC0689">
              <w:rPr>
                <w:rFonts w:ascii="Times New Roman" w:hAnsi="Times New Roman"/>
                <w:color w:val="000000"/>
                <w:position w:val="-4"/>
                <w:sz w:val="24"/>
                <w:szCs w:val="24"/>
              </w:rPr>
              <w:object w:dxaOrig="200" w:dyaOrig="240" w14:anchorId="34E83A20">
                <v:shape id="_x0000_i1052" type="#_x0000_t75" style="width:10.5pt;height:12pt" o:ole="">
                  <v:imagedata r:id="rId41" o:title=""/>
                </v:shape>
                <o:OLEObject Type="Embed" ProgID="Equation.3" ShapeID="_x0000_i1052" DrawAspect="Content" ObjectID="_1817953523" r:id="rId50"/>
              </w:object>
            </w:r>
            <w:r w:rsidRPr="00FC0689">
              <w:rPr>
                <w:rFonts w:ascii="Times New Roman" w:hAnsi="Times New Roman"/>
                <w:color w:val="000000"/>
                <w:sz w:val="24"/>
                <w:szCs w:val="24"/>
              </w:rPr>
              <w:t>3</w:t>
            </w:r>
          </w:p>
        </w:tc>
        <w:tc>
          <w:tcPr>
            <w:tcW w:w="2080" w:type="dxa"/>
            <w:tcBorders>
              <w:top w:val="nil"/>
              <w:left w:val="nil"/>
              <w:right w:val="single" w:sz="4" w:space="0" w:color="auto"/>
            </w:tcBorders>
            <w:noWrap/>
            <w:vAlign w:val="bottom"/>
            <w:hideMark/>
          </w:tcPr>
          <w:p w14:paraId="236FA79F" w14:textId="77777777" w:rsidR="00D31621" w:rsidRPr="00FD6E16" w:rsidRDefault="00D31621" w:rsidP="00C45F51">
            <w:pPr>
              <w:spacing w:after="0" w:line="240" w:lineRule="auto"/>
              <w:rPr>
                <w:rFonts w:ascii="Times New Roman" w:hAnsi="Times New Roman"/>
                <w:color w:val="000000"/>
                <w:sz w:val="24"/>
                <w:szCs w:val="24"/>
              </w:rPr>
            </w:pPr>
            <w:r w:rsidRPr="00FC0689">
              <w:rPr>
                <w:rFonts w:ascii="Times New Roman" w:hAnsi="Times New Roman"/>
                <w:color w:val="000000"/>
                <w:sz w:val="24"/>
                <w:szCs w:val="24"/>
              </w:rPr>
              <w:t>r = 4</w:t>
            </w:r>
          </w:p>
        </w:tc>
        <w:tc>
          <w:tcPr>
            <w:tcW w:w="1096" w:type="dxa"/>
            <w:tcBorders>
              <w:top w:val="nil"/>
              <w:left w:val="nil"/>
              <w:right w:val="single" w:sz="4" w:space="0" w:color="auto"/>
            </w:tcBorders>
            <w:noWrap/>
            <w:vAlign w:val="bottom"/>
            <w:hideMark/>
          </w:tcPr>
          <w:p w14:paraId="0D7E42F3"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0.191134</w:t>
            </w:r>
          </w:p>
        </w:tc>
        <w:tc>
          <w:tcPr>
            <w:tcW w:w="1300" w:type="dxa"/>
            <w:tcBorders>
              <w:top w:val="nil"/>
              <w:left w:val="nil"/>
              <w:right w:val="single" w:sz="4" w:space="0" w:color="auto"/>
            </w:tcBorders>
            <w:noWrap/>
            <w:vAlign w:val="bottom"/>
            <w:hideMark/>
          </w:tcPr>
          <w:p w14:paraId="3FDB22FE"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26.09095</w:t>
            </w:r>
          </w:p>
        </w:tc>
        <w:tc>
          <w:tcPr>
            <w:tcW w:w="1634" w:type="dxa"/>
            <w:tcBorders>
              <w:top w:val="nil"/>
              <w:left w:val="nil"/>
              <w:right w:val="single" w:sz="4" w:space="0" w:color="auto"/>
            </w:tcBorders>
            <w:noWrap/>
            <w:vAlign w:val="bottom"/>
            <w:hideMark/>
          </w:tcPr>
          <w:p w14:paraId="54DA4563"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34.80587</w:t>
            </w:r>
          </w:p>
        </w:tc>
        <w:tc>
          <w:tcPr>
            <w:tcW w:w="1283" w:type="dxa"/>
            <w:tcBorders>
              <w:top w:val="nil"/>
              <w:left w:val="nil"/>
              <w:right w:val="single" w:sz="4" w:space="0" w:color="auto"/>
            </w:tcBorders>
            <w:noWrap/>
            <w:vAlign w:val="bottom"/>
            <w:hideMark/>
          </w:tcPr>
          <w:p w14:paraId="54A4BC02"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0.3720</w:t>
            </w:r>
          </w:p>
        </w:tc>
      </w:tr>
      <w:tr w:rsidR="00D31621" w:rsidRPr="00FD6E16" w14:paraId="120C72DD" w14:textId="77777777" w:rsidTr="00303B4A">
        <w:trPr>
          <w:trHeight w:val="304"/>
        </w:trPr>
        <w:tc>
          <w:tcPr>
            <w:tcW w:w="1296" w:type="dxa"/>
            <w:tcBorders>
              <w:top w:val="nil"/>
              <w:left w:val="single" w:sz="4" w:space="0" w:color="auto"/>
              <w:bottom w:val="nil"/>
              <w:right w:val="single" w:sz="4" w:space="0" w:color="auto"/>
            </w:tcBorders>
            <w:noWrap/>
            <w:vAlign w:val="bottom"/>
            <w:hideMark/>
          </w:tcPr>
          <w:p w14:paraId="3B9F8B9D" w14:textId="77777777" w:rsidR="00D31621" w:rsidRPr="00FD6E16" w:rsidRDefault="00D31621" w:rsidP="00C45F51">
            <w:pPr>
              <w:spacing w:after="0" w:line="240" w:lineRule="auto"/>
              <w:rPr>
                <w:rFonts w:ascii="Times New Roman" w:hAnsi="Times New Roman"/>
                <w:color w:val="000000"/>
                <w:sz w:val="24"/>
                <w:szCs w:val="24"/>
              </w:rPr>
            </w:pPr>
            <w:r w:rsidRPr="00FC0689">
              <w:rPr>
                <w:rFonts w:ascii="Times New Roman" w:hAnsi="Times New Roman"/>
                <w:color w:val="000000"/>
                <w:sz w:val="24"/>
                <w:szCs w:val="24"/>
              </w:rPr>
              <w:t>r</w:t>
            </w:r>
            <w:r w:rsidRPr="00FC0689">
              <w:rPr>
                <w:rFonts w:ascii="Times New Roman" w:hAnsi="Times New Roman"/>
                <w:color w:val="000000"/>
                <w:position w:val="-4"/>
                <w:sz w:val="24"/>
                <w:szCs w:val="24"/>
              </w:rPr>
              <w:object w:dxaOrig="200" w:dyaOrig="240" w14:anchorId="4C0AA149">
                <v:shape id="_x0000_i1053" type="#_x0000_t75" style="width:10.5pt;height:12pt" o:ole="">
                  <v:imagedata r:id="rId41" o:title=""/>
                </v:shape>
                <o:OLEObject Type="Embed" ProgID="Equation.3" ShapeID="_x0000_i1053" DrawAspect="Content" ObjectID="_1817953524" r:id="rId51"/>
              </w:object>
            </w:r>
            <w:r w:rsidRPr="00FC0689">
              <w:rPr>
                <w:rFonts w:ascii="Times New Roman" w:hAnsi="Times New Roman"/>
                <w:color w:val="000000"/>
                <w:sz w:val="24"/>
                <w:szCs w:val="24"/>
              </w:rPr>
              <w:t>4</w:t>
            </w:r>
          </w:p>
        </w:tc>
        <w:tc>
          <w:tcPr>
            <w:tcW w:w="2080" w:type="dxa"/>
            <w:tcBorders>
              <w:top w:val="nil"/>
              <w:left w:val="nil"/>
              <w:bottom w:val="nil"/>
              <w:right w:val="single" w:sz="4" w:space="0" w:color="auto"/>
            </w:tcBorders>
            <w:noWrap/>
            <w:vAlign w:val="bottom"/>
            <w:hideMark/>
          </w:tcPr>
          <w:p w14:paraId="72BBE2A5" w14:textId="77777777" w:rsidR="00D31621" w:rsidRPr="00FD6E16" w:rsidRDefault="00D31621" w:rsidP="00C45F51">
            <w:pPr>
              <w:spacing w:after="0" w:line="240" w:lineRule="auto"/>
              <w:rPr>
                <w:rFonts w:ascii="Times New Roman" w:hAnsi="Times New Roman"/>
                <w:color w:val="000000"/>
                <w:sz w:val="24"/>
                <w:szCs w:val="24"/>
              </w:rPr>
            </w:pPr>
            <w:r w:rsidRPr="00FC0689">
              <w:rPr>
                <w:rFonts w:ascii="Times New Roman" w:hAnsi="Times New Roman"/>
                <w:color w:val="000000"/>
                <w:sz w:val="24"/>
                <w:szCs w:val="24"/>
              </w:rPr>
              <w:t>r = 5</w:t>
            </w:r>
          </w:p>
        </w:tc>
        <w:tc>
          <w:tcPr>
            <w:tcW w:w="1096" w:type="dxa"/>
            <w:tcBorders>
              <w:top w:val="nil"/>
              <w:left w:val="nil"/>
              <w:bottom w:val="nil"/>
              <w:right w:val="single" w:sz="4" w:space="0" w:color="auto"/>
            </w:tcBorders>
            <w:noWrap/>
            <w:vAlign w:val="bottom"/>
            <w:hideMark/>
          </w:tcPr>
          <w:p w14:paraId="2CF2C143"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0.131294</w:t>
            </w:r>
          </w:p>
        </w:tc>
        <w:tc>
          <w:tcPr>
            <w:tcW w:w="1300" w:type="dxa"/>
            <w:tcBorders>
              <w:top w:val="nil"/>
              <w:left w:val="nil"/>
              <w:bottom w:val="nil"/>
              <w:right w:val="single" w:sz="4" w:space="0" w:color="auto"/>
            </w:tcBorders>
            <w:noWrap/>
            <w:vAlign w:val="bottom"/>
            <w:hideMark/>
          </w:tcPr>
          <w:p w14:paraId="77ED01C6"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17.31237</w:t>
            </w:r>
          </w:p>
        </w:tc>
        <w:tc>
          <w:tcPr>
            <w:tcW w:w="1634" w:type="dxa"/>
            <w:tcBorders>
              <w:top w:val="nil"/>
              <w:left w:val="nil"/>
              <w:bottom w:val="nil"/>
              <w:right w:val="single" w:sz="4" w:space="0" w:color="auto"/>
            </w:tcBorders>
            <w:noWrap/>
            <w:vAlign w:val="bottom"/>
            <w:hideMark/>
          </w:tcPr>
          <w:p w14:paraId="5A6A1259"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28.58808</w:t>
            </w:r>
          </w:p>
        </w:tc>
        <w:tc>
          <w:tcPr>
            <w:tcW w:w="1283" w:type="dxa"/>
            <w:tcBorders>
              <w:top w:val="nil"/>
              <w:left w:val="nil"/>
              <w:bottom w:val="nil"/>
              <w:right w:val="single" w:sz="4" w:space="0" w:color="auto"/>
            </w:tcBorders>
            <w:noWrap/>
            <w:vAlign w:val="bottom"/>
            <w:hideMark/>
          </w:tcPr>
          <w:p w14:paraId="324EBF44"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0.6344</w:t>
            </w:r>
          </w:p>
        </w:tc>
      </w:tr>
      <w:tr w:rsidR="00D31621" w:rsidRPr="00FD6E16" w14:paraId="79203298" w14:textId="77777777" w:rsidTr="00303B4A">
        <w:trPr>
          <w:trHeight w:val="304"/>
        </w:trPr>
        <w:tc>
          <w:tcPr>
            <w:tcW w:w="1296" w:type="dxa"/>
            <w:tcBorders>
              <w:top w:val="nil"/>
              <w:left w:val="single" w:sz="4" w:space="0" w:color="auto"/>
              <w:bottom w:val="nil"/>
              <w:right w:val="single" w:sz="4" w:space="0" w:color="auto"/>
            </w:tcBorders>
            <w:noWrap/>
            <w:vAlign w:val="bottom"/>
            <w:hideMark/>
          </w:tcPr>
          <w:p w14:paraId="029F55FD" w14:textId="77777777" w:rsidR="00D31621" w:rsidRPr="00FC0689" w:rsidRDefault="00D31621" w:rsidP="00C45F51">
            <w:pPr>
              <w:spacing w:after="0" w:line="240" w:lineRule="auto"/>
              <w:rPr>
                <w:rFonts w:ascii="Times New Roman" w:hAnsi="Times New Roman"/>
                <w:color w:val="000000"/>
                <w:sz w:val="24"/>
                <w:szCs w:val="24"/>
              </w:rPr>
            </w:pPr>
            <w:r w:rsidRPr="00FC0689">
              <w:rPr>
                <w:rFonts w:ascii="Times New Roman" w:hAnsi="Times New Roman"/>
                <w:color w:val="000000"/>
                <w:sz w:val="24"/>
                <w:szCs w:val="24"/>
              </w:rPr>
              <w:t>r</w:t>
            </w:r>
            <w:r w:rsidRPr="00FC0689">
              <w:rPr>
                <w:rFonts w:ascii="Times New Roman" w:hAnsi="Times New Roman"/>
                <w:color w:val="000000"/>
                <w:position w:val="-4"/>
                <w:sz w:val="24"/>
                <w:szCs w:val="24"/>
              </w:rPr>
              <w:object w:dxaOrig="200" w:dyaOrig="240" w14:anchorId="4EDA482F">
                <v:shape id="_x0000_i1054" type="#_x0000_t75" style="width:10.5pt;height:12pt" o:ole="">
                  <v:imagedata r:id="rId41" o:title=""/>
                </v:shape>
                <o:OLEObject Type="Embed" ProgID="Equation.3" ShapeID="_x0000_i1054" DrawAspect="Content" ObjectID="_1817953525" r:id="rId52"/>
              </w:object>
            </w:r>
            <w:r>
              <w:rPr>
                <w:rFonts w:ascii="Times New Roman" w:hAnsi="Times New Roman"/>
                <w:color w:val="000000"/>
                <w:sz w:val="24"/>
                <w:szCs w:val="24"/>
              </w:rPr>
              <w:t>5</w:t>
            </w:r>
          </w:p>
        </w:tc>
        <w:tc>
          <w:tcPr>
            <w:tcW w:w="2080" w:type="dxa"/>
            <w:tcBorders>
              <w:top w:val="nil"/>
              <w:left w:val="nil"/>
              <w:bottom w:val="nil"/>
              <w:right w:val="single" w:sz="4" w:space="0" w:color="auto"/>
            </w:tcBorders>
            <w:noWrap/>
            <w:vAlign w:val="bottom"/>
            <w:hideMark/>
          </w:tcPr>
          <w:p w14:paraId="35B28C40" w14:textId="77777777" w:rsidR="00D31621" w:rsidRPr="00FC0689" w:rsidRDefault="00D31621" w:rsidP="00C45F51">
            <w:pPr>
              <w:spacing w:after="0" w:line="240" w:lineRule="auto"/>
              <w:rPr>
                <w:rFonts w:ascii="Times New Roman" w:hAnsi="Times New Roman"/>
                <w:color w:val="000000"/>
                <w:sz w:val="24"/>
                <w:szCs w:val="24"/>
              </w:rPr>
            </w:pPr>
            <w:r w:rsidRPr="00FC0689">
              <w:rPr>
                <w:rFonts w:ascii="Times New Roman" w:hAnsi="Times New Roman"/>
                <w:color w:val="000000"/>
                <w:sz w:val="24"/>
                <w:szCs w:val="24"/>
              </w:rPr>
              <w:t xml:space="preserve">r = </w:t>
            </w:r>
            <w:r>
              <w:rPr>
                <w:rFonts w:ascii="Times New Roman" w:hAnsi="Times New Roman"/>
                <w:color w:val="000000"/>
                <w:sz w:val="24"/>
                <w:szCs w:val="24"/>
              </w:rPr>
              <w:t>6</w:t>
            </w:r>
          </w:p>
        </w:tc>
        <w:tc>
          <w:tcPr>
            <w:tcW w:w="1096" w:type="dxa"/>
            <w:tcBorders>
              <w:top w:val="nil"/>
              <w:left w:val="nil"/>
              <w:bottom w:val="nil"/>
              <w:right w:val="single" w:sz="4" w:space="0" w:color="auto"/>
            </w:tcBorders>
            <w:noWrap/>
            <w:vAlign w:val="bottom"/>
            <w:hideMark/>
          </w:tcPr>
          <w:p w14:paraId="1DBB35B7"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0.120574</w:t>
            </w:r>
          </w:p>
        </w:tc>
        <w:tc>
          <w:tcPr>
            <w:tcW w:w="1300" w:type="dxa"/>
            <w:tcBorders>
              <w:top w:val="nil"/>
              <w:left w:val="nil"/>
              <w:bottom w:val="nil"/>
              <w:right w:val="single" w:sz="4" w:space="0" w:color="auto"/>
            </w:tcBorders>
            <w:noWrap/>
            <w:vAlign w:val="bottom"/>
            <w:hideMark/>
          </w:tcPr>
          <w:p w14:paraId="32087C62"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15.80375</w:t>
            </w:r>
          </w:p>
        </w:tc>
        <w:tc>
          <w:tcPr>
            <w:tcW w:w="1634" w:type="dxa"/>
            <w:tcBorders>
              <w:top w:val="nil"/>
              <w:left w:val="nil"/>
              <w:bottom w:val="nil"/>
              <w:right w:val="single" w:sz="4" w:space="0" w:color="auto"/>
            </w:tcBorders>
            <w:noWrap/>
            <w:vAlign w:val="bottom"/>
            <w:hideMark/>
          </w:tcPr>
          <w:p w14:paraId="0A987959"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22.29962</w:t>
            </w:r>
          </w:p>
        </w:tc>
        <w:tc>
          <w:tcPr>
            <w:tcW w:w="1283" w:type="dxa"/>
            <w:tcBorders>
              <w:top w:val="nil"/>
              <w:left w:val="nil"/>
              <w:bottom w:val="nil"/>
              <w:right w:val="single" w:sz="4" w:space="0" w:color="auto"/>
            </w:tcBorders>
            <w:noWrap/>
            <w:vAlign w:val="bottom"/>
            <w:hideMark/>
          </w:tcPr>
          <w:p w14:paraId="1673F239"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0.3124</w:t>
            </w:r>
          </w:p>
        </w:tc>
      </w:tr>
      <w:tr w:rsidR="00D31621" w:rsidRPr="00FD6E16" w14:paraId="4CA996DF" w14:textId="77777777" w:rsidTr="00303B4A">
        <w:trPr>
          <w:trHeight w:val="304"/>
        </w:trPr>
        <w:tc>
          <w:tcPr>
            <w:tcW w:w="1296" w:type="dxa"/>
            <w:tcBorders>
              <w:top w:val="nil"/>
              <w:left w:val="single" w:sz="4" w:space="0" w:color="auto"/>
              <w:bottom w:val="nil"/>
              <w:right w:val="single" w:sz="4" w:space="0" w:color="auto"/>
            </w:tcBorders>
            <w:noWrap/>
            <w:vAlign w:val="bottom"/>
            <w:hideMark/>
          </w:tcPr>
          <w:p w14:paraId="6341F2C5" w14:textId="77777777" w:rsidR="00D31621" w:rsidRPr="00FC0689" w:rsidRDefault="00D31621" w:rsidP="00C45F51">
            <w:pPr>
              <w:spacing w:after="0" w:line="240" w:lineRule="auto"/>
              <w:rPr>
                <w:rFonts w:ascii="Times New Roman" w:hAnsi="Times New Roman"/>
                <w:color w:val="000000"/>
                <w:sz w:val="24"/>
                <w:szCs w:val="24"/>
              </w:rPr>
            </w:pPr>
            <w:r w:rsidRPr="00FC0689">
              <w:rPr>
                <w:rFonts w:ascii="Times New Roman" w:hAnsi="Times New Roman"/>
                <w:color w:val="000000"/>
                <w:sz w:val="24"/>
                <w:szCs w:val="24"/>
              </w:rPr>
              <w:t>r</w:t>
            </w:r>
            <w:r w:rsidRPr="00FC0689">
              <w:rPr>
                <w:rFonts w:ascii="Times New Roman" w:hAnsi="Times New Roman"/>
                <w:color w:val="000000"/>
                <w:position w:val="-4"/>
                <w:sz w:val="24"/>
                <w:szCs w:val="24"/>
              </w:rPr>
              <w:object w:dxaOrig="200" w:dyaOrig="240" w14:anchorId="271004AC">
                <v:shape id="_x0000_i1055" type="#_x0000_t75" style="width:10.5pt;height:12pt" o:ole="">
                  <v:imagedata r:id="rId41" o:title=""/>
                </v:shape>
                <o:OLEObject Type="Embed" ProgID="Equation.3" ShapeID="_x0000_i1055" DrawAspect="Content" ObjectID="_1817953526" r:id="rId53"/>
              </w:object>
            </w:r>
            <w:r>
              <w:rPr>
                <w:rFonts w:ascii="Times New Roman" w:hAnsi="Times New Roman"/>
                <w:color w:val="000000"/>
                <w:sz w:val="24"/>
                <w:szCs w:val="24"/>
              </w:rPr>
              <w:t>6</w:t>
            </w:r>
          </w:p>
        </w:tc>
        <w:tc>
          <w:tcPr>
            <w:tcW w:w="2080" w:type="dxa"/>
            <w:tcBorders>
              <w:top w:val="nil"/>
              <w:left w:val="nil"/>
              <w:bottom w:val="nil"/>
              <w:right w:val="single" w:sz="4" w:space="0" w:color="auto"/>
            </w:tcBorders>
            <w:noWrap/>
            <w:vAlign w:val="bottom"/>
            <w:hideMark/>
          </w:tcPr>
          <w:p w14:paraId="740B4BA7" w14:textId="77777777" w:rsidR="00D31621" w:rsidRPr="00FC0689" w:rsidRDefault="00D31621" w:rsidP="00C45F51">
            <w:pPr>
              <w:spacing w:after="0" w:line="240" w:lineRule="auto"/>
              <w:rPr>
                <w:rFonts w:ascii="Times New Roman" w:hAnsi="Times New Roman"/>
                <w:color w:val="000000"/>
                <w:sz w:val="24"/>
                <w:szCs w:val="24"/>
              </w:rPr>
            </w:pPr>
            <w:r w:rsidRPr="00FC0689">
              <w:rPr>
                <w:rFonts w:ascii="Times New Roman" w:hAnsi="Times New Roman"/>
                <w:color w:val="000000"/>
                <w:sz w:val="24"/>
                <w:szCs w:val="24"/>
              </w:rPr>
              <w:t xml:space="preserve">r = </w:t>
            </w:r>
            <w:r>
              <w:rPr>
                <w:rFonts w:ascii="Times New Roman" w:hAnsi="Times New Roman"/>
                <w:color w:val="000000"/>
                <w:sz w:val="24"/>
                <w:szCs w:val="24"/>
              </w:rPr>
              <w:t>7</w:t>
            </w:r>
          </w:p>
        </w:tc>
        <w:tc>
          <w:tcPr>
            <w:tcW w:w="1096" w:type="dxa"/>
            <w:tcBorders>
              <w:top w:val="nil"/>
              <w:left w:val="nil"/>
              <w:bottom w:val="nil"/>
              <w:right w:val="single" w:sz="4" w:space="0" w:color="auto"/>
            </w:tcBorders>
            <w:noWrap/>
            <w:vAlign w:val="bottom"/>
            <w:hideMark/>
          </w:tcPr>
          <w:p w14:paraId="70622892"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0.038844</w:t>
            </w:r>
          </w:p>
        </w:tc>
        <w:tc>
          <w:tcPr>
            <w:tcW w:w="1300" w:type="dxa"/>
            <w:tcBorders>
              <w:top w:val="nil"/>
              <w:left w:val="nil"/>
              <w:bottom w:val="nil"/>
              <w:right w:val="single" w:sz="4" w:space="0" w:color="auto"/>
            </w:tcBorders>
            <w:noWrap/>
            <w:vAlign w:val="bottom"/>
            <w:hideMark/>
          </w:tcPr>
          <w:p w14:paraId="00BB6041"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4.873123</w:t>
            </w:r>
          </w:p>
        </w:tc>
        <w:tc>
          <w:tcPr>
            <w:tcW w:w="1634" w:type="dxa"/>
            <w:tcBorders>
              <w:top w:val="nil"/>
              <w:left w:val="nil"/>
              <w:bottom w:val="nil"/>
              <w:right w:val="single" w:sz="4" w:space="0" w:color="auto"/>
            </w:tcBorders>
            <w:noWrap/>
            <w:vAlign w:val="bottom"/>
            <w:hideMark/>
          </w:tcPr>
          <w:p w14:paraId="2F6850CA"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15.89210</w:t>
            </w:r>
          </w:p>
        </w:tc>
        <w:tc>
          <w:tcPr>
            <w:tcW w:w="1283" w:type="dxa"/>
            <w:tcBorders>
              <w:top w:val="nil"/>
              <w:left w:val="nil"/>
              <w:bottom w:val="nil"/>
              <w:right w:val="single" w:sz="4" w:space="0" w:color="auto"/>
            </w:tcBorders>
            <w:noWrap/>
            <w:vAlign w:val="bottom"/>
            <w:hideMark/>
          </w:tcPr>
          <w:p w14:paraId="4FF0318C"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0.8990</w:t>
            </w:r>
          </w:p>
        </w:tc>
      </w:tr>
      <w:tr w:rsidR="00D31621" w:rsidRPr="00FD6E16" w14:paraId="2071F2C8" w14:textId="77777777" w:rsidTr="00303B4A">
        <w:trPr>
          <w:trHeight w:val="304"/>
        </w:trPr>
        <w:tc>
          <w:tcPr>
            <w:tcW w:w="1296" w:type="dxa"/>
            <w:tcBorders>
              <w:top w:val="nil"/>
              <w:left w:val="single" w:sz="4" w:space="0" w:color="auto"/>
              <w:bottom w:val="single" w:sz="4" w:space="0" w:color="auto"/>
              <w:right w:val="single" w:sz="4" w:space="0" w:color="auto"/>
            </w:tcBorders>
            <w:noWrap/>
            <w:vAlign w:val="bottom"/>
            <w:hideMark/>
          </w:tcPr>
          <w:p w14:paraId="210DC46D" w14:textId="77777777" w:rsidR="00D31621" w:rsidRPr="00FC0689" w:rsidRDefault="00D31621" w:rsidP="00C45F51">
            <w:pPr>
              <w:spacing w:after="0" w:line="240" w:lineRule="auto"/>
              <w:rPr>
                <w:rFonts w:ascii="Times New Roman" w:hAnsi="Times New Roman"/>
                <w:color w:val="000000"/>
                <w:sz w:val="24"/>
                <w:szCs w:val="24"/>
              </w:rPr>
            </w:pPr>
            <w:r w:rsidRPr="00FC0689">
              <w:rPr>
                <w:rFonts w:ascii="Times New Roman" w:hAnsi="Times New Roman"/>
                <w:color w:val="000000"/>
                <w:sz w:val="24"/>
                <w:szCs w:val="24"/>
              </w:rPr>
              <w:t>r</w:t>
            </w:r>
            <w:r w:rsidRPr="00FC0689">
              <w:rPr>
                <w:rFonts w:ascii="Times New Roman" w:hAnsi="Times New Roman"/>
                <w:color w:val="000000"/>
                <w:position w:val="-4"/>
                <w:sz w:val="24"/>
                <w:szCs w:val="24"/>
              </w:rPr>
              <w:object w:dxaOrig="200" w:dyaOrig="240" w14:anchorId="2C900CE8">
                <v:shape id="_x0000_i1056" type="#_x0000_t75" style="width:10.5pt;height:12pt" o:ole="">
                  <v:imagedata r:id="rId41" o:title=""/>
                </v:shape>
                <o:OLEObject Type="Embed" ProgID="Equation.3" ShapeID="_x0000_i1056" DrawAspect="Content" ObjectID="_1817953527" r:id="rId54"/>
              </w:object>
            </w:r>
            <w:r>
              <w:rPr>
                <w:rFonts w:ascii="Times New Roman" w:hAnsi="Times New Roman"/>
                <w:color w:val="000000"/>
                <w:sz w:val="24"/>
                <w:szCs w:val="24"/>
              </w:rPr>
              <w:t>7</w:t>
            </w:r>
          </w:p>
        </w:tc>
        <w:tc>
          <w:tcPr>
            <w:tcW w:w="2080" w:type="dxa"/>
            <w:tcBorders>
              <w:top w:val="nil"/>
              <w:left w:val="nil"/>
              <w:bottom w:val="single" w:sz="4" w:space="0" w:color="auto"/>
              <w:right w:val="single" w:sz="4" w:space="0" w:color="auto"/>
            </w:tcBorders>
            <w:noWrap/>
            <w:vAlign w:val="bottom"/>
            <w:hideMark/>
          </w:tcPr>
          <w:p w14:paraId="28355427" w14:textId="77777777" w:rsidR="00D31621" w:rsidRPr="00FC0689" w:rsidRDefault="00D31621" w:rsidP="00C45F51">
            <w:pPr>
              <w:spacing w:after="0" w:line="240" w:lineRule="auto"/>
              <w:rPr>
                <w:rFonts w:ascii="Times New Roman" w:hAnsi="Times New Roman"/>
                <w:color w:val="000000"/>
                <w:sz w:val="24"/>
                <w:szCs w:val="24"/>
              </w:rPr>
            </w:pPr>
            <w:r w:rsidRPr="00FC0689">
              <w:rPr>
                <w:rFonts w:ascii="Times New Roman" w:hAnsi="Times New Roman"/>
                <w:color w:val="000000"/>
                <w:sz w:val="24"/>
                <w:szCs w:val="24"/>
              </w:rPr>
              <w:t xml:space="preserve">r = </w:t>
            </w:r>
            <w:r>
              <w:rPr>
                <w:rFonts w:ascii="Times New Roman" w:hAnsi="Times New Roman"/>
                <w:color w:val="000000"/>
                <w:sz w:val="24"/>
                <w:szCs w:val="24"/>
              </w:rPr>
              <w:t>8</w:t>
            </w:r>
          </w:p>
        </w:tc>
        <w:tc>
          <w:tcPr>
            <w:tcW w:w="1096" w:type="dxa"/>
            <w:tcBorders>
              <w:top w:val="nil"/>
              <w:left w:val="nil"/>
              <w:bottom w:val="single" w:sz="4" w:space="0" w:color="auto"/>
              <w:right w:val="single" w:sz="4" w:space="0" w:color="auto"/>
            </w:tcBorders>
            <w:noWrap/>
            <w:vAlign w:val="bottom"/>
            <w:hideMark/>
          </w:tcPr>
          <w:p w14:paraId="20EA2BBE"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0.035570</w:t>
            </w:r>
          </w:p>
        </w:tc>
        <w:tc>
          <w:tcPr>
            <w:tcW w:w="1300" w:type="dxa"/>
            <w:tcBorders>
              <w:top w:val="nil"/>
              <w:left w:val="nil"/>
              <w:bottom w:val="single" w:sz="4" w:space="0" w:color="auto"/>
              <w:right w:val="single" w:sz="4" w:space="0" w:color="auto"/>
            </w:tcBorders>
            <w:noWrap/>
            <w:vAlign w:val="bottom"/>
            <w:hideMark/>
          </w:tcPr>
          <w:p w14:paraId="529CEE1E"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4.454792</w:t>
            </w:r>
          </w:p>
        </w:tc>
        <w:tc>
          <w:tcPr>
            <w:tcW w:w="1634" w:type="dxa"/>
            <w:tcBorders>
              <w:top w:val="nil"/>
              <w:left w:val="nil"/>
              <w:bottom w:val="single" w:sz="4" w:space="0" w:color="auto"/>
              <w:right w:val="single" w:sz="4" w:space="0" w:color="auto"/>
            </w:tcBorders>
            <w:noWrap/>
            <w:vAlign w:val="bottom"/>
            <w:hideMark/>
          </w:tcPr>
          <w:p w14:paraId="6967C36C"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9.164546</w:t>
            </w:r>
          </w:p>
        </w:tc>
        <w:tc>
          <w:tcPr>
            <w:tcW w:w="1283" w:type="dxa"/>
            <w:tcBorders>
              <w:top w:val="nil"/>
              <w:left w:val="nil"/>
              <w:bottom w:val="single" w:sz="4" w:space="0" w:color="auto"/>
              <w:right w:val="single" w:sz="4" w:space="0" w:color="auto"/>
            </w:tcBorders>
            <w:noWrap/>
            <w:vAlign w:val="bottom"/>
            <w:hideMark/>
          </w:tcPr>
          <w:p w14:paraId="4CC0EDDC" w14:textId="77777777" w:rsidR="00D31621" w:rsidRPr="00CA0D5B" w:rsidRDefault="00D31621" w:rsidP="00C45F51">
            <w:pPr>
              <w:autoSpaceDE w:val="0"/>
              <w:autoSpaceDN w:val="0"/>
              <w:adjustRightInd w:val="0"/>
              <w:spacing w:after="0" w:line="240" w:lineRule="auto"/>
              <w:rPr>
                <w:rFonts w:ascii="Arial" w:hAnsi="Arial" w:cs="Arial"/>
                <w:color w:val="000000"/>
                <w:sz w:val="18"/>
                <w:szCs w:val="18"/>
              </w:rPr>
            </w:pPr>
            <w:r w:rsidRPr="00CA0D5B">
              <w:rPr>
                <w:rFonts w:ascii="Arial" w:hAnsi="Arial" w:cs="Arial"/>
                <w:color w:val="000000"/>
                <w:sz w:val="18"/>
                <w:szCs w:val="18"/>
              </w:rPr>
              <w:t> 0.3486</w:t>
            </w:r>
          </w:p>
        </w:tc>
      </w:tr>
    </w:tbl>
    <w:p w14:paraId="4E7B9EAC" w14:textId="77777777" w:rsidR="00D31621" w:rsidRPr="005E1237" w:rsidRDefault="00D31621" w:rsidP="00C45F51">
      <w:pPr>
        <w:pStyle w:val="NoSpacing"/>
        <w:jc w:val="both"/>
        <w:rPr>
          <w:rFonts w:ascii="Times New Roman" w:hAnsi="Times New Roman"/>
          <w:b/>
          <w:i/>
          <w:iCs/>
          <w:sz w:val="20"/>
          <w:szCs w:val="20"/>
        </w:rPr>
      </w:pPr>
      <w:r>
        <w:rPr>
          <w:rFonts w:ascii="Times New Roman" w:hAnsi="Times New Roman"/>
          <w:b/>
          <w:sz w:val="24"/>
          <w:szCs w:val="24"/>
        </w:rPr>
        <w:t xml:space="preserve">           </w:t>
      </w:r>
      <w:r>
        <w:rPr>
          <w:rFonts w:ascii="Times New Roman" w:hAnsi="Times New Roman"/>
          <w:b/>
          <w:sz w:val="24"/>
          <w:szCs w:val="24"/>
        </w:rPr>
        <w:tab/>
      </w:r>
      <w:r w:rsidRPr="005E1237">
        <w:rPr>
          <w:rFonts w:ascii="Times New Roman" w:hAnsi="Times New Roman"/>
          <w:b/>
          <w:i/>
          <w:iCs/>
          <w:sz w:val="20"/>
          <w:szCs w:val="20"/>
        </w:rPr>
        <w:t>Source: Author’s Computation using E-Views 10</w:t>
      </w:r>
    </w:p>
    <w:p w14:paraId="77831947" w14:textId="77777777" w:rsidR="00AF73FA" w:rsidRPr="00AF73FA" w:rsidRDefault="00AF73FA" w:rsidP="00C45F51">
      <w:pPr>
        <w:pStyle w:val="NoSpacing"/>
        <w:jc w:val="both"/>
        <w:rPr>
          <w:rFonts w:ascii="Times New Roman" w:hAnsi="Times New Roman"/>
          <w:sz w:val="14"/>
          <w:szCs w:val="24"/>
        </w:rPr>
      </w:pPr>
    </w:p>
    <w:p w14:paraId="708BB99C" w14:textId="77777777" w:rsidR="005E1237" w:rsidRDefault="005E1237" w:rsidP="005E1237">
      <w:pPr>
        <w:pStyle w:val="NoSpacing"/>
        <w:rPr>
          <w:rFonts w:ascii="Times New Roman" w:hAnsi="Times New Roman"/>
          <w:sz w:val="24"/>
          <w:szCs w:val="24"/>
        </w:rPr>
        <w:sectPr w:rsidR="005E1237" w:rsidSect="004267E7">
          <w:type w:val="continuous"/>
          <w:pgSz w:w="12240" w:h="15840"/>
          <w:pgMar w:top="1135" w:right="1440" w:bottom="1440" w:left="1440" w:header="720" w:footer="720" w:gutter="0"/>
          <w:cols w:space="720"/>
          <w:docGrid w:linePitch="360"/>
        </w:sectPr>
      </w:pPr>
    </w:p>
    <w:p w14:paraId="50CDCE5E" w14:textId="77777777" w:rsidR="005E1237" w:rsidRDefault="005E1237" w:rsidP="005E1237">
      <w:pPr>
        <w:pStyle w:val="NoSpacing"/>
        <w:rPr>
          <w:rFonts w:ascii="Times New Roman" w:hAnsi="Times New Roman"/>
          <w:sz w:val="24"/>
          <w:szCs w:val="24"/>
        </w:rPr>
      </w:pPr>
    </w:p>
    <w:p w14:paraId="7878D072" w14:textId="6538D845" w:rsidR="005E1237" w:rsidRDefault="00D31621" w:rsidP="005E1237">
      <w:pPr>
        <w:pStyle w:val="NoSpacing"/>
        <w:rPr>
          <w:rFonts w:ascii="Times New Roman" w:hAnsi="Times New Roman"/>
          <w:sz w:val="24"/>
          <w:szCs w:val="24"/>
        </w:rPr>
      </w:pPr>
      <w:r>
        <w:rPr>
          <w:rFonts w:ascii="Times New Roman" w:hAnsi="Times New Roman"/>
          <w:sz w:val="24"/>
          <w:szCs w:val="24"/>
        </w:rPr>
        <w:t xml:space="preserve">For both </w:t>
      </w:r>
      <w:r w:rsidRPr="002E68E9">
        <w:rPr>
          <w:rFonts w:ascii="Times New Roman" w:hAnsi="Times New Roman"/>
          <w:sz w:val="24"/>
          <w:szCs w:val="24"/>
        </w:rPr>
        <w:t xml:space="preserve">trace </w:t>
      </w:r>
      <w:r>
        <w:rPr>
          <w:rFonts w:ascii="Times New Roman" w:hAnsi="Times New Roman"/>
          <w:sz w:val="24"/>
          <w:szCs w:val="24"/>
        </w:rPr>
        <w:t>test and maximum eigen</w:t>
      </w:r>
      <w:r w:rsidRPr="002E68E9">
        <w:rPr>
          <w:rFonts w:ascii="Times New Roman" w:hAnsi="Times New Roman"/>
          <w:sz w:val="24"/>
          <w:szCs w:val="24"/>
        </w:rPr>
        <w:t>value</w:t>
      </w:r>
      <w:r>
        <w:rPr>
          <w:rFonts w:ascii="Times New Roman" w:hAnsi="Times New Roman"/>
          <w:sz w:val="24"/>
          <w:szCs w:val="24"/>
        </w:rPr>
        <w:t xml:space="preserve"> test</w:t>
      </w:r>
      <w:r w:rsidRPr="002E68E9">
        <w:rPr>
          <w:rFonts w:ascii="Times New Roman" w:hAnsi="Times New Roman"/>
          <w:sz w:val="24"/>
          <w:szCs w:val="24"/>
        </w:rPr>
        <w:t xml:space="preserve">, the null hypothesis is that there are r cointegrating vectors while the alternative hypotheses are </w:t>
      </w:r>
      <w:r w:rsidRPr="000C1538">
        <w:rPr>
          <w:rFonts w:ascii="Times New Roman" w:hAnsi="Times New Roman"/>
          <w:i/>
          <w:sz w:val="24"/>
          <w:szCs w:val="24"/>
        </w:rPr>
        <w:t>r+1</w:t>
      </w:r>
      <w:r w:rsidRPr="002E68E9">
        <w:rPr>
          <w:rFonts w:ascii="Times New Roman" w:hAnsi="Times New Roman"/>
          <w:sz w:val="24"/>
          <w:szCs w:val="24"/>
        </w:rPr>
        <w:t xml:space="preserve"> and at least </w:t>
      </w:r>
      <w:r w:rsidRPr="000C1538">
        <w:rPr>
          <w:rFonts w:ascii="Times New Roman" w:hAnsi="Times New Roman"/>
          <w:i/>
          <w:sz w:val="24"/>
          <w:szCs w:val="24"/>
        </w:rPr>
        <w:t>r+1</w:t>
      </w:r>
      <w:r w:rsidRPr="002E68E9">
        <w:rPr>
          <w:rFonts w:ascii="Times New Roman" w:hAnsi="Times New Roman"/>
          <w:sz w:val="24"/>
          <w:szCs w:val="24"/>
        </w:rPr>
        <w:t xml:space="preserve"> cointegrating vectors for the trace statistic</w:t>
      </w:r>
      <w:r>
        <w:rPr>
          <w:rFonts w:ascii="Times New Roman" w:hAnsi="Times New Roman"/>
          <w:sz w:val="24"/>
          <w:szCs w:val="24"/>
        </w:rPr>
        <w:t xml:space="preserve"> and max-eigen statistic</w:t>
      </w:r>
      <w:r w:rsidRPr="002E68E9">
        <w:rPr>
          <w:rFonts w:ascii="Times New Roman" w:hAnsi="Times New Roman"/>
          <w:sz w:val="24"/>
          <w:szCs w:val="24"/>
        </w:rPr>
        <w:t xml:space="preserve"> respectively. </w:t>
      </w:r>
      <w:r>
        <w:rPr>
          <w:rFonts w:ascii="Times New Roman" w:hAnsi="Times New Roman"/>
          <w:sz w:val="24"/>
          <w:szCs w:val="24"/>
        </w:rPr>
        <w:t>From the table</w:t>
      </w:r>
      <w:r w:rsidRPr="002E68E9">
        <w:rPr>
          <w:rFonts w:ascii="Times New Roman" w:hAnsi="Times New Roman"/>
          <w:sz w:val="24"/>
          <w:szCs w:val="24"/>
        </w:rPr>
        <w:t>, b</w:t>
      </w:r>
      <w:r>
        <w:rPr>
          <w:rFonts w:ascii="Times New Roman" w:hAnsi="Times New Roman"/>
          <w:sz w:val="24"/>
          <w:szCs w:val="24"/>
        </w:rPr>
        <w:t>oth the trace and the max-eigen</w:t>
      </w:r>
      <w:r w:rsidRPr="002E68E9">
        <w:rPr>
          <w:rFonts w:ascii="Times New Roman" w:hAnsi="Times New Roman"/>
          <w:sz w:val="24"/>
          <w:szCs w:val="24"/>
        </w:rPr>
        <w:t>value tests indicate</w:t>
      </w:r>
      <w:r w:rsidR="00AD25CA">
        <w:rPr>
          <w:rFonts w:ascii="Times New Roman" w:hAnsi="Times New Roman"/>
          <w:sz w:val="24"/>
          <w:szCs w:val="24"/>
        </w:rPr>
        <w:t>d</w:t>
      </w:r>
      <w:r w:rsidRPr="002E68E9">
        <w:rPr>
          <w:rFonts w:ascii="Times New Roman" w:hAnsi="Times New Roman"/>
          <w:sz w:val="24"/>
          <w:szCs w:val="24"/>
        </w:rPr>
        <w:t xml:space="preserve"> that there </w:t>
      </w:r>
      <w:r>
        <w:rPr>
          <w:rFonts w:ascii="Times New Roman" w:hAnsi="Times New Roman"/>
          <w:sz w:val="24"/>
          <w:szCs w:val="24"/>
        </w:rPr>
        <w:t>are two</w:t>
      </w:r>
      <w:r w:rsidRPr="002E68E9">
        <w:rPr>
          <w:rFonts w:ascii="Times New Roman" w:hAnsi="Times New Roman"/>
          <w:sz w:val="24"/>
          <w:szCs w:val="24"/>
        </w:rPr>
        <w:t xml:space="preserve"> cointegrating equations among the variables </w:t>
      </w:r>
    </w:p>
    <w:p w14:paraId="66339DC7" w14:textId="77777777" w:rsidR="005E1237" w:rsidRDefault="005E1237" w:rsidP="005E1237">
      <w:pPr>
        <w:pStyle w:val="NoSpacing"/>
        <w:rPr>
          <w:rFonts w:ascii="Times New Roman" w:hAnsi="Times New Roman"/>
          <w:sz w:val="24"/>
          <w:szCs w:val="24"/>
        </w:rPr>
      </w:pPr>
    </w:p>
    <w:p w14:paraId="7B6DAF1A" w14:textId="4DE1B041" w:rsidR="00AF73FA" w:rsidRDefault="00D31621" w:rsidP="005E1237">
      <w:pPr>
        <w:pStyle w:val="NoSpacing"/>
        <w:rPr>
          <w:rFonts w:ascii="Times New Roman" w:hAnsi="Times New Roman"/>
          <w:b/>
          <w:sz w:val="24"/>
          <w:szCs w:val="24"/>
        </w:rPr>
      </w:pPr>
      <w:r w:rsidRPr="002E68E9">
        <w:rPr>
          <w:rFonts w:ascii="Times New Roman" w:hAnsi="Times New Roman"/>
          <w:sz w:val="24"/>
          <w:szCs w:val="24"/>
        </w:rPr>
        <w:t>at 5% level of significance.</w:t>
      </w:r>
      <w:r w:rsidR="00AF73FA">
        <w:rPr>
          <w:rFonts w:ascii="Times New Roman" w:hAnsi="Times New Roman"/>
          <w:b/>
          <w:sz w:val="24"/>
          <w:szCs w:val="24"/>
        </w:rPr>
        <w:t xml:space="preserve"> </w:t>
      </w:r>
      <w:r w:rsidRPr="004F2AC4">
        <w:rPr>
          <w:rFonts w:ascii="Times New Roman" w:hAnsi="Times New Roman"/>
          <w:sz w:val="24"/>
          <w:szCs w:val="24"/>
        </w:rPr>
        <w:t>To determine the true cointegrating vectors from the Johansen test, we followed Arestis and Demetriades (1997) in normalizing each of the vectors on the variable for which a clear evidence of error correction is found</w:t>
      </w:r>
      <w:r>
        <w:rPr>
          <w:rFonts w:ascii="Times New Roman" w:hAnsi="Times New Roman"/>
          <w:sz w:val="24"/>
          <w:szCs w:val="24"/>
        </w:rPr>
        <w:t xml:space="preserve"> as shown in Table </w:t>
      </w:r>
      <w:r w:rsidR="00AD25CA">
        <w:rPr>
          <w:rFonts w:ascii="Times New Roman" w:hAnsi="Times New Roman"/>
          <w:sz w:val="24"/>
          <w:szCs w:val="24"/>
        </w:rPr>
        <w:t>11</w:t>
      </w:r>
      <w:r w:rsidRPr="004F2AC4">
        <w:rPr>
          <w:rFonts w:ascii="Times New Roman" w:hAnsi="Times New Roman"/>
          <w:sz w:val="24"/>
          <w:szCs w:val="24"/>
        </w:rPr>
        <w:t>.</w:t>
      </w:r>
    </w:p>
    <w:p w14:paraId="39E37175" w14:textId="77777777" w:rsidR="00AF73FA" w:rsidRPr="00AF73FA" w:rsidRDefault="00AF73FA" w:rsidP="005E1237">
      <w:pPr>
        <w:pStyle w:val="NoSpacing"/>
        <w:rPr>
          <w:rFonts w:ascii="Times New Roman" w:hAnsi="Times New Roman"/>
          <w:b/>
          <w:sz w:val="14"/>
          <w:szCs w:val="24"/>
        </w:rPr>
      </w:pPr>
    </w:p>
    <w:p w14:paraId="3B5C92A7" w14:textId="77777777" w:rsidR="005E1237" w:rsidRDefault="005E1237" w:rsidP="00EA7F85">
      <w:pPr>
        <w:pStyle w:val="NoSpacing"/>
        <w:jc w:val="both"/>
        <w:rPr>
          <w:rFonts w:ascii="Times New Roman" w:hAnsi="Times New Roman"/>
          <w:b/>
          <w:bCs/>
          <w:sz w:val="24"/>
          <w:szCs w:val="24"/>
        </w:rPr>
        <w:sectPr w:rsidR="005E1237" w:rsidSect="005E1237">
          <w:type w:val="continuous"/>
          <w:pgSz w:w="12240" w:h="15840"/>
          <w:pgMar w:top="1135" w:right="1440" w:bottom="1440" w:left="1440" w:header="720" w:footer="720" w:gutter="0"/>
          <w:cols w:num="2" w:space="720"/>
          <w:docGrid w:linePitch="360"/>
        </w:sectPr>
      </w:pPr>
    </w:p>
    <w:p w14:paraId="0BA0445D" w14:textId="77777777" w:rsidR="005E1237" w:rsidRDefault="005E1237" w:rsidP="00EA7F85">
      <w:pPr>
        <w:pStyle w:val="NoSpacing"/>
        <w:jc w:val="both"/>
        <w:rPr>
          <w:rFonts w:ascii="Times New Roman" w:hAnsi="Times New Roman"/>
          <w:b/>
          <w:bCs/>
          <w:sz w:val="24"/>
          <w:szCs w:val="24"/>
        </w:rPr>
      </w:pPr>
    </w:p>
    <w:p w14:paraId="1A554799" w14:textId="77777777" w:rsidR="005E1237" w:rsidRDefault="005E1237" w:rsidP="00EA7F85">
      <w:pPr>
        <w:pStyle w:val="NoSpacing"/>
        <w:jc w:val="both"/>
        <w:rPr>
          <w:rFonts w:ascii="Times New Roman" w:hAnsi="Times New Roman"/>
          <w:b/>
          <w:bCs/>
          <w:sz w:val="24"/>
          <w:szCs w:val="24"/>
        </w:rPr>
      </w:pPr>
    </w:p>
    <w:p w14:paraId="5EDCDF4F" w14:textId="77777777" w:rsidR="005E1237" w:rsidRDefault="005E1237" w:rsidP="00EA7F85">
      <w:pPr>
        <w:pStyle w:val="NoSpacing"/>
        <w:jc w:val="both"/>
        <w:rPr>
          <w:rFonts w:ascii="Times New Roman" w:hAnsi="Times New Roman"/>
          <w:b/>
          <w:bCs/>
          <w:sz w:val="24"/>
          <w:szCs w:val="24"/>
        </w:rPr>
      </w:pPr>
    </w:p>
    <w:p w14:paraId="0E77B692" w14:textId="77777777" w:rsidR="005E1237" w:rsidRDefault="005E1237" w:rsidP="00EA7F85">
      <w:pPr>
        <w:pStyle w:val="NoSpacing"/>
        <w:jc w:val="both"/>
        <w:rPr>
          <w:rFonts w:ascii="Times New Roman" w:hAnsi="Times New Roman"/>
          <w:b/>
          <w:bCs/>
          <w:sz w:val="24"/>
          <w:szCs w:val="24"/>
        </w:rPr>
      </w:pPr>
    </w:p>
    <w:p w14:paraId="65845677" w14:textId="5A6FCF7C" w:rsidR="00D31621" w:rsidRPr="00380EC4" w:rsidRDefault="00D31621" w:rsidP="00EA7F85">
      <w:pPr>
        <w:pStyle w:val="NoSpacing"/>
        <w:jc w:val="both"/>
        <w:rPr>
          <w:rFonts w:ascii="Times New Roman" w:hAnsi="Times New Roman"/>
          <w:b/>
          <w:bCs/>
          <w:sz w:val="24"/>
          <w:szCs w:val="24"/>
        </w:rPr>
      </w:pPr>
      <w:r w:rsidRPr="004F2AC4">
        <w:rPr>
          <w:rFonts w:ascii="Times New Roman" w:hAnsi="Times New Roman"/>
          <w:b/>
          <w:bCs/>
          <w:sz w:val="24"/>
          <w:szCs w:val="24"/>
        </w:rPr>
        <w:lastRenderedPageBreak/>
        <w:t xml:space="preserve">Table </w:t>
      </w:r>
      <w:r w:rsidR="00AD25CA">
        <w:rPr>
          <w:rFonts w:ascii="Times New Roman" w:hAnsi="Times New Roman"/>
          <w:b/>
          <w:bCs/>
          <w:sz w:val="24"/>
          <w:szCs w:val="24"/>
        </w:rPr>
        <w:t>11</w:t>
      </w:r>
      <w:r w:rsidRPr="004F2AC4">
        <w:rPr>
          <w:rFonts w:ascii="Times New Roman" w:hAnsi="Times New Roman"/>
          <w:b/>
          <w:bCs/>
          <w:sz w:val="24"/>
          <w:szCs w:val="24"/>
        </w:rPr>
        <w:t>: VECM Results before Normalization, indicating the T</w:t>
      </w:r>
      <w:r>
        <w:rPr>
          <w:rFonts w:ascii="Times New Roman" w:hAnsi="Times New Roman"/>
          <w:b/>
          <w:bCs/>
          <w:sz w:val="24"/>
          <w:szCs w:val="24"/>
        </w:rPr>
        <w:t>wo</w:t>
      </w:r>
      <w:r w:rsidRPr="004F2AC4">
        <w:rPr>
          <w:rFonts w:ascii="Times New Roman" w:hAnsi="Times New Roman"/>
          <w:b/>
          <w:bCs/>
          <w:sz w:val="24"/>
          <w:szCs w:val="24"/>
        </w:rPr>
        <w:t xml:space="preserve"> </w:t>
      </w:r>
      <w:r>
        <w:rPr>
          <w:rFonts w:ascii="Times New Roman" w:hAnsi="Times New Roman"/>
          <w:b/>
          <w:bCs/>
          <w:sz w:val="24"/>
          <w:szCs w:val="24"/>
        </w:rPr>
        <w:t xml:space="preserve">Cointegrating </w:t>
      </w:r>
      <w:r w:rsidRPr="004F2AC4">
        <w:rPr>
          <w:rFonts w:ascii="Times New Roman" w:hAnsi="Times New Roman"/>
          <w:b/>
          <w:bCs/>
          <w:sz w:val="24"/>
          <w:szCs w:val="24"/>
        </w:rPr>
        <w:t>Vectors before Normalization</w:t>
      </w:r>
    </w:p>
    <w:tbl>
      <w:tblPr>
        <w:tblW w:w="9585" w:type="dxa"/>
        <w:tblInd w:w="810" w:type="dxa"/>
        <w:tblLayout w:type="fixed"/>
        <w:tblCellMar>
          <w:left w:w="0" w:type="dxa"/>
          <w:right w:w="0" w:type="dxa"/>
        </w:tblCellMar>
        <w:tblLook w:val="0000" w:firstRow="0" w:lastRow="0" w:firstColumn="0" w:lastColumn="0" w:noHBand="0" w:noVBand="0"/>
      </w:tblPr>
      <w:tblGrid>
        <w:gridCol w:w="1254"/>
        <w:gridCol w:w="1075"/>
        <w:gridCol w:w="1165"/>
        <w:gridCol w:w="1075"/>
        <w:gridCol w:w="1075"/>
        <w:gridCol w:w="1075"/>
        <w:gridCol w:w="985"/>
        <w:gridCol w:w="896"/>
        <w:gridCol w:w="985"/>
      </w:tblGrid>
      <w:tr w:rsidR="00D31621" w:rsidRPr="00BA3ED1" w14:paraId="496505E4" w14:textId="77777777" w:rsidTr="005E1237">
        <w:trPr>
          <w:trHeight w:val="280"/>
        </w:trPr>
        <w:tc>
          <w:tcPr>
            <w:tcW w:w="3494" w:type="dxa"/>
            <w:gridSpan w:val="3"/>
            <w:tcBorders>
              <w:top w:val="nil"/>
              <w:left w:val="nil"/>
              <w:bottom w:val="nil"/>
              <w:right w:val="nil"/>
            </w:tcBorders>
            <w:vAlign w:val="bottom"/>
          </w:tcPr>
          <w:p w14:paraId="20F5FF94"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Vector Error Correction Estimates</w:t>
            </w:r>
          </w:p>
        </w:tc>
        <w:tc>
          <w:tcPr>
            <w:tcW w:w="1075" w:type="dxa"/>
            <w:tcBorders>
              <w:top w:val="nil"/>
              <w:left w:val="nil"/>
              <w:bottom w:val="nil"/>
              <w:right w:val="nil"/>
            </w:tcBorders>
            <w:vAlign w:val="bottom"/>
          </w:tcPr>
          <w:p w14:paraId="185A9D45"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67502500"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08A84F0A"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3BECE489"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896" w:type="dxa"/>
            <w:tcBorders>
              <w:top w:val="nil"/>
              <w:left w:val="nil"/>
              <w:bottom w:val="nil"/>
              <w:right w:val="nil"/>
            </w:tcBorders>
            <w:vAlign w:val="bottom"/>
          </w:tcPr>
          <w:p w14:paraId="0A083490"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77D53527"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r>
      <w:tr w:rsidR="00D31621" w:rsidRPr="00BA3ED1" w14:paraId="41E5E716" w14:textId="77777777" w:rsidTr="005E1237">
        <w:trPr>
          <w:trHeight w:hRule="exact" w:val="111"/>
        </w:trPr>
        <w:tc>
          <w:tcPr>
            <w:tcW w:w="1254" w:type="dxa"/>
            <w:tcBorders>
              <w:top w:val="nil"/>
              <w:left w:val="nil"/>
              <w:bottom w:val="double" w:sz="6" w:space="2" w:color="auto"/>
              <w:right w:val="nil"/>
            </w:tcBorders>
            <w:vAlign w:val="bottom"/>
          </w:tcPr>
          <w:p w14:paraId="439FC4E2"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double" w:sz="6" w:space="2" w:color="auto"/>
              <w:right w:val="nil"/>
            </w:tcBorders>
            <w:vAlign w:val="bottom"/>
          </w:tcPr>
          <w:p w14:paraId="6350EFC3"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164" w:type="dxa"/>
            <w:tcBorders>
              <w:top w:val="nil"/>
              <w:left w:val="nil"/>
              <w:bottom w:val="double" w:sz="6" w:space="2" w:color="auto"/>
              <w:right w:val="nil"/>
            </w:tcBorders>
            <w:vAlign w:val="bottom"/>
          </w:tcPr>
          <w:p w14:paraId="330AE7A1"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double" w:sz="6" w:space="2" w:color="auto"/>
              <w:right w:val="nil"/>
            </w:tcBorders>
            <w:vAlign w:val="bottom"/>
          </w:tcPr>
          <w:p w14:paraId="4464D285"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double" w:sz="6" w:space="2" w:color="auto"/>
              <w:right w:val="nil"/>
            </w:tcBorders>
            <w:vAlign w:val="bottom"/>
          </w:tcPr>
          <w:p w14:paraId="6AED19A5"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double" w:sz="6" w:space="2" w:color="auto"/>
              <w:right w:val="nil"/>
            </w:tcBorders>
            <w:vAlign w:val="bottom"/>
          </w:tcPr>
          <w:p w14:paraId="24FDCD46"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double" w:sz="6" w:space="2" w:color="auto"/>
              <w:right w:val="nil"/>
            </w:tcBorders>
            <w:vAlign w:val="bottom"/>
          </w:tcPr>
          <w:p w14:paraId="37B8B37F"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896" w:type="dxa"/>
            <w:tcBorders>
              <w:top w:val="nil"/>
              <w:left w:val="nil"/>
              <w:bottom w:val="double" w:sz="6" w:space="2" w:color="auto"/>
              <w:right w:val="nil"/>
            </w:tcBorders>
            <w:vAlign w:val="bottom"/>
          </w:tcPr>
          <w:p w14:paraId="43CAEA66"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double" w:sz="6" w:space="2" w:color="auto"/>
              <w:right w:val="nil"/>
            </w:tcBorders>
            <w:vAlign w:val="bottom"/>
          </w:tcPr>
          <w:p w14:paraId="5A8F2E09"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r>
      <w:tr w:rsidR="00D31621" w:rsidRPr="00BA3ED1" w14:paraId="6A6B1827" w14:textId="77777777" w:rsidTr="005E1237">
        <w:trPr>
          <w:trHeight w:hRule="exact" w:val="168"/>
        </w:trPr>
        <w:tc>
          <w:tcPr>
            <w:tcW w:w="1254" w:type="dxa"/>
            <w:tcBorders>
              <w:top w:val="nil"/>
              <w:left w:val="nil"/>
              <w:bottom w:val="nil"/>
              <w:right w:val="nil"/>
            </w:tcBorders>
            <w:vAlign w:val="bottom"/>
          </w:tcPr>
          <w:p w14:paraId="2BDF0C56"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26E914D0"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164" w:type="dxa"/>
            <w:tcBorders>
              <w:top w:val="nil"/>
              <w:left w:val="nil"/>
              <w:bottom w:val="nil"/>
              <w:right w:val="nil"/>
            </w:tcBorders>
            <w:vAlign w:val="bottom"/>
          </w:tcPr>
          <w:p w14:paraId="56D033AC"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0C5B2B99"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20A44574"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590947CF"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5414B3C7"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896" w:type="dxa"/>
            <w:tcBorders>
              <w:top w:val="nil"/>
              <w:left w:val="nil"/>
              <w:bottom w:val="nil"/>
              <w:right w:val="nil"/>
            </w:tcBorders>
            <w:vAlign w:val="bottom"/>
          </w:tcPr>
          <w:p w14:paraId="3941C27E"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2ACF3683"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r>
      <w:tr w:rsidR="00D31621" w:rsidRPr="00BA3ED1" w14:paraId="64006011" w14:textId="77777777" w:rsidTr="005E1237">
        <w:trPr>
          <w:trHeight w:val="280"/>
        </w:trPr>
        <w:tc>
          <w:tcPr>
            <w:tcW w:w="1254" w:type="dxa"/>
            <w:tcBorders>
              <w:top w:val="nil"/>
              <w:left w:val="nil"/>
              <w:bottom w:val="nil"/>
              <w:right w:val="nil"/>
            </w:tcBorders>
            <w:vAlign w:val="bottom"/>
          </w:tcPr>
          <w:p w14:paraId="298A84D5"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Cointegrating Eq: </w:t>
            </w:r>
          </w:p>
        </w:tc>
        <w:tc>
          <w:tcPr>
            <w:tcW w:w="1075" w:type="dxa"/>
            <w:tcBorders>
              <w:top w:val="nil"/>
              <w:left w:val="nil"/>
              <w:bottom w:val="nil"/>
              <w:right w:val="nil"/>
            </w:tcBorders>
            <w:vAlign w:val="bottom"/>
          </w:tcPr>
          <w:p w14:paraId="4216B21A"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CointEq1</w:t>
            </w:r>
          </w:p>
        </w:tc>
        <w:tc>
          <w:tcPr>
            <w:tcW w:w="1164" w:type="dxa"/>
            <w:tcBorders>
              <w:top w:val="nil"/>
              <w:left w:val="nil"/>
              <w:bottom w:val="nil"/>
              <w:right w:val="nil"/>
            </w:tcBorders>
            <w:vAlign w:val="bottom"/>
          </w:tcPr>
          <w:p w14:paraId="7BBB574C"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CointEq2</w:t>
            </w:r>
          </w:p>
        </w:tc>
        <w:tc>
          <w:tcPr>
            <w:tcW w:w="1075" w:type="dxa"/>
            <w:tcBorders>
              <w:top w:val="nil"/>
              <w:left w:val="nil"/>
              <w:bottom w:val="nil"/>
              <w:right w:val="nil"/>
            </w:tcBorders>
            <w:vAlign w:val="bottom"/>
          </w:tcPr>
          <w:p w14:paraId="5D11063A"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7128D694"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46BCE11A"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57148DAB"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896" w:type="dxa"/>
            <w:tcBorders>
              <w:top w:val="nil"/>
              <w:left w:val="nil"/>
              <w:bottom w:val="nil"/>
              <w:right w:val="nil"/>
            </w:tcBorders>
            <w:vAlign w:val="bottom"/>
          </w:tcPr>
          <w:p w14:paraId="4A8BB030"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6BF2FDD2"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r>
      <w:tr w:rsidR="00D31621" w:rsidRPr="00BA3ED1" w14:paraId="5F75A03F" w14:textId="77777777" w:rsidTr="005E1237">
        <w:trPr>
          <w:trHeight w:hRule="exact" w:val="111"/>
        </w:trPr>
        <w:tc>
          <w:tcPr>
            <w:tcW w:w="1254" w:type="dxa"/>
            <w:tcBorders>
              <w:top w:val="nil"/>
              <w:left w:val="nil"/>
              <w:bottom w:val="double" w:sz="6" w:space="2" w:color="auto"/>
              <w:right w:val="nil"/>
            </w:tcBorders>
            <w:vAlign w:val="bottom"/>
          </w:tcPr>
          <w:p w14:paraId="7D7252E6"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double" w:sz="6" w:space="2" w:color="auto"/>
              <w:right w:val="nil"/>
            </w:tcBorders>
            <w:vAlign w:val="bottom"/>
          </w:tcPr>
          <w:p w14:paraId="25E342E2"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164" w:type="dxa"/>
            <w:tcBorders>
              <w:top w:val="nil"/>
              <w:left w:val="nil"/>
              <w:bottom w:val="double" w:sz="6" w:space="2" w:color="auto"/>
              <w:right w:val="nil"/>
            </w:tcBorders>
            <w:vAlign w:val="bottom"/>
          </w:tcPr>
          <w:p w14:paraId="1A899F5C"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double" w:sz="6" w:space="2" w:color="auto"/>
              <w:right w:val="nil"/>
            </w:tcBorders>
            <w:vAlign w:val="bottom"/>
          </w:tcPr>
          <w:p w14:paraId="2CB35C4C"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double" w:sz="6" w:space="2" w:color="auto"/>
              <w:right w:val="nil"/>
            </w:tcBorders>
            <w:vAlign w:val="bottom"/>
          </w:tcPr>
          <w:p w14:paraId="77E89B35"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double" w:sz="6" w:space="2" w:color="auto"/>
              <w:right w:val="nil"/>
            </w:tcBorders>
            <w:vAlign w:val="bottom"/>
          </w:tcPr>
          <w:p w14:paraId="31974B06"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double" w:sz="6" w:space="2" w:color="auto"/>
              <w:right w:val="nil"/>
            </w:tcBorders>
            <w:vAlign w:val="bottom"/>
          </w:tcPr>
          <w:p w14:paraId="1425E7F2"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896" w:type="dxa"/>
            <w:tcBorders>
              <w:top w:val="nil"/>
              <w:left w:val="nil"/>
              <w:bottom w:val="double" w:sz="6" w:space="2" w:color="auto"/>
              <w:right w:val="nil"/>
            </w:tcBorders>
            <w:vAlign w:val="bottom"/>
          </w:tcPr>
          <w:p w14:paraId="0D3FDC53"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double" w:sz="6" w:space="2" w:color="auto"/>
              <w:right w:val="nil"/>
            </w:tcBorders>
            <w:vAlign w:val="bottom"/>
          </w:tcPr>
          <w:p w14:paraId="65F41279"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r>
      <w:tr w:rsidR="00D31621" w:rsidRPr="00BA3ED1" w14:paraId="5FDA4AD4" w14:textId="77777777" w:rsidTr="005E1237">
        <w:trPr>
          <w:trHeight w:hRule="exact" w:val="168"/>
        </w:trPr>
        <w:tc>
          <w:tcPr>
            <w:tcW w:w="1254" w:type="dxa"/>
            <w:tcBorders>
              <w:top w:val="nil"/>
              <w:left w:val="nil"/>
              <w:bottom w:val="nil"/>
              <w:right w:val="nil"/>
            </w:tcBorders>
            <w:vAlign w:val="bottom"/>
          </w:tcPr>
          <w:p w14:paraId="3E916721"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6B2E3973"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164" w:type="dxa"/>
            <w:tcBorders>
              <w:top w:val="nil"/>
              <w:left w:val="nil"/>
              <w:bottom w:val="nil"/>
              <w:right w:val="nil"/>
            </w:tcBorders>
            <w:vAlign w:val="bottom"/>
          </w:tcPr>
          <w:p w14:paraId="675ED029"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3B649793"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1D17C4B6"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33E23995"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08C7DD34"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896" w:type="dxa"/>
            <w:tcBorders>
              <w:top w:val="nil"/>
              <w:left w:val="nil"/>
              <w:bottom w:val="nil"/>
              <w:right w:val="nil"/>
            </w:tcBorders>
            <w:vAlign w:val="bottom"/>
          </w:tcPr>
          <w:p w14:paraId="767DBFB8"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51310003"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r>
      <w:tr w:rsidR="00D31621" w:rsidRPr="00BA3ED1" w14:paraId="324B4930" w14:textId="77777777" w:rsidTr="005E1237">
        <w:trPr>
          <w:trHeight w:val="280"/>
        </w:trPr>
        <w:tc>
          <w:tcPr>
            <w:tcW w:w="1254" w:type="dxa"/>
            <w:tcBorders>
              <w:top w:val="nil"/>
              <w:left w:val="nil"/>
              <w:bottom w:val="nil"/>
              <w:right w:val="nil"/>
            </w:tcBorders>
            <w:vAlign w:val="bottom"/>
          </w:tcPr>
          <w:p w14:paraId="54759BC1"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RGDP(-1)</w:t>
            </w:r>
          </w:p>
        </w:tc>
        <w:tc>
          <w:tcPr>
            <w:tcW w:w="1075" w:type="dxa"/>
            <w:tcBorders>
              <w:top w:val="nil"/>
              <w:left w:val="nil"/>
              <w:bottom w:val="nil"/>
              <w:right w:val="nil"/>
            </w:tcBorders>
            <w:vAlign w:val="bottom"/>
          </w:tcPr>
          <w:p w14:paraId="3EE514CE"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1.000000</w:t>
            </w:r>
          </w:p>
        </w:tc>
        <w:tc>
          <w:tcPr>
            <w:tcW w:w="1164" w:type="dxa"/>
            <w:tcBorders>
              <w:top w:val="nil"/>
              <w:left w:val="nil"/>
              <w:bottom w:val="nil"/>
              <w:right w:val="nil"/>
            </w:tcBorders>
            <w:vAlign w:val="bottom"/>
          </w:tcPr>
          <w:p w14:paraId="755BE691"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0.000000</w:t>
            </w:r>
          </w:p>
        </w:tc>
        <w:tc>
          <w:tcPr>
            <w:tcW w:w="1075" w:type="dxa"/>
            <w:tcBorders>
              <w:top w:val="nil"/>
              <w:left w:val="nil"/>
              <w:bottom w:val="nil"/>
              <w:right w:val="nil"/>
            </w:tcBorders>
            <w:vAlign w:val="bottom"/>
          </w:tcPr>
          <w:p w14:paraId="61A950AB"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3788A409"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1009C709"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62256EF9"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896" w:type="dxa"/>
            <w:tcBorders>
              <w:top w:val="nil"/>
              <w:left w:val="nil"/>
              <w:bottom w:val="nil"/>
              <w:right w:val="nil"/>
            </w:tcBorders>
            <w:vAlign w:val="bottom"/>
          </w:tcPr>
          <w:p w14:paraId="511F23F8"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32B3AEF2"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r>
      <w:tr w:rsidR="00D31621" w:rsidRPr="00BA3ED1" w14:paraId="5BD3D531" w14:textId="77777777" w:rsidTr="005E1237">
        <w:trPr>
          <w:trHeight w:val="280"/>
        </w:trPr>
        <w:tc>
          <w:tcPr>
            <w:tcW w:w="1254" w:type="dxa"/>
            <w:tcBorders>
              <w:top w:val="nil"/>
              <w:left w:val="nil"/>
              <w:bottom w:val="nil"/>
              <w:right w:val="nil"/>
            </w:tcBorders>
            <w:vAlign w:val="bottom"/>
          </w:tcPr>
          <w:p w14:paraId="0D439706"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750579D3"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164" w:type="dxa"/>
            <w:tcBorders>
              <w:top w:val="nil"/>
              <w:left w:val="nil"/>
              <w:bottom w:val="nil"/>
              <w:right w:val="nil"/>
            </w:tcBorders>
            <w:vAlign w:val="bottom"/>
          </w:tcPr>
          <w:p w14:paraId="6E1F79C7"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488FB750"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4C7840D1"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3C5B7A14"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1C67172D"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896" w:type="dxa"/>
            <w:tcBorders>
              <w:top w:val="nil"/>
              <w:left w:val="nil"/>
              <w:bottom w:val="nil"/>
              <w:right w:val="nil"/>
            </w:tcBorders>
            <w:vAlign w:val="bottom"/>
          </w:tcPr>
          <w:p w14:paraId="39F0DEE2"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68A34D28"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r>
      <w:tr w:rsidR="00D31621" w:rsidRPr="00BA3ED1" w14:paraId="1EE4131E" w14:textId="77777777" w:rsidTr="005E1237">
        <w:trPr>
          <w:trHeight w:val="280"/>
        </w:trPr>
        <w:tc>
          <w:tcPr>
            <w:tcW w:w="1254" w:type="dxa"/>
            <w:tcBorders>
              <w:top w:val="nil"/>
              <w:left w:val="nil"/>
              <w:bottom w:val="nil"/>
              <w:right w:val="nil"/>
            </w:tcBorders>
            <w:vAlign w:val="bottom"/>
          </w:tcPr>
          <w:p w14:paraId="68A69496"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M2GDP(-1)</w:t>
            </w:r>
          </w:p>
        </w:tc>
        <w:tc>
          <w:tcPr>
            <w:tcW w:w="1075" w:type="dxa"/>
            <w:tcBorders>
              <w:top w:val="nil"/>
              <w:left w:val="nil"/>
              <w:bottom w:val="nil"/>
              <w:right w:val="nil"/>
            </w:tcBorders>
            <w:vAlign w:val="bottom"/>
          </w:tcPr>
          <w:p w14:paraId="599F2BE3"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0.000000</w:t>
            </w:r>
          </w:p>
        </w:tc>
        <w:tc>
          <w:tcPr>
            <w:tcW w:w="1164" w:type="dxa"/>
            <w:tcBorders>
              <w:top w:val="nil"/>
              <w:left w:val="nil"/>
              <w:bottom w:val="nil"/>
              <w:right w:val="nil"/>
            </w:tcBorders>
            <w:vAlign w:val="bottom"/>
          </w:tcPr>
          <w:p w14:paraId="4A6384CC"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1.000000</w:t>
            </w:r>
          </w:p>
        </w:tc>
        <w:tc>
          <w:tcPr>
            <w:tcW w:w="1075" w:type="dxa"/>
            <w:tcBorders>
              <w:top w:val="nil"/>
              <w:left w:val="nil"/>
              <w:bottom w:val="nil"/>
              <w:right w:val="nil"/>
            </w:tcBorders>
            <w:vAlign w:val="bottom"/>
          </w:tcPr>
          <w:p w14:paraId="66EA5E13"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4827E22F"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3D1CF267"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1A8C1E48"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896" w:type="dxa"/>
            <w:tcBorders>
              <w:top w:val="nil"/>
              <w:left w:val="nil"/>
              <w:bottom w:val="nil"/>
              <w:right w:val="nil"/>
            </w:tcBorders>
            <w:vAlign w:val="bottom"/>
          </w:tcPr>
          <w:p w14:paraId="0C7260DD"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1AFAB450"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r>
      <w:tr w:rsidR="00D31621" w:rsidRPr="00BA3ED1" w14:paraId="7A41929D" w14:textId="77777777" w:rsidTr="005E1237">
        <w:trPr>
          <w:trHeight w:val="280"/>
        </w:trPr>
        <w:tc>
          <w:tcPr>
            <w:tcW w:w="1254" w:type="dxa"/>
            <w:tcBorders>
              <w:top w:val="nil"/>
              <w:left w:val="nil"/>
              <w:bottom w:val="nil"/>
              <w:right w:val="nil"/>
            </w:tcBorders>
            <w:vAlign w:val="bottom"/>
          </w:tcPr>
          <w:p w14:paraId="2EBE2643"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4FCEB34D"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164" w:type="dxa"/>
            <w:tcBorders>
              <w:top w:val="nil"/>
              <w:left w:val="nil"/>
              <w:bottom w:val="nil"/>
              <w:right w:val="nil"/>
            </w:tcBorders>
            <w:vAlign w:val="bottom"/>
          </w:tcPr>
          <w:p w14:paraId="47C17E71"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651C9D59"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15CD598B"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01F0E6CB"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11D29D31"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896" w:type="dxa"/>
            <w:tcBorders>
              <w:top w:val="nil"/>
              <w:left w:val="nil"/>
              <w:bottom w:val="nil"/>
              <w:right w:val="nil"/>
            </w:tcBorders>
            <w:vAlign w:val="bottom"/>
          </w:tcPr>
          <w:p w14:paraId="57E5110E"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09CC3608"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r>
      <w:tr w:rsidR="00D31621" w:rsidRPr="00BA3ED1" w14:paraId="7277AC32" w14:textId="77777777" w:rsidTr="005E1237">
        <w:trPr>
          <w:trHeight w:val="280"/>
        </w:trPr>
        <w:tc>
          <w:tcPr>
            <w:tcW w:w="1254" w:type="dxa"/>
            <w:tcBorders>
              <w:top w:val="nil"/>
              <w:left w:val="nil"/>
              <w:bottom w:val="nil"/>
              <w:right w:val="nil"/>
            </w:tcBorders>
            <w:vAlign w:val="bottom"/>
          </w:tcPr>
          <w:p w14:paraId="40A29CB4"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PTDS(-1)</w:t>
            </w:r>
          </w:p>
        </w:tc>
        <w:tc>
          <w:tcPr>
            <w:tcW w:w="1075" w:type="dxa"/>
            <w:tcBorders>
              <w:top w:val="nil"/>
              <w:left w:val="nil"/>
              <w:bottom w:val="nil"/>
              <w:right w:val="nil"/>
            </w:tcBorders>
            <w:vAlign w:val="bottom"/>
          </w:tcPr>
          <w:p w14:paraId="39626F0C"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-3.446220</w:t>
            </w:r>
          </w:p>
        </w:tc>
        <w:tc>
          <w:tcPr>
            <w:tcW w:w="1164" w:type="dxa"/>
            <w:tcBorders>
              <w:top w:val="nil"/>
              <w:left w:val="nil"/>
              <w:bottom w:val="nil"/>
              <w:right w:val="nil"/>
            </w:tcBorders>
            <w:vAlign w:val="bottom"/>
          </w:tcPr>
          <w:p w14:paraId="104AE80B"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-9.333668</w:t>
            </w:r>
          </w:p>
        </w:tc>
        <w:tc>
          <w:tcPr>
            <w:tcW w:w="1075" w:type="dxa"/>
            <w:tcBorders>
              <w:top w:val="nil"/>
              <w:left w:val="nil"/>
              <w:bottom w:val="nil"/>
              <w:right w:val="nil"/>
            </w:tcBorders>
            <w:vAlign w:val="bottom"/>
          </w:tcPr>
          <w:p w14:paraId="24B4A8D1"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41BD23F5"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1019332A"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31CC9ED6"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896" w:type="dxa"/>
            <w:tcBorders>
              <w:top w:val="nil"/>
              <w:left w:val="nil"/>
              <w:bottom w:val="nil"/>
              <w:right w:val="nil"/>
            </w:tcBorders>
            <w:vAlign w:val="bottom"/>
          </w:tcPr>
          <w:p w14:paraId="11F643A6"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2F8DEADB"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r>
      <w:tr w:rsidR="00D31621" w:rsidRPr="00BA3ED1" w14:paraId="50752418" w14:textId="77777777" w:rsidTr="005E1237">
        <w:trPr>
          <w:trHeight w:val="280"/>
        </w:trPr>
        <w:tc>
          <w:tcPr>
            <w:tcW w:w="1254" w:type="dxa"/>
            <w:tcBorders>
              <w:top w:val="nil"/>
              <w:left w:val="nil"/>
              <w:bottom w:val="nil"/>
              <w:right w:val="nil"/>
            </w:tcBorders>
            <w:vAlign w:val="bottom"/>
          </w:tcPr>
          <w:p w14:paraId="7415F5CB"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098361DD"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(0.96215)</w:t>
            </w:r>
          </w:p>
        </w:tc>
        <w:tc>
          <w:tcPr>
            <w:tcW w:w="1164" w:type="dxa"/>
            <w:tcBorders>
              <w:top w:val="nil"/>
              <w:left w:val="nil"/>
              <w:bottom w:val="nil"/>
              <w:right w:val="nil"/>
            </w:tcBorders>
            <w:vAlign w:val="bottom"/>
          </w:tcPr>
          <w:p w14:paraId="104E0B2B"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(1.80229)</w:t>
            </w:r>
          </w:p>
        </w:tc>
        <w:tc>
          <w:tcPr>
            <w:tcW w:w="1075" w:type="dxa"/>
            <w:tcBorders>
              <w:top w:val="nil"/>
              <w:left w:val="nil"/>
              <w:bottom w:val="nil"/>
              <w:right w:val="nil"/>
            </w:tcBorders>
            <w:vAlign w:val="bottom"/>
          </w:tcPr>
          <w:p w14:paraId="1D0F26B9"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694D403A"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53A5D3AD"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1BB66F30"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896" w:type="dxa"/>
            <w:tcBorders>
              <w:top w:val="nil"/>
              <w:left w:val="nil"/>
              <w:bottom w:val="nil"/>
              <w:right w:val="nil"/>
            </w:tcBorders>
            <w:vAlign w:val="bottom"/>
          </w:tcPr>
          <w:p w14:paraId="40D44806"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2ADBE1E0"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r>
      <w:tr w:rsidR="00D31621" w:rsidRPr="00BA3ED1" w14:paraId="45C348F3" w14:textId="77777777" w:rsidTr="005E1237">
        <w:trPr>
          <w:trHeight w:val="280"/>
        </w:trPr>
        <w:tc>
          <w:tcPr>
            <w:tcW w:w="1254" w:type="dxa"/>
            <w:tcBorders>
              <w:top w:val="nil"/>
              <w:left w:val="nil"/>
              <w:bottom w:val="nil"/>
              <w:right w:val="nil"/>
            </w:tcBorders>
            <w:vAlign w:val="bottom"/>
          </w:tcPr>
          <w:p w14:paraId="38F67EC4"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6369FB12"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[-3.58180]</w:t>
            </w:r>
          </w:p>
        </w:tc>
        <w:tc>
          <w:tcPr>
            <w:tcW w:w="1164" w:type="dxa"/>
            <w:tcBorders>
              <w:top w:val="nil"/>
              <w:left w:val="nil"/>
              <w:bottom w:val="nil"/>
              <w:right w:val="nil"/>
            </w:tcBorders>
            <w:vAlign w:val="bottom"/>
          </w:tcPr>
          <w:p w14:paraId="73D1C185"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[-5.17877]</w:t>
            </w:r>
          </w:p>
        </w:tc>
        <w:tc>
          <w:tcPr>
            <w:tcW w:w="1075" w:type="dxa"/>
            <w:tcBorders>
              <w:top w:val="nil"/>
              <w:left w:val="nil"/>
              <w:bottom w:val="nil"/>
              <w:right w:val="nil"/>
            </w:tcBorders>
            <w:vAlign w:val="bottom"/>
          </w:tcPr>
          <w:p w14:paraId="50F9FF4E"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21C43412"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7F0E5D1E"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65174C25"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896" w:type="dxa"/>
            <w:tcBorders>
              <w:top w:val="nil"/>
              <w:left w:val="nil"/>
              <w:bottom w:val="nil"/>
              <w:right w:val="nil"/>
            </w:tcBorders>
            <w:vAlign w:val="bottom"/>
          </w:tcPr>
          <w:p w14:paraId="49D11835"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759A9140"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r>
      <w:tr w:rsidR="00D31621" w:rsidRPr="00BA3ED1" w14:paraId="49AD3D43" w14:textId="77777777" w:rsidTr="005E1237">
        <w:trPr>
          <w:trHeight w:val="280"/>
        </w:trPr>
        <w:tc>
          <w:tcPr>
            <w:tcW w:w="1254" w:type="dxa"/>
            <w:tcBorders>
              <w:top w:val="nil"/>
              <w:left w:val="nil"/>
              <w:bottom w:val="nil"/>
              <w:right w:val="nil"/>
            </w:tcBorders>
            <w:vAlign w:val="bottom"/>
          </w:tcPr>
          <w:p w14:paraId="6FD26020"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74BEA142"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164" w:type="dxa"/>
            <w:tcBorders>
              <w:top w:val="nil"/>
              <w:left w:val="nil"/>
              <w:bottom w:val="nil"/>
              <w:right w:val="nil"/>
            </w:tcBorders>
            <w:vAlign w:val="bottom"/>
          </w:tcPr>
          <w:p w14:paraId="503D6812"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5ECE678F"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2F67BDCE"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39E94E0B"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4663DD67"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896" w:type="dxa"/>
            <w:tcBorders>
              <w:top w:val="nil"/>
              <w:left w:val="nil"/>
              <w:bottom w:val="nil"/>
              <w:right w:val="nil"/>
            </w:tcBorders>
            <w:vAlign w:val="bottom"/>
          </w:tcPr>
          <w:p w14:paraId="0031975B"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098836DC"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r>
      <w:tr w:rsidR="00D31621" w:rsidRPr="00BA3ED1" w14:paraId="11153322" w14:textId="77777777" w:rsidTr="005E1237">
        <w:trPr>
          <w:trHeight w:val="280"/>
        </w:trPr>
        <w:tc>
          <w:tcPr>
            <w:tcW w:w="1254" w:type="dxa"/>
            <w:tcBorders>
              <w:top w:val="nil"/>
              <w:left w:val="nil"/>
              <w:bottom w:val="nil"/>
              <w:right w:val="nil"/>
            </w:tcBorders>
            <w:vAlign w:val="bottom"/>
          </w:tcPr>
          <w:p w14:paraId="1614030F"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LDS(-1)</w:t>
            </w:r>
          </w:p>
        </w:tc>
        <w:tc>
          <w:tcPr>
            <w:tcW w:w="1075" w:type="dxa"/>
            <w:tcBorders>
              <w:top w:val="nil"/>
              <w:left w:val="nil"/>
              <w:bottom w:val="nil"/>
              <w:right w:val="nil"/>
            </w:tcBorders>
            <w:vAlign w:val="bottom"/>
          </w:tcPr>
          <w:p w14:paraId="18C604D5"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-0.010294</w:t>
            </w:r>
          </w:p>
        </w:tc>
        <w:tc>
          <w:tcPr>
            <w:tcW w:w="1164" w:type="dxa"/>
            <w:tcBorders>
              <w:top w:val="nil"/>
              <w:left w:val="nil"/>
              <w:bottom w:val="nil"/>
              <w:right w:val="nil"/>
            </w:tcBorders>
            <w:vAlign w:val="bottom"/>
          </w:tcPr>
          <w:p w14:paraId="7FB4238F"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0.181769</w:t>
            </w:r>
          </w:p>
        </w:tc>
        <w:tc>
          <w:tcPr>
            <w:tcW w:w="1075" w:type="dxa"/>
            <w:tcBorders>
              <w:top w:val="nil"/>
              <w:left w:val="nil"/>
              <w:bottom w:val="nil"/>
              <w:right w:val="nil"/>
            </w:tcBorders>
            <w:vAlign w:val="bottom"/>
          </w:tcPr>
          <w:p w14:paraId="3CC53064"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73DE4783"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316A6EF7"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5B2FD5AB"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896" w:type="dxa"/>
            <w:tcBorders>
              <w:top w:val="nil"/>
              <w:left w:val="nil"/>
              <w:bottom w:val="nil"/>
              <w:right w:val="nil"/>
            </w:tcBorders>
            <w:vAlign w:val="bottom"/>
          </w:tcPr>
          <w:p w14:paraId="5524D617"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01360973"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r>
      <w:tr w:rsidR="00D31621" w:rsidRPr="00BA3ED1" w14:paraId="3859763D" w14:textId="77777777" w:rsidTr="005E1237">
        <w:trPr>
          <w:trHeight w:val="280"/>
        </w:trPr>
        <w:tc>
          <w:tcPr>
            <w:tcW w:w="1254" w:type="dxa"/>
            <w:tcBorders>
              <w:top w:val="nil"/>
              <w:left w:val="nil"/>
              <w:bottom w:val="nil"/>
              <w:right w:val="nil"/>
            </w:tcBorders>
            <w:vAlign w:val="bottom"/>
          </w:tcPr>
          <w:p w14:paraId="75575539"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326D680D"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(0.02195)</w:t>
            </w:r>
          </w:p>
        </w:tc>
        <w:tc>
          <w:tcPr>
            <w:tcW w:w="1164" w:type="dxa"/>
            <w:tcBorders>
              <w:top w:val="nil"/>
              <w:left w:val="nil"/>
              <w:bottom w:val="nil"/>
              <w:right w:val="nil"/>
            </w:tcBorders>
            <w:vAlign w:val="bottom"/>
          </w:tcPr>
          <w:p w14:paraId="2A3D9204"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(0.04112)</w:t>
            </w:r>
          </w:p>
        </w:tc>
        <w:tc>
          <w:tcPr>
            <w:tcW w:w="1075" w:type="dxa"/>
            <w:tcBorders>
              <w:top w:val="nil"/>
              <w:left w:val="nil"/>
              <w:bottom w:val="nil"/>
              <w:right w:val="nil"/>
            </w:tcBorders>
            <w:vAlign w:val="bottom"/>
          </w:tcPr>
          <w:p w14:paraId="17176E62"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78F271A7"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07FEFB86"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5C03EDDD"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896" w:type="dxa"/>
            <w:tcBorders>
              <w:top w:val="nil"/>
              <w:left w:val="nil"/>
              <w:bottom w:val="nil"/>
              <w:right w:val="nil"/>
            </w:tcBorders>
            <w:vAlign w:val="bottom"/>
          </w:tcPr>
          <w:p w14:paraId="1DC91B3E"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4726D8D6"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r>
      <w:tr w:rsidR="00D31621" w:rsidRPr="00BA3ED1" w14:paraId="05838E60" w14:textId="77777777" w:rsidTr="005E1237">
        <w:trPr>
          <w:trHeight w:val="280"/>
        </w:trPr>
        <w:tc>
          <w:tcPr>
            <w:tcW w:w="1254" w:type="dxa"/>
            <w:tcBorders>
              <w:top w:val="nil"/>
              <w:left w:val="nil"/>
              <w:bottom w:val="nil"/>
              <w:right w:val="nil"/>
            </w:tcBorders>
            <w:vAlign w:val="bottom"/>
          </w:tcPr>
          <w:p w14:paraId="5B19DC99"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0A30BCA4"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[-0.46890]</w:t>
            </w:r>
          </w:p>
        </w:tc>
        <w:tc>
          <w:tcPr>
            <w:tcW w:w="1164" w:type="dxa"/>
            <w:tcBorders>
              <w:top w:val="nil"/>
              <w:left w:val="nil"/>
              <w:bottom w:val="nil"/>
              <w:right w:val="nil"/>
            </w:tcBorders>
            <w:vAlign w:val="bottom"/>
          </w:tcPr>
          <w:p w14:paraId="0AC19801"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[ 4.42004]</w:t>
            </w:r>
          </w:p>
        </w:tc>
        <w:tc>
          <w:tcPr>
            <w:tcW w:w="1075" w:type="dxa"/>
            <w:tcBorders>
              <w:top w:val="nil"/>
              <w:left w:val="nil"/>
              <w:bottom w:val="nil"/>
              <w:right w:val="nil"/>
            </w:tcBorders>
            <w:vAlign w:val="bottom"/>
          </w:tcPr>
          <w:p w14:paraId="3FF10939"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1CFBA5A7"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7D0EB841"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38BF857B"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896" w:type="dxa"/>
            <w:tcBorders>
              <w:top w:val="nil"/>
              <w:left w:val="nil"/>
              <w:bottom w:val="nil"/>
              <w:right w:val="nil"/>
            </w:tcBorders>
            <w:vAlign w:val="bottom"/>
          </w:tcPr>
          <w:p w14:paraId="2670A0DE"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49D82EAD"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r>
      <w:tr w:rsidR="00D31621" w:rsidRPr="00BA3ED1" w14:paraId="6AC28C9F" w14:textId="77777777" w:rsidTr="005E1237">
        <w:trPr>
          <w:trHeight w:val="280"/>
        </w:trPr>
        <w:tc>
          <w:tcPr>
            <w:tcW w:w="1254" w:type="dxa"/>
            <w:tcBorders>
              <w:top w:val="nil"/>
              <w:left w:val="nil"/>
              <w:bottom w:val="nil"/>
              <w:right w:val="nil"/>
            </w:tcBorders>
            <w:vAlign w:val="bottom"/>
          </w:tcPr>
          <w:p w14:paraId="22F99F17"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5D590142"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164" w:type="dxa"/>
            <w:tcBorders>
              <w:top w:val="nil"/>
              <w:left w:val="nil"/>
              <w:bottom w:val="nil"/>
              <w:right w:val="nil"/>
            </w:tcBorders>
            <w:vAlign w:val="bottom"/>
          </w:tcPr>
          <w:p w14:paraId="3A921AE4"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121E7579"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358D51DD"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098A59E3"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1BA721B3"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896" w:type="dxa"/>
            <w:tcBorders>
              <w:top w:val="nil"/>
              <w:left w:val="nil"/>
              <w:bottom w:val="nil"/>
              <w:right w:val="nil"/>
            </w:tcBorders>
            <w:vAlign w:val="bottom"/>
          </w:tcPr>
          <w:p w14:paraId="75C48765"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0F8B36D0"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r>
      <w:tr w:rsidR="00D31621" w:rsidRPr="00BA3ED1" w14:paraId="75459176" w14:textId="77777777" w:rsidTr="005E1237">
        <w:trPr>
          <w:trHeight w:val="280"/>
        </w:trPr>
        <w:tc>
          <w:tcPr>
            <w:tcW w:w="1254" w:type="dxa"/>
            <w:tcBorders>
              <w:top w:val="nil"/>
              <w:left w:val="nil"/>
              <w:bottom w:val="nil"/>
              <w:right w:val="nil"/>
            </w:tcBorders>
            <w:vAlign w:val="bottom"/>
          </w:tcPr>
          <w:p w14:paraId="44999F68"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L</w:t>
            </w:r>
            <w:r w:rsidRPr="00BA3ED1">
              <w:rPr>
                <w:rFonts w:ascii="Arial" w:hAnsi="Arial" w:cs="Arial"/>
                <w:color w:val="000000"/>
                <w:sz w:val="18"/>
                <w:szCs w:val="18"/>
              </w:rPr>
              <w:t>R(-1)</w:t>
            </w:r>
          </w:p>
        </w:tc>
        <w:tc>
          <w:tcPr>
            <w:tcW w:w="1075" w:type="dxa"/>
            <w:tcBorders>
              <w:top w:val="nil"/>
              <w:left w:val="nil"/>
              <w:bottom w:val="nil"/>
              <w:right w:val="nil"/>
            </w:tcBorders>
            <w:vAlign w:val="bottom"/>
          </w:tcPr>
          <w:p w14:paraId="548524FB"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0.015795</w:t>
            </w:r>
          </w:p>
        </w:tc>
        <w:tc>
          <w:tcPr>
            <w:tcW w:w="1164" w:type="dxa"/>
            <w:tcBorders>
              <w:top w:val="nil"/>
              <w:left w:val="nil"/>
              <w:bottom w:val="nil"/>
              <w:right w:val="nil"/>
            </w:tcBorders>
            <w:vAlign w:val="bottom"/>
          </w:tcPr>
          <w:p w14:paraId="12E8A6F9"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-0.135532</w:t>
            </w:r>
          </w:p>
        </w:tc>
        <w:tc>
          <w:tcPr>
            <w:tcW w:w="1075" w:type="dxa"/>
            <w:tcBorders>
              <w:top w:val="nil"/>
              <w:left w:val="nil"/>
              <w:bottom w:val="nil"/>
              <w:right w:val="nil"/>
            </w:tcBorders>
            <w:vAlign w:val="bottom"/>
          </w:tcPr>
          <w:p w14:paraId="025A669E"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611F6BCD"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0D777E5B"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3C371C3C"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896" w:type="dxa"/>
            <w:tcBorders>
              <w:top w:val="nil"/>
              <w:left w:val="nil"/>
              <w:bottom w:val="nil"/>
              <w:right w:val="nil"/>
            </w:tcBorders>
            <w:vAlign w:val="bottom"/>
          </w:tcPr>
          <w:p w14:paraId="294305F6"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0B4871E2"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r>
      <w:tr w:rsidR="00D31621" w:rsidRPr="00BA3ED1" w14:paraId="4F2CEF35" w14:textId="77777777" w:rsidTr="005E1237">
        <w:trPr>
          <w:trHeight w:val="280"/>
        </w:trPr>
        <w:tc>
          <w:tcPr>
            <w:tcW w:w="1254" w:type="dxa"/>
            <w:tcBorders>
              <w:top w:val="nil"/>
              <w:left w:val="nil"/>
              <w:bottom w:val="nil"/>
              <w:right w:val="nil"/>
            </w:tcBorders>
            <w:vAlign w:val="bottom"/>
          </w:tcPr>
          <w:p w14:paraId="08EA5C13"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21DAF04A"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(0.03281)</w:t>
            </w:r>
          </w:p>
        </w:tc>
        <w:tc>
          <w:tcPr>
            <w:tcW w:w="1164" w:type="dxa"/>
            <w:tcBorders>
              <w:top w:val="nil"/>
              <w:left w:val="nil"/>
              <w:bottom w:val="nil"/>
              <w:right w:val="nil"/>
            </w:tcBorders>
            <w:vAlign w:val="bottom"/>
          </w:tcPr>
          <w:p w14:paraId="674100E0"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(0.06147)</w:t>
            </w:r>
          </w:p>
        </w:tc>
        <w:tc>
          <w:tcPr>
            <w:tcW w:w="1075" w:type="dxa"/>
            <w:tcBorders>
              <w:top w:val="nil"/>
              <w:left w:val="nil"/>
              <w:bottom w:val="nil"/>
              <w:right w:val="nil"/>
            </w:tcBorders>
            <w:vAlign w:val="bottom"/>
          </w:tcPr>
          <w:p w14:paraId="43CB81D8"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71410798"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66CD4109"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6B44E8FC"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896" w:type="dxa"/>
            <w:tcBorders>
              <w:top w:val="nil"/>
              <w:left w:val="nil"/>
              <w:bottom w:val="nil"/>
              <w:right w:val="nil"/>
            </w:tcBorders>
            <w:vAlign w:val="bottom"/>
          </w:tcPr>
          <w:p w14:paraId="4DAAE8E8"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30B5F2B6"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r>
      <w:tr w:rsidR="00D31621" w:rsidRPr="00BA3ED1" w14:paraId="786CD021" w14:textId="77777777" w:rsidTr="005E1237">
        <w:trPr>
          <w:trHeight w:val="280"/>
        </w:trPr>
        <w:tc>
          <w:tcPr>
            <w:tcW w:w="1254" w:type="dxa"/>
            <w:tcBorders>
              <w:top w:val="nil"/>
              <w:left w:val="nil"/>
              <w:bottom w:val="nil"/>
              <w:right w:val="nil"/>
            </w:tcBorders>
            <w:vAlign w:val="bottom"/>
          </w:tcPr>
          <w:p w14:paraId="09E19BD9"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2F249446"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[ 0.48135]</w:t>
            </w:r>
          </w:p>
        </w:tc>
        <w:tc>
          <w:tcPr>
            <w:tcW w:w="1164" w:type="dxa"/>
            <w:tcBorders>
              <w:top w:val="nil"/>
              <w:left w:val="nil"/>
              <w:bottom w:val="nil"/>
              <w:right w:val="nil"/>
            </w:tcBorders>
            <w:vAlign w:val="bottom"/>
          </w:tcPr>
          <w:p w14:paraId="2958FD00"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[-2.20491]</w:t>
            </w:r>
          </w:p>
        </w:tc>
        <w:tc>
          <w:tcPr>
            <w:tcW w:w="1075" w:type="dxa"/>
            <w:tcBorders>
              <w:top w:val="nil"/>
              <w:left w:val="nil"/>
              <w:bottom w:val="nil"/>
              <w:right w:val="nil"/>
            </w:tcBorders>
            <w:vAlign w:val="bottom"/>
          </w:tcPr>
          <w:p w14:paraId="55EEABFC"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4048CB39"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43A91A08"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495873F5"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896" w:type="dxa"/>
            <w:tcBorders>
              <w:top w:val="nil"/>
              <w:left w:val="nil"/>
              <w:bottom w:val="nil"/>
              <w:right w:val="nil"/>
            </w:tcBorders>
            <w:vAlign w:val="bottom"/>
          </w:tcPr>
          <w:p w14:paraId="616549AE"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05C88396"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r>
      <w:tr w:rsidR="00D31621" w:rsidRPr="00BA3ED1" w14:paraId="6E57FC4A" w14:textId="77777777" w:rsidTr="005E1237">
        <w:trPr>
          <w:trHeight w:val="280"/>
        </w:trPr>
        <w:tc>
          <w:tcPr>
            <w:tcW w:w="1254" w:type="dxa"/>
            <w:tcBorders>
              <w:top w:val="nil"/>
              <w:left w:val="nil"/>
              <w:bottom w:val="nil"/>
              <w:right w:val="nil"/>
            </w:tcBorders>
            <w:vAlign w:val="bottom"/>
          </w:tcPr>
          <w:p w14:paraId="01797C80"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2CA9ED61"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164" w:type="dxa"/>
            <w:tcBorders>
              <w:top w:val="nil"/>
              <w:left w:val="nil"/>
              <w:bottom w:val="nil"/>
              <w:right w:val="nil"/>
            </w:tcBorders>
            <w:vAlign w:val="bottom"/>
          </w:tcPr>
          <w:p w14:paraId="0E046288"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5944B48A"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3BCEEC03"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0C40F108"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326B6D64"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896" w:type="dxa"/>
            <w:tcBorders>
              <w:top w:val="nil"/>
              <w:left w:val="nil"/>
              <w:bottom w:val="nil"/>
              <w:right w:val="nil"/>
            </w:tcBorders>
            <w:vAlign w:val="bottom"/>
          </w:tcPr>
          <w:p w14:paraId="5E50529E"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4A7E6791"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r>
      <w:tr w:rsidR="00D31621" w:rsidRPr="00BA3ED1" w14:paraId="784CC7AA" w14:textId="77777777" w:rsidTr="005E1237">
        <w:trPr>
          <w:trHeight w:val="280"/>
        </w:trPr>
        <w:tc>
          <w:tcPr>
            <w:tcW w:w="1254" w:type="dxa"/>
            <w:tcBorders>
              <w:top w:val="nil"/>
              <w:left w:val="nil"/>
              <w:bottom w:val="nil"/>
              <w:right w:val="nil"/>
            </w:tcBorders>
            <w:vAlign w:val="bottom"/>
          </w:tcPr>
          <w:p w14:paraId="4076A230"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SMR(-1)</w:t>
            </w:r>
          </w:p>
        </w:tc>
        <w:tc>
          <w:tcPr>
            <w:tcW w:w="1075" w:type="dxa"/>
            <w:tcBorders>
              <w:top w:val="nil"/>
              <w:left w:val="nil"/>
              <w:bottom w:val="nil"/>
              <w:right w:val="nil"/>
            </w:tcBorders>
            <w:vAlign w:val="bottom"/>
          </w:tcPr>
          <w:p w14:paraId="2238D64B"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-0.039796</w:t>
            </w:r>
          </w:p>
        </w:tc>
        <w:tc>
          <w:tcPr>
            <w:tcW w:w="1164" w:type="dxa"/>
            <w:tcBorders>
              <w:top w:val="nil"/>
              <w:left w:val="nil"/>
              <w:bottom w:val="nil"/>
              <w:right w:val="nil"/>
            </w:tcBorders>
            <w:vAlign w:val="bottom"/>
          </w:tcPr>
          <w:p w14:paraId="7981C054"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-0.073471</w:t>
            </w:r>
          </w:p>
        </w:tc>
        <w:tc>
          <w:tcPr>
            <w:tcW w:w="1075" w:type="dxa"/>
            <w:tcBorders>
              <w:top w:val="nil"/>
              <w:left w:val="nil"/>
              <w:bottom w:val="nil"/>
              <w:right w:val="nil"/>
            </w:tcBorders>
            <w:vAlign w:val="bottom"/>
          </w:tcPr>
          <w:p w14:paraId="01BC427E"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2E4F8583"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3BC1ACBD"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100C9758"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896" w:type="dxa"/>
            <w:tcBorders>
              <w:top w:val="nil"/>
              <w:left w:val="nil"/>
              <w:bottom w:val="nil"/>
              <w:right w:val="nil"/>
            </w:tcBorders>
            <w:vAlign w:val="bottom"/>
          </w:tcPr>
          <w:p w14:paraId="4E16C5C9"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5AAEA069"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r>
      <w:tr w:rsidR="00D31621" w:rsidRPr="00BA3ED1" w14:paraId="52F3FEE3" w14:textId="77777777" w:rsidTr="005E1237">
        <w:trPr>
          <w:trHeight w:val="280"/>
        </w:trPr>
        <w:tc>
          <w:tcPr>
            <w:tcW w:w="1254" w:type="dxa"/>
            <w:tcBorders>
              <w:top w:val="nil"/>
              <w:left w:val="nil"/>
              <w:bottom w:val="nil"/>
              <w:right w:val="nil"/>
            </w:tcBorders>
            <w:vAlign w:val="bottom"/>
          </w:tcPr>
          <w:p w14:paraId="3494B7B3"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48581A14"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(0.00702)</w:t>
            </w:r>
          </w:p>
        </w:tc>
        <w:tc>
          <w:tcPr>
            <w:tcW w:w="1164" w:type="dxa"/>
            <w:tcBorders>
              <w:top w:val="nil"/>
              <w:left w:val="nil"/>
              <w:bottom w:val="nil"/>
              <w:right w:val="nil"/>
            </w:tcBorders>
            <w:vAlign w:val="bottom"/>
          </w:tcPr>
          <w:p w14:paraId="76ED591D"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(0.01314)</w:t>
            </w:r>
          </w:p>
        </w:tc>
        <w:tc>
          <w:tcPr>
            <w:tcW w:w="1075" w:type="dxa"/>
            <w:tcBorders>
              <w:top w:val="nil"/>
              <w:left w:val="nil"/>
              <w:bottom w:val="nil"/>
              <w:right w:val="nil"/>
            </w:tcBorders>
            <w:vAlign w:val="bottom"/>
          </w:tcPr>
          <w:p w14:paraId="0A80A44D"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042BCDB5"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1F7F40EB"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6FEA38A2"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896" w:type="dxa"/>
            <w:tcBorders>
              <w:top w:val="nil"/>
              <w:left w:val="nil"/>
              <w:bottom w:val="nil"/>
              <w:right w:val="nil"/>
            </w:tcBorders>
            <w:vAlign w:val="bottom"/>
          </w:tcPr>
          <w:p w14:paraId="078B80B6"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0DD5824A"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r>
      <w:tr w:rsidR="00D31621" w:rsidRPr="00BA3ED1" w14:paraId="367BBE5D" w14:textId="77777777" w:rsidTr="005E1237">
        <w:trPr>
          <w:trHeight w:val="280"/>
        </w:trPr>
        <w:tc>
          <w:tcPr>
            <w:tcW w:w="1254" w:type="dxa"/>
            <w:tcBorders>
              <w:top w:val="nil"/>
              <w:left w:val="nil"/>
              <w:bottom w:val="nil"/>
              <w:right w:val="nil"/>
            </w:tcBorders>
            <w:vAlign w:val="bottom"/>
          </w:tcPr>
          <w:p w14:paraId="75863888"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3933B317"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[-5.67216]</w:t>
            </w:r>
          </w:p>
        </w:tc>
        <w:tc>
          <w:tcPr>
            <w:tcW w:w="1164" w:type="dxa"/>
            <w:tcBorders>
              <w:top w:val="nil"/>
              <w:left w:val="nil"/>
              <w:bottom w:val="nil"/>
              <w:right w:val="nil"/>
            </w:tcBorders>
            <w:vAlign w:val="bottom"/>
          </w:tcPr>
          <w:p w14:paraId="0F6A5299"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[-5.59045]</w:t>
            </w:r>
          </w:p>
        </w:tc>
        <w:tc>
          <w:tcPr>
            <w:tcW w:w="1075" w:type="dxa"/>
            <w:tcBorders>
              <w:top w:val="nil"/>
              <w:left w:val="nil"/>
              <w:bottom w:val="nil"/>
              <w:right w:val="nil"/>
            </w:tcBorders>
            <w:vAlign w:val="bottom"/>
          </w:tcPr>
          <w:p w14:paraId="7CEF77DE"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09D67A03"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04136A09"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77D77D6F"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896" w:type="dxa"/>
            <w:tcBorders>
              <w:top w:val="nil"/>
              <w:left w:val="nil"/>
              <w:bottom w:val="nil"/>
              <w:right w:val="nil"/>
            </w:tcBorders>
            <w:vAlign w:val="bottom"/>
          </w:tcPr>
          <w:p w14:paraId="20F404EF"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4C6E172C"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r>
      <w:tr w:rsidR="00D31621" w:rsidRPr="00BA3ED1" w14:paraId="1D687C32" w14:textId="77777777" w:rsidTr="005E1237">
        <w:trPr>
          <w:trHeight w:val="280"/>
        </w:trPr>
        <w:tc>
          <w:tcPr>
            <w:tcW w:w="1254" w:type="dxa"/>
            <w:tcBorders>
              <w:top w:val="nil"/>
              <w:left w:val="nil"/>
              <w:bottom w:val="nil"/>
              <w:right w:val="nil"/>
            </w:tcBorders>
            <w:vAlign w:val="bottom"/>
          </w:tcPr>
          <w:p w14:paraId="4442C549"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509750A5"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164" w:type="dxa"/>
            <w:tcBorders>
              <w:top w:val="nil"/>
              <w:left w:val="nil"/>
              <w:bottom w:val="nil"/>
              <w:right w:val="nil"/>
            </w:tcBorders>
            <w:vAlign w:val="bottom"/>
          </w:tcPr>
          <w:p w14:paraId="57FD9C96"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376D0DBF"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6DB51766"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574F9B0A"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23FBB98F"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896" w:type="dxa"/>
            <w:tcBorders>
              <w:top w:val="nil"/>
              <w:left w:val="nil"/>
              <w:bottom w:val="nil"/>
              <w:right w:val="nil"/>
            </w:tcBorders>
            <w:vAlign w:val="bottom"/>
          </w:tcPr>
          <w:p w14:paraId="0B0A5E25"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27CA77F3"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r>
      <w:tr w:rsidR="00D31621" w:rsidRPr="00BA3ED1" w14:paraId="16CA1025" w14:textId="77777777" w:rsidTr="005E1237">
        <w:trPr>
          <w:trHeight w:val="280"/>
        </w:trPr>
        <w:tc>
          <w:tcPr>
            <w:tcW w:w="1254" w:type="dxa"/>
            <w:tcBorders>
              <w:top w:val="nil"/>
              <w:left w:val="nil"/>
              <w:bottom w:val="nil"/>
              <w:right w:val="nil"/>
            </w:tcBorders>
            <w:vAlign w:val="bottom"/>
          </w:tcPr>
          <w:p w14:paraId="4C71589D"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INF(-1)</w:t>
            </w:r>
          </w:p>
        </w:tc>
        <w:tc>
          <w:tcPr>
            <w:tcW w:w="1075" w:type="dxa"/>
            <w:tcBorders>
              <w:top w:val="nil"/>
              <w:left w:val="nil"/>
              <w:bottom w:val="nil"/>
              <w:right w:val="nil"/>
            </w:tcBorders>
            <w:vAlign w:val="bottom"/>
          </w:tcPr>
          <w:p w14:paraId="33615FB2"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0.014042</w:t>
            </w:r>
          </w:p>
        </w:tc>
        <w:tc>
          <w:tcPr>
            <w:tcW w:w="1164" w:type="dxa"/>
            <w:tcBorders>
              <w:top w:val="nil"/>
              <w:left w:val="nil"/>
              <w:bottom w:val="nil"/>
              <w:right w:val="nil"/>
            </w:tcBorders>
            <w:vAlign w:val="bottom"/>
          </w:tcPr>
          <w:p w14:paraId="39A0EF47"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0.050185</w:t>
            </w:r>
          </w:p>
        </w:tc>
        <w:tc>
          <w:tcPr>
            <w:tcW w:w="1075" w:type="dxa"/>
            <w:tcBorders>
              <w:top w:val="nil"/>
              <w:left w:val="nil"/>
              <w:bottom w:val="nil"/>
              <w:right w:val="nil"/>
            </w:tcBorders>
            <w:vAlign w:val="bottom"/>
          </w:tcPr>
          <w:p w14:paraId="6E0858CC"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51437A6D"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24BC8C3A"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705C64BC"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896" w:type="dxa"/>
            <w:tcBorders>
              <w:top w:val="nil"/>
              <w:left w:val="nil"/>
              <w:bottom w:val="nil"/>
              <w:right w:val="nil"/>
            </w:tcBorders>
            <w:vAlign w:val="bottom"/>
          </w:tcPr>
          <w:p w14:paraId="23916E12"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1D386010"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r>
      <w:tr w:rsidR="00D31621" w:rsidRPr="00BA3ED1" w14:paraId="0B38D311" w14:textId="77777777" w:rsidTr="005E1237">
        <w:trPr>
          <w:trHeight w:val="280"/>
        </w:trPr>
        <w:tc>
          <w:tcPr>
            <w:tcW w:w="1254" w:type="dxa"/>
            <w:tcBorders>
              <w:top w:val="nil"/>
              <w:left w:val="nil"/>
              <w:bottom w:val="nil"/>
              <w:right w:val="nil"/>
            </w:tcBorders>
            <w:vAlign w:val="bottom"/>
          </w:tcPr>
          <w:p w14:paraId="60DA161C"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298F12A1"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(0.01011)</w:t>
            </w:r>
          </w:p>
        </w:tc>
        <w:tc>
          <w:tcPr>
            <w:tcW w:w="1164" w:type="dxa"/>
            <w:tcBorders>
              <w:top w:val="nil"/>
              <w:left w:val="nil"/>
              <w:bottom w:val="nil"/>
              <w:right w:val="nil"/>
            </w:tcBorders>
            <w:vAlign w:val="bottom"/>
          </w:tcPr>
          <w:p w14:paraId="70CA77E3"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(0.01894)</w:t>
            </w:r>
          </w:p>
        </w:tc>
        <w:tc>
          <w:tcPr>
            <w:tcW w:w="1075" w:type="dxa"/>
            <w:tcBorders>
              <w:top w:val="nil"/>
              <w:left w:val="nil"/>
              <w:bottom w:val="nil"/>
              <w:right w:val="nil"/>
            </w:tcBorders>
            <w:vAlign w:val="bottom"/>
          </w:tcPr>
          <w:p w14:paraId="226631A8"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458BCCFA"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1F436F95"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791C7C05"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896" w:type="dxa"/>
            <w:tcBorders>
              <w:top w:val="nil"/>
              <w:left w:val="nil"/>
              <w:bottom w:val="nil"/>
              <w:right w:val="nil"/>
            </w:tcBorders>
            <w:vAlign w:val="bottom"/>
          </w:tcPr>
          <w:p w14:paraId="54CEC44D"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1B4D9AD0"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r>
      <w:tr w:rsidR="00D31621" w:rsidRPr="00BA3ED1" w14:paraId="5258C079" w14:textId="77777777" w:rsidTr="005E1237">
        <w:trPr>
          <w:trHeight w:val="280"/>
        </w:trPr>
        <w:tc>
          <w:tcPr>
            <w:tcW w:w="1254" w:type="dxa"/>
            <w:tcBorders>
              <w:top w:val="nil"/>
              <w:left w:val="nil"/>
              <w:bottom w:val="nil"/>
              <w:right w:val="nil"/>
            </w:tcBorders>
            <w:vAlign w:val="bottom"/>
          </w:tcPr>
          <w:p w14:paraId="1E05DAD1"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61A83AC6"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[ 1.38859]</w:t>
            </w:r>
          </w:p>
        </w:tc>
        <w:tc>
          <w:tcPr>
            <w:tcW w:w="1164" w:type="dxa"/>
            <w:tcBorders>
              <w:top w:val="nil"/>
              <w:left w:val="nil"/>
              <w:bottom w:val="nil"/>
              <w:right w:val="nil"/>
            </w:tcBorders>
            <w:vAlign w:val="bottom"/>
          </w:tcPr>
          <w:p w14:paraId="0DE39646"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[ 2.64926]</w:t>
            </w:r>
          </w:p>
        </w:tc>
        <w:tc>
          <w:tcPr>
            <w:tcW w:w="1075" w:type="dxa"/>
            <w:tcBorders>
              <w:top w:val="nil"/>
              <w:left w:val="nil"/>
              <w:bottom w:val="nil"/>
              <w:right w:val="nil"/>
            </w:tcBorders>
            <w:vAlign w:val="bottom"/>
          </w:tcPr>
          <w:p w14:paraId="6F08B4D2"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3C0DE1BD"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7B99D677"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57C58605"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896" w:type="dxa"/>
            <w:tcBorders>
              <w:top w:val="nil"/>
              <w:left w:val="nil"/>
              <w:bottom w:val="nil"/>
              <w:right w:val="nil"/>
            </w:tcBorders>
            <w:vAlign w:val="bottom"/>
          </w:tcPr>
          <w:p w14:paraId="4FB35225"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2D633799"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r>
      <w:tr w:rsidR="00D31621" w:rsidRPr="00BA3ED1" w14:paraId="05F6537D" w14:textId="77777777" w:rsidTr="005E1237">
        <w:trPr>
          <w:trHeight w:val="280"/>
        </w:trPr>
        <w:tc>
          <w:tcPr>
            <w:tcW w:w="1254" w:type="dxa"/>
            <w:tcBorders>
              <w:top w:val="nil"/>
              <w:left w:val="nil"/>
              <w:bottom w:val="nil"/>
              <w:right w:val="nil"/>
            </w:tcBorders>
            <w:vAlign w:val="bottom"/>
          </w:tcPr>
          <w:p w14:paraId="31DCBE45"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7C7C2E83"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164" w:type="dxa"/>
            <w:tcBorders>
              <w:top w:val="nil"/>
              <w:left w:val="nil"/>
              <w:bottom w:val="nil"/>
              <w:right w:val="nil"/>
            </w:tcBorders>
            <w:vAlign w:val="bottom"/>
          </w:tcPr>
          <w:p w14:paraId="43114270"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082E9D6E"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7F5A3729"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4303148F"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683884BE"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896" w:type="dxa"/>
            <w:tcBorders>
              <w:top w:val="nil"/>
              <w:left w:val="nil"/>
              <w:bottom w:val="nil"/>
              <w:right w:val="nil"/>
            </w:tcBorders>
            <w:vAlign w:val="bottom"/>
          </w:tcPr>
          <w:p w14:paraId="5B496236"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29498EC1"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r>
      <w:tr w:rsidR="00D31621" w:rsidRPr="00BA3ED1" w14:paraId="5F2D5438" w14:textId="77777777" w:rsidTr="005E1237">
        <w:trPr>
          <w:trHeight w:val="280"/>
        </w:trPr>
        <w:tc>
          <w:tcPr>
            <w:tcW w:w="1254" w:type="dxa"/>
            <w:tcBorders>
              <w:top w:val="nil"/>
              <w:left w:val="nil"/>
              <w:bottom w:val="nil"/>
              <w:right w:val="nil"/>
            </w:tcBorders>
            <w:vAlign w:val="bottom"/>
          </w:tcPr>
          <w:p w14:paraId="55ED9FED"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EXR(-1)</w:t>
            </w:r>
          </w:p>
        </w:tc>
        <w:tc>
          <w:tcPr>
            <w:tcW w:w="1075" w:type="dxa"/>
            <w:tcBorders>
              <w:top w:val="nil"/>
              <w:left w:val="nil"/>
              <w:bottom w:val="nil"/>
              <w:right w:val="nil"/>
            </w:tcBorders>
            <w:vAlign w:val="bottom"/>
          </w:tcPr>
          <w:p w14:paraId="181D25CF"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0.001197</w:t>
            </w:r>
          </w:p>
        </w:tc>
        <w:tc>
          <w:tcPr>
            <w:tcW w:w="1164" w:type="dxa"/>
            <w:tcBorders>
              <w:top w:val="nil"/>
              <w:left w:val="nil"/>
              <w:bottom w:val="nil"/>
              <w:right w:val="nil"/>
            </w:tcBorders>
            <w:vAlign w:val="bottom"/>
          </w:tcPr>
          <w:p w14:paraId="31404074"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-0.029307</w:t>
            </w:r>
          </w:p>
        </w:tc>
        <w:tc>
          <w:tcPr>
            <w:tcW w:w="1075" w:type="dxa"/>
            <w:tcBorders>
              <w:top w:val="nil"/>
              <w:left w:val="nil"/>
              <w:bottom w:val="nil"/>
              <w:right w:val="nil"/>
            </w:tcBorders>
            <w:vAlign w:val="bottom"/>
          </w:tcPr>
          <w:p w14:paraId="08F57C35"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4CAABD78"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4D33719F"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499AB01C"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896" w:type="dxa"/>
            <w:tcBorders>
              <w:top w:val="nil"/>
              <w:left w:val="nil"/>
              <w:bottom w:val="nil"/>
              <w:right w:val="nil"/>
            </w:tcBorders>
            <w:vAlign w:val="bottom"/>
          </w:tcPr>
          <w:p w14:paraId="4E6309B9"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4878D918"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r>
      <w:tr w:rsidR="00D31621" w:rsidRPr="00BA3ED1" w14:paraId="3B6B2697" w14:textId="77777777" w:rsidTr="005E1237">
        <w:trPr>
          <w:trHeight w:val="280"/>
        </w:trPr>
        <w:tc>
          <w:tcPr>
            <w:tcW w:w="1254" w:type="dxa"/>
            <w:tcBorders>
              <w:top w:val="nil"/>
              <w:left w:val="nil"/>
              <w:bottom w:val="nil"/>
              <w:right w:val="nil"/>
            </w:tcBorders>
            <w:vAlign w:val="bottom"/>
          </w:tcPr>
          <w:p w14:paraId="6904D4C3"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796336AC"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(0.00460)</w:t>
            </w:r>
          </w:p>
        </w:tc>
        <w:tc>
          <w:tcPr>
            <w:tcW w:w="1164" w:type="dxa"/>
            <w:tcBorders>
              <w:top w:val="nil"/>
              <w:left w:val="nil"/>
              <w:bottom w:val="nil"/>
              <w:right w:val="nil"/>
            </w:tcBorders>
            <w:vAlign w:val="bottom"/>
          </w:tcPr>
          <w:p w14:paraId="6E354BA8"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(0.00862)</w:t>
            </w:r>
          </w:p>
        </w:tc>
        <w:tc>
          <w:tcPr>
            <w:tcW w:w="1075" w:type="dxa"/>
            <w:tcBorders>
              <w:top w:val="nil"/>
              <w:left w:val="nil"/>
              <w:bottom w:val="nil"/>
              <w:right w:val="nil"/>
            </w:tcBorders>
            <w:vAlign w:val="bottom"/>
          </w:tcPr>
          <w:p w14:paraId="0DA470E2"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788B4386"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11AA5914"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4F280F3C"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896" w:type="dxa"/>
            <w:tcBorders>
              <w:top w:val="nil"/>
              <w:left w:val="nil"/>
              <w:bottom w:val="nil"/>
              <w:right w:val="nil"/>
            </w:tcBorders>
            <w:vAlign w:val="bottom"/>
          </w:tcPr>
          <w:p w14:paraId="4EDD48C3"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1A3D441F"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r>
      <w:tr w:rsidR="00D31621" w:rsidRPr="00BA3ED1" w14:paraId="580DDE79" w14:textId="77777777" w:rsidTr="005E1237">
        <w:trPr>
          <w:trHeight w:val="280"/>
        </w:trPr>
        <w:tc>
          <w:tcPr>
            <w:tcW w:w="1254" w:type="dxa"/>
            <w:tcBorders>
              <w:top w:val="nil"/>
              <w:left w:val="nil"/>
              <w:bottom w:val="nil"/>
              <w:right w:val="nil"/>
            </w:tcBorders>
            <w:vAlign w:val="bottom"/>
          </w:tcPr>
          <w:p w14:paraId="18B433B8"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5430CA8C"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[ 0.26020]</w:t>
            </w:r>
          </w:p>
        </w:tc>
        <w:tc>
          <w:tcPr>
            <w:tcW w:w="1164" w:type="dxa"/>
            <w:tcBorders>
              <w:top w:val="nil"/>
              <w:left w:val="nil"/>
              <w:bottom w:val="nil"/>
              <w:right w:val="nil"/>
            </w:tcBorders>
            <w:vAlign w:val="bottom"/>
          </w:tcPr>
          <w:p w14:paraId="6ED7393E"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[-3.40028]</w:t>
            </w:r>
          </w:p>
        </w:tc>
        <w:tc>
          <w:tcPr>
            <w:tcW w:w="1075" w:type="dxa"/>
            <w:tcBorders>
              <w:top w:val="nil"/>
              <w:left w:val="nil"/>
              <w:bottom w:val="nil"/>
              <w:right w:val="nil"/>
            </w:tcBorders>
            <w:vAlign w:val="bottom"/>
          </w:tcPr>
          <w:p w14:paraId="51BBFE4D"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3417B6B3"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0CC8CBFE"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0E469662"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896" w:type="dxa"/>
            <w:tcBorders>
              <w:top w:val="nil"/>
              <w:left w:val="nil"/>
              <w:bottom w:val="nil"/>
              <w:right w:val="nil"/>
            </w:tcBorders>
            <w:vAlign w:val="bottom"/>
          </w:tcPr>
          <w:p w14:paraId="4503EF8A"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430954FA"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r>
      <w:tr w:rsidR="00D31621" w:rsidRPr="00BA3ED1" w14:paraId="3DCA7AF5" w14:textId="77777777" w:rsidTr="005E1237">
        <w:trPr>
          <w:trHeight w:val="280"/>
        </w:trPr>
        <w:tc>
          <w:tcPr>
            <w:tcW w:w="1254" w:type="dxa"/>
            <w:tcBorders>
              <w:top w:val="nil"/>
              <w:left w:val="nil"/>
              <w:bottom w:val="nil"/>
              <w:right w:val="nil"/>
            </w:tcBorders>
            <w:vAlign w:val="bottom"/>
          </w:tcPr>
          <w:p w14:paraId="271CB820"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13D07A3F"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164" w:type="dxa"/>
            <w:tcBorders>
              <w:top w:val="nil"/>
              <w:left w:val="nil"/>
              <w:bottom w:val="nil"/>
              <w:right w:val="nil"/>
            </w:tcBorders>
            <w:vAlign w:val="bottom"/>
          </w:tcPr>
          <w:p w14:paraId="3FEE7577"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3A1D2102"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0A882E36"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256170FC"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26384333"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896" w:type="dxa"/>
            <w:tcBorders>
              <w:top w:val="nil"/>
              <w:left w:val="nil"/>
              <w:bottom w:val="nil"/>
              <w:right w:val="nil"/>
            </w:tcBorders>
            <w:vAlign w:val="bottom"/>
          </w:tcPr>
          <w:p w14:paraId="5776B239"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7FA02578"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r>
      <w:tr w:rsidR="00D31621" w:rsidRPr="00BA3ED1" w14:paraId="3E90E513" w14:textId="77777777" w:rsidTr="005E1237">
        <w:trPr>
          <w:trHeight w:val="280"/>
        </w:trPr>
        <w:tc>
          <w:tcPr>
            <w:tcW w:w="1254" w:type="dxa"/>
            <w:tcBorders>
              <w:top w:val="nil"/>
              <w:left w:val="nil"/>
              <w:bottom w:val="nil"/>
              <w:right w:val="nil"/>
            </w:tcBorders>
            <w:vAlign w:val="bottom"/>
          </w:tcPr>
          <w:p w14:paraId="1BDBE757"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C</w:t>
            </w:r>
          </w:p>
        </w:tc>
        <w:tc>
          <w:tcPr>
            <w:tcW w:w="1075" w:type="dxa"/>
            <w:tcBorders>
              <w:top w:val="nil"/>
              <w:left w:val="nil"/>
              <w:bottom w:val="nil"/>
              <w:right w:val="nil"/>
            </w:tcBorders>
            <w:vAlign w:val="bottom"/>
          </w:tcPr>
          <w:p w14:paraId="5E46C261"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-15.13975</w:t>
            </w:r>
          </w:p>
        </w:tc>
        <w:tc>
          <w:tcPr>
            <w:tcW w:w="1164" w:type="dxa"/>
            <w:tcBorders>
              <w:top w:val="nil"/>
              <w:left w:val="nil"/>
              <w:bottom w:val="nil"/>
              <w:right w:val="nil"/>
            </w:tcBorders>
            <w:vAlign w:val="bottom"/>
          </w:tcPr>
          <w:p w14:paraId="5B9BF1E8"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-12.39374</w:t>
            </w:r>
          </w:p>
        </w:tc>
        <w:tc>
          <w:tcPr>
            <w:tcW w:w="1075" w:type="dxa"/>
            <w:tcBorders>
              <w:top w:val="nil"/>
              <w:left w:val="nil"/>
              <w:bottom w:val="nil"/>
              <w:right w:val="nil"/>
            </w:tcBorders>
            <w:vAlign w:val="bottom"/>
          </w:tcPr>
          <w:p w14:paraId="089C35FD"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6BCFE32E"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214B455D"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5FB0B8C1"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896" w:type="dxa"/>
            <w:tcBorders>
              <w:top w:val="nil"/>
              <w:left w:val="nil"/>
              <w:bottom w:val="nil"/>
              <w:right w:val="nil"/>
            </w:tcBorders>
            <w:vAlign w:val="bottom"/>
          </w:tcPr>
          <w:p w14:paraId="19ACB841"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12255DEC"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r>
      <w:tr w:rsidR="00D31621" w:rsidRPr="00BA3ED1" w14:paraId="635376E0" w14:textId="77777777" w:rsidTr="005E1237">
        <w:trPr>
          <w:trHeight w:hRule="exact" w:val="111"/>
        </w:trPr>
        <w:tc>
          <w:tcPr>
            <w:tcW w:w="1254" w:type="dxa"/>
            <w:tcBorders>
              <w:top w:val="nil"/>
              <w:left w:val="nil"/>
              <w:bottom w:val="double" w:sz="6" w:space="2" w:color="auto"/>
              <w:right w:val="nil"/>
            </w:tcBorders>
            <w:vAlign w:val="bottom"/>
          </w:tcPr>
          <w:p w14:paraId="57B0E889"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double" w:sz="6" w:space="2" w:color="auto"/>
              <w:right w:val="nil"/>
            </w:tcBorders>
            <w:vAlign w:val="bottom"/>
          </w:tcPr>
          <w:p w14:paraId="38D5B96B"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164" w:type="dxa"/>
            <w:tcBorders>
              <w:top w:val="nil"/>
              <w:left w:val="nil"/>
              <w:bottom w:val="double" w:sz="6" w:space="2" w:color="auto"/>
              <w:right w:val="nil"/>
            </w:tcBorders>
            <w:vAlign w:val="bottom"/>
          </w:tcPr>
          <w:p w14:paraId="7A371C0D"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double" w:sz="6" w:space="2" w:color="auto"/>
              <w:right w:val="nil"/>
            </w:tcBorders>
            <w:vAlign w:val="bottom"/>
          </w:tcPr>
          <w:p w14:paraId="2F3C2B4A"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double" w:sz="6" w:space="2" w:color="auto"/>
              <w:right w:val="nil"/>
            </w:tcBorders>
            <w:vAlign w:val="bottom"/>
          </w:tcPr>
          <w:p w14:paraId="3255866F"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double" w:sz="6" w:space="2" w:color="auto"/>
              <w:right w:val="nil"/>
            </w:tcBorders>
            <w:vAlign w:val="bottom"/>
          </w:tcPr>
          <w:p w14:paraId="16130DEB"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double" w:sz="6" w:space="2" w:color="auto"/>
              <w:right w:val="nil"/>
            </w:tcBorders>
            <w:vAlign w:val="bottom"/>
          </w:tcPr>
          <w:p w14:paraId="7409AFAF"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896" w:type="dxa"/>
            <w:tcBorders>
              <w:top w:val="nil"/>
              <w:left w:val="nil"/>
              <w:bottom w:val="double" w:sz="6" w:space="2" w:color="auto"/>
              <w:right w:val="nil"/>
            </w:tcBorders>
            <w:vAlign w:val="bottom"/>
          </w:tcPr>
          <w:p w14:paraId="32A5B912"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double" w:sz="6" w:space="2" w:color="auto"/>
              <w:right w:val="nil"/>
            </w:tcBorders>
            <w:vAlign w:val="bottom"/>
          </w:tcPr>
          <w:p w14:paraId="1AB9C1FB"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r>
      <w:tr w:rsidR="00D31621" w:rsidRPr="00BA3ED1" w14:paraId="7A3CDDCC" w14:textId="77777777" w:rsidTr="005E1237">
        <w:trPr>
          <w:trHeight w:hRule="exact" w:val="168"/>
        </w:trPr>
        <w:tc>
          <w:tcPr>
            <w:tcW w:w="1254" w:type="dxa"/>
            <w:tcBorders>
              <w:top w:val="nil"/>
              <w:left w:val="nil"/>
              <w:bottom w:val="nil"/>
              <w:right w:val="nil"/>
            </w:tcBorders>
            <w:vAlign w:val="bottom"/>
          </w:tcPr>
          <w:p w14:paraId="14044E2A"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04374C1F"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164" w:type="dxa"/>
            <w:tcBorders>
              <w:top w:val="nil"/>
              <w:left w:val="nil"/>
              <w:bottom w:val="nil"/>
              <w:right w:val="nil"/>
            </w:tcBorders>
            <w:vAlign w:val="bottom"/>
          </w:tcPr>
          <w:p w14:paraId="586FF0D7"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59774F0E"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5120BBF4"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6FD760BF"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34A768D0"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896" w:type="dxa"/>
            <w:tcBorders>
              <w:top w:val="nil"/>
              <w:left w:val="nil"/>
              <w:bottom w:val="nil"/>
              <w:right w:val="nil"/>
            </w:tcBorders>
            <w:vAlign w:val="bottom"/>
          </w:tcPr>
          <w:p w14:paraId="156CBCEC"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0798568C"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r>
      <w:tr w:rsidR="00D31621" w:rsidRPr="00BA3ED1" w14:paraId="6C1C68EB" w14:textId="77777777" w:rsidTr="005E1237">
        <w:trPr>
          <w:trHeight w:val="280"/>
        </w:trPr>
        <w:tc>
          <w:tcPr>
            <w:tcW w:w="1254" w:type="dxa"/>
            <w:tcBorders>
              <w:top w:val="nil"/>
              <w:left w:val="nil"/>
              <w:bottom w:val="nil"/>
              <w:right w:val="nil"/>
            </w:tcBorders>
            <w:vAlign w:val="bottom"/>
          </w:tcPr>
          <w:p w14:paraId="0C15CA02"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Error Correction:</w:t>
            </w:r>
          </w:p>
        </w:tc>
        <w:tc>
          <w:tcPr>
            <w:tcW w:w="1075" w:type="dxa"/>
            <w:tcBorders>
              <w:top w:val="nil"/>
              <w:left w:val="nil"/>
              <w:bottom w:val="nil"/>
              <w:right w:val="nil"/>
            </w:tcBorders>
            <w:vAlign w:val="bottom"/>
          </w:tcPr>
          <w:p w14:paraId="3AF35B9C"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D(RGDP)</w:t>
            </w:r>
          </w:p>
        </w:tc>
        <w:tc>
          <w:tcPr>
            <w:tcW w:w="1164" w:type="dxa"/>
            <w:tcBorders>
              <w:top w:val="nil"/>
              <w:left w:val="nil"/>
              <w:bottom w:val="nil"/>
              <w:right w:val="nil"/>
            </w:tcBorders>
            <w:vAlign w:val="bottom"/>
          </w:tcPr>
          <w:p w14:paraId="250E41F2"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D(M2GDP)</w:t>
            </w:r>
          </w:p>
        </w:tc>
        <w:tc>
          <w:tcPr>
            <w:tcW w:w="1075" w:type="dxa"/>
            <w:tcBorders>
              <w:top w:val="nil"/>
              <w:left w:val="nil"/>
              <w:bottom w:val="nil"/>
              <w:right w:val="nil"/>
            </w:tcBorders>
            <w:vAlign w:val="bottom"/>
          </w:tcPr>
          <w:p w14:paraId="2F04A553"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D(PTDS)</w:t>
            </w:r>
          </w:p>
        </w:tc>
        <w:tc>
          <w:tcPr>
            <w:tcW w:w="1075" w:type="dxa"/>
            <w:tcBorders>
              <w:top w:val="nil"/>
              <w:left w:val="nil"/>
              <w:bottom w:val="nil"/>
              <w:right w:val="nil"/>
            </w:tcBorders>
            <w:vAlign w:val="bottom"/>
          </w:tcPr>
          <w:p w14:paraId="604734C5"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D(LDS)</w:t>
            </w:r>
          </w:p>
        </w:tc>
        <w:tc>
          <w:tcPr>
            <w:tcW w:w="1075" w:type="dxa"/>
            <w:tcBorders>
              <w:top w:val="nil"/>
              <w:left w:val="nil"/>
              <w:bottom w:val="nil"/>
              <w:right w:val="nil"/>
            </w:tcBorders>
            <w:vAlign w:val="bottom"/>
          </w:tcPr>
          <w:p w14:paraId="26C05EAE"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D(LDR)</w:t>
            </w:r>
          </w:p>
        </w:tc>
        <w:tc>
          <w:tcPr>
            <w:tcW w:w="985" w:type="dxa"/>
            <w:tcBorders>
              <w:top w:val="nil"/>
              <w:left w:val="nil"/>
              <w:bottom w:val="nil"/>
              <w:right w:val="nil"/>
            </w:tcBorders>
            <w:vAlign w:val="bottom"/>
          </w:tcPr>
          <w:p w14:paraId="3CFD0F61"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D(SMR)</w:t>
            </w:r>
          </w:p>
        </w:tc>
        <w:tc>
          <w:tcPr>
            <w:tcW w:w="896" w:type="dxa"/>
            <w:tcBorders>
              <w:top w:val="nil"/>
              <w:left w:val="nil"/>
              <w:bottom w:val="nil"/>
              <w:right w:val="nil"/>
            </w:tcBorders>
            <w:vAlign w:val="bottom"/>
          </w:tcPr>
          <w:p w14:paraId="5343D1BB"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D(INF)</w:t>
            </w:r>
          </w:p>
        </w:tc>
        <w:tc>
          <w:tcPr>
            <w:tcW w:w="985" w:type="dxa"/>
            <w:tcBorders>
              <w:top w:val="nil"/>
              <w:left w:val="nil"/>
              <w:bottom w:val="nil"/>
              <w:right w:val="nil"/>
            </w:tcBorders>
            <w:vAlign w:val="bottom"/>
          </w:tcPr>
          <w:p w14:paraId="6BD1D670"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D(EXR)</w:t>
            </w:r>
          </w:p>
        </w:tc>
      </w:tr>
      <w:tr w:rsidR="00D31621" w:rsidRPr="00BA3ED1" w14:paraId="57C18A0A" w14:textId="77777777" w:rsidTr="005E1237">
        <w:trPr>
          <w:trHeight w:hRule="exact" w:val="111"/>
        </w:trPr>
        <w:tc>
          <w:tcPr>
            <w:tcW w:w="1254" w:type="dxa"/>
            <w:tcBorders>
              <w:top w:val="nil"/>
              <w:left w:val="nil"/>
              <w:bottom w:val="double" w:sz="6" w:space="2" w:color="auto"/>
              <w:right w:val="nil"/>
            </w:tcBorders>
            <w:vAlign w:val="bottom"/>
          </w:tcPr>
          <w:p w14:paraId="18F1DE4F"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double" w:sz="6" w:space="2" w:color="auto"/>
              <w:right w:val="nil"/>
            </w:tcBorders>
            <w:vAlign w:val="bottom"/>
          </w:tcPr>
          <w:p w14:paraId="11EA3593"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164" w:type="dxa"/>
            <w:tcBorders>
              <w:top w:val="nil"/>
              <w:left w:val="nil"/>
              <w:bottom w:val="double" w:sz="6" w:space="2" w:color="auto"/>
              <w:right w:val="nil"/>
            </w:tcBorders>
            <w:vAlign w:val="bottom"/>
          </w:tcPr>
          <w:p w14:paraId="6115F6B5"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double" w:sz="6" w:space="2" w:color="auto"/>
              <w:right w:val="nil"/>
            </w:tcBorders>
            <w:vAlign w:val="bottom"/>
          </w:tcPr>
          <w:p w14:paraId="22A66156"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double" w:sz="6" w:space="2" w:color="auto"/>
              <w:right w:val="nil"/>
            </w:tcBorders>
            <w:vAlign w:val="bottom"/>
          </w:tcPr>
          <w:p w14:paraId="63F0E314"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double" w:sz="6" w:space="2" w:color="auto"/>
              <w:right w:val="nil"/>
            </w:tcBorders>
            <w:vAlign w:val="bottom"/>
          </w:tcPr>
          <w:p w14:paraId="2B445101"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double" w:sz="6" w:space="2" w:color="auto"/>
              <w:right w:val="nil"/>
            </w:tcBorders>
            <w:vAlign w:val="bottom"/>
          </w:tcPr>
          <w:p w14:paraId="76E46BED"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896" w:type="dxa"/>
            <w:tcBorders>
              <w:top w:val="nil"/>
              <w:left w:val="nil"/>
              <w:bottom w:val="double" w:sz="6" w:space="2" w:color="auto"/>
              <w:right w:val="nil"/>
            </w:tcBorders>
            <w:vAlign w:val="bottom"/>
          </w:tcPr>
          <w:p w14:paraId="340D57C3"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double" w:sz="6" w:space="2" w:color="auto"/>
              <w:right w:val="nil"/>
            </w:tcBorders>
            <w:vAlign w:val="bottom"/>
          </w:tcPr>
          <w:p w14:paraId="7EECA6A2"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r>
      <w:tr w:rsidR="00D31621" w:rsidRPr="00BA3ED1" w14:paraId="09A2E584" w14:textId="77777777" w:rsidTr="005E1237">
        <w:trPr>
          <w:trHeight w:hRule="exact" w:val="168"/>
        </w:trPr>
        <w:tc>
          <w:tcPr>
            <w:tcW w:w="1254" w:type="dxa"/>
            <w:tcBorders>
              <w:top w:val="nil"/>
              <w:left w:val="nil"/>
              <w:bottom w:val="nil"/>
              <w:right w:val="nil"/>
            </w:tcBorders>
            <w:vAlign w:val="bottom"/>
          </w:tcPr>
          <w:p w14:paraId="36D97EC5"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50E11CF0"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164" w:type="dxa"/>
            <w:tcBorders>
              <w:top w:val="nil"/>
              <w:left w:val="nil"/>
              <w:bottom w:val="nil"/>
              <w:right w:val="nil"/>
            </w:tcBorders>
            <w:vAlign w:val="bottom"/>
          </w:tcPr>
          <w:p w14:paraId="67200711"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52BBF5E2"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0FD4CFB9"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72319FE8"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74D06DDB"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896" w:type="dxa"/>
            <w:tcBorders>
              <w:top w:val="nil"/>
              <w:left w:val="nil"/>
              <w:bottom w:val="nil"/>
              <w:right w:val="nil"/>
            </w:tcBorders>
            <w:vAlign w:val="bottom"/>
          </w:tcPr>
          <w:p w14:paraId="7B135E05"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310AE293"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r>
      <w:tr w:rsidR="00D31621" w:rsidRPr="00BA3ED1" w14:paraId="15132E00" w14:textId="77777777" w:rsidTr="005E1237">
        <w:trPr>
          <w:trHeight w:val="280"/>
        </w:trPr>
        <w:tc>
          <w:tcPr>
            <w:tcW w:w="1254" w:type="dxa"/>
            <w:tcBorders>
              <w:top w:val="nil"/>
              <w:left w:val="nil"/>
              <w:bottom w:val="nil"/>
              <w:right w:val="nil"/>
            </w:tcBorders>
            <w:vAlign w:val="bottom"/>
          </w:tcPr>
          <w:p w14:paraId="494BB0B3"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CointEq1</w:t>
            </w:r>
          </w:p>
        </w:tc>
        <w:tc>
          <w:tcPr>
            <w:tcW w:w="1075" w:type="dxa"/>
            <w:tcBorders>
              <w:top w:val="nil"/>
              <w:left w:val="nil"/>
              <w:bottom w:val="nil"/>
              <w:right w:val="nil"/>
            </w:tcBorders>
            <w:vAlign w:val="bottom"/>
          </w:tcPr>
          <w:p w14:paraId="77C6A242"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-0.0</w:t>
            </w:r>
            <w:r>
              <w:rPr>
                <w:rFonts w:ascii="Arial" w:hAnsi="Arial" w:cs="Arial"/>
                <w:color w:val="000000"/>
                <w:sz w:val="18"/>
                <w:szCs w:val="18"/>
              </w:rPr>
              <w:t>3</w:t>
            </w:r>
            <w:r w:rsidRPr="00BA3ED1">
              <w:rPr>
                <w:rFonts w:ascii="Arial" w:hAnsi="Arial" w:cs="Arial"/>
                <w:color w:val="000000"/>
                <w:sz w:val="18"/>
                <w:szCs w:val="18"/>
              </w:rPr>
              <w:t>2022</w:t>
            </w:r>
          </w:p>
        </w:tc>
        <w:tc>
          <w:tcPr>
            <w:tcW w:w="1164" w:type="dxa"/>
            <w:tcBorders>
              <w:top w:val="nil"/>
              <w:left w:val="nil"/>
              <w:bottom w:val="nil"/>
              <w:right w:val="nil"/>
            </w:tcBorders>
            <w:vAlign w:val="bottom"/>
          </w:tcPr>
          <w:p w14:paraId="1A4BB903"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0.023392</w:t>
            </w:r>
          </w:p>
        </w:tc>
        <w:tc>
          <w:tcPr>
            <w:tcW w:w="1075" w:type="dxa"/>
            <w:tcBorders>
              <w:top w:val="nil"/>
              <w:left w:val="nil"/>
              <w:bottom w:val="nil"/>
              <w:right w:val="nil"/>
            </w:tcBorders>
            <w:vAlign w:val="bottom"/>
          </w:tcPr>
          <w:p w14:paraId="66056574"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0.003541</w:t>
            </w:r>
          </w:p>
        </w:tc>
        <w:tc>
          <w:tcPr>
            <w:tcW w:w="1075" w:type="dxa"/>
            <w:tcBorders>
              <w:top w:val="nil"/>
              <w:left w:val="nil"/>
              <w:bottom w:val="nil"/>
              <w:right w:val="nil"/>
            </w:tcBorders>
            <w:vAlign w:val="bottom"/>
          </w:tcPr>
          <w:p w14:paraId="78120A46"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1.276771</w:t>
            </w:r>
          </w:p>
        </w:tc>
        <w:tc>
          <w:tcPr>
            <w:tcW w:w="1075" w:type="dxa"/>
            <w:tcBorders>
              <w:top w:val="nil"/>
              <w:left w:val="nil"/>
              <w:bottom w:val="nil"/>
              <w:right w:val="nil"/>
            </w:tcBorders>
            <w:vAlign w:val="bottom"/>
          </w:tcPr>
          <w:p w14:paraId="67211849"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-0.618880</w:t>
            </w:r>
          </w:p>
        </w:tc>
        <w:tc>
          <w:tcPr>
            <w:tcW w:w="985" w:type="dxa"/>
            <w:tcBorders>
              <w:top w:val="nil"/>
              <w:left w:val="nil"/>
              <w:bottom w:val="nil"/>
              <w:right w:val="nil"/>
            </w:tcBorders>
            <w:vAlign w:val="bottom"/>
          </w:tcPr>
          <w:p w14:paraId="7BADA845"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0.918034</w:t>
            </w:r>
          </w:p>
        </w:tc>
        <w:tc>
          <w:tcPr>
            <w:tcW w:w="896" w:type="dxa"/>
            <w:tcBorders>
              <w:top w:val="nil"/>
              <w:left w:val="nil"/>
              <w:bottom w:val="nil"/>
              <w:right w:val="nil"/>
            </w:tcBorders>
            <w:vAlign w:val="bottom"/>
          </w:tcPr>
          <w:p w14:paraId="501D53A7"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-0.287417</w:t>
            </w:r>
          </w:p>
        </w:tc>
        <w:tc>
          <w:tcPr>
            <w:tcW w:w="985" w:type="dxa"/>
            <w:tcBorders>
              <w:top w:val="nil"/>
              <w:left w:val="nil"/>
              <w:bottom w:val="nil"/>
              <w:right w:val="nil"/>
            </w:tcBorders>
            <w:vAlign w:val="bottom"/>
          </w:tcPr>
          <w:p w14:paraId="101F1FC9"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3.862867</w:t>
            </w:r>
          </w:p>
        </w:tc>
      </w:tr>
      <w:tr w:rsidR="00D31621" w:rsidRPr="00BA3ED1" w14:paraId="3DE319AD" w14:textId="77777777" w:rsidTr="005E1237">
        <w:trPr>
          <w:trHeight w:val="280"/>
        </w:trPr>
        <w:tc>
          <w:tcPr>
            <w:tcW w:w="1254" w:type="dxa"/>
            <w:tcBorders>
              <w:top w:val="nil"/>
              <w:left w:val="nil"/>
              <w:bottom w:val="nil"/>
              <w:right w:val="nil"/>
            </w:tcBorders>
            <w:vAlign w:val="bottom"/>
          </w:tcPr>
          <w:p w14:paraId="1BD87086"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596172D6"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(0.00</w:t>
            </w:r>
            <w:r>
              <w:rPr>
                <w:rFonts w:ascii="Arial" w:hAnsi="Arial" w:cs="Arial"/>
                <w:color w:val="000000"/>
                <w:sz w:val="18"/>
                <w:szCs w:val="18"/>
              </w:rPr>
              <w:t>9</w:t>
            </w:r>
            <w:r w:rsidRPr="00BA3ED1">
              <w:rPr>
                <w:rFonts w:ascii="Arial" w:hAnsi="Arial" w:cs="Arial"/>
                <w:color w:val="000000"/>
                <w:sz w:val="18"/>
                <w:szCs w:val="18"/>
              </w:rPr>
              <w:t>84)</w:t>
            </w:r>
          </w:p>
        </w:tc>
        <w:tc>
          <w:tcPr>
            <w:tcW w:w="1164" w:type="dxa"/>
            <w:tcBorders>
              <w:top w:val="nil"/>
              <w:left w:val="nil"/>
              <w:bottom w:val="nil"/>
              <w:right w:val="nil"/>
            </w:tcBorders>
            <w:vAlign w:val="bottom"/>
          </w:tcPr>
          <w:p w14:paraId="0A7F5164"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(0.04783)</w:t>
            </w:r>
          </w:p>
        </w:tc>
        <w:tc>
          <w:tcPr>
            <w:tcW w:w="1075" w:type="dxa"/>
            <w:tcBorders>
              <w:top w:val="nil"/>
              <w:left w:val="nil"/>
              <w:bottom w:val="nil"/>
              <w:right w:val="nil"/>
            </w:tcBorders>
            <w:vAlign w:val="bottom"/>
          </w:tcPr>
          <w:p w14:paraId="51620E0B"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(0.00271)</w:t>
            </w:r>
          </w:p>
        </w:tc>
        <w:tc>
          <w:tcPr>
            <w:tcW w:w="1075" w:type="dxa"/>
            <w:tcBorders>
              <w:top w:val="nil"/>
              <w:left w:val="nil"/>
              <w:bottom w:val="nil"/>
              <w:right w:val="nil"/>
            </w:tcBorders>
            <w:vAlign w:val="bottom"/>
          </w:tcPr>
          <w:p w14:paraId="39C195FC"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(0.27979)</w:t>
            </w:r>
          </w:p>
        </w:tc>
        <w:tc>
          <w:tcPr>
            <w:tcW w:w="1075" w:type="dxa"/>
            <w:tcBorders>
              <w:top w:val="nil"/>
              <w:left w:val="nil"/>
              <w:bottom w:val="nil"/>
              <w:right w:val="nil"/>
            </w:tcBorders>
            <w:vAlign w:val="bottom"/>
          </w:tcPr>
          <w:p w14:paraId="52A3C428"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(0.45431)</w:t>
            </w:r>
          </w:p>
        </w:tc>
        <w:tc>
          <w:tcPr>
            <w:tcW w:w="985" w:type="dxa"/>
            <w:tcBorders>
              <w:top w:val="nil"/>
              <w:left w:val="nil"/>
              <w:bottom w:val="nil"/>
              <w:right w:val="nil"/>
            </w:tcBorders>
            <w:vAlign w:val="bottom"/>
          </w:tcPr>
          <w:p w14:paraId="6FA903AD"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(1.02994)</w:t>
            </w:r>
          </w:p>
        </w:tc>
        <w:tc>
          <w:tcPr>
            <w:tcW w:w="896" w:type="dxa"/>
            <w:tcBorders>
              <w:top w:val="nil"/>
              <w:left w:val="nil"/>
              <w:bottom w:val="nil"/>
              <w:right w:val="nil"/>
            </w:tcBorders>
            <w:vAlign w:val="bottom"/>
          </w:tcPr>
          <w:p w14:paraId="41FEF930"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(1.02963)</w:t>
            </w:r>
          </w:p>
        </w:tc>
        <w:tc>
          <w:tcPr>
            <w:tcW w:w="985" w:type="dxa"/>
            <w:tcBorders>
              <w:top w:val="nil"/>
              <w:left w:val="nil"/>
              <w:bottom w:val="nil"/>
              <w:right w:val="nil"/>
            </w:tcBorders>
            <w:vAlign w:val="bottom"/>
          </w:tcPr>
          <w:p w14:paraId="6DAA6B4B"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(1.82336)</w:t>
            </w:r>
          </w:p>
        </w:tc>
      </w:tr>
      <w:tr w:rsidR="00D31621" w:rsidRPr="00BA3ED1" w14:paraId="77A5449E" w14:textId="77777777" w:rsidTr="005E1237">
        <w:trPr>
          <w:trHeight w:val="280"/>
        </w:trPr>
        <w:tc>
          <w:tcPr>
            <w:tcW w:w="1254" w:type="dxa"/>
            <w:tcBorders>
              <w:top w:val="nil"/>
              <w:left w:val="nil"/>
              <w:bottom w:val="nil"/>
              <w:right w:val="nil"/>
            </w:tcBorders>
            <w:vAlign w:val="bottom"/>
          </w:tcPr>
          <w:p w14:paraId="4C5CDE62"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21CC3BF5"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[-3.25427</w:t>
            </w:r>
            <w:r w:rsidRPr="00BA3ED1">
              <w:rPr>
                <w:rFonts w:ascii="Arial" w:hAnsi="Arial" w:cs="Arial"/>
                <w:color w:val="000000"/>
                <w:sz w:val="18"/>
                <w:szCs w:val="18"/>
              </w:rPr>
              <w:t>]</w:t>
            </w:r>
          </w:p>
        </w:tc>
        <w:tc>
          <w:tcPr>
            <w:tcW w:w="1164" w:type="dxa"/>
            <w:tcBorders>
              <w:top w:val="nil"/>
              <w:left w:val="nil"/>
              <w:bottom w:val="nil"/>
              <w:right w:val="nil"/>
            </w:tcBorders>
            <w:vAlign w:val="bottom"/>
          </w:tcPr>
          <w:p w14:paraId="3324DE20"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[ 0.48906]</w:t>
            </w:r>
          </w:p>
        </w:tc>
        <w:tc>
          <w:tcPr>
            <w:tcW w:w="1075" w:type="dxa"/>
            <w:tcBorders>
              <w:top w:val="nil"/>
              <w:left w:val="nil"/>
              <w:bottom w:val="nil"/>
              <w:right w:val="nil"/>
            </w:tcBorders>
            <w:vAlign w:val="bottom"/>
          </w:tcPr>
          <w:p w14:paraId="286A4D57"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[ 1.30438]</w:t>
            </w:r>
          </w:p>
        </w:tc>
        <w:tc>
          <w:tcPr>
            <w:tcW w:w="1075" w:type="dxa"/>
            <w:tcBorders>
              <w:top w:val="nil"/>
              <w:left w:val="nil"/>
              <w:bottom w:val="nil"/>
              <w:right w:val="nil"/>
            </w:tcBorders>
            <w:vAlign w:val="bottom"/>
          </w:tcPr>
          <w:p w14:paraId="1125C2AC"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[ 4.56333]</w:t>
            </w:r>
          </w:p>
        </w:tc>
        <w:tc>
          <w:tcPr>
            <w:tcW w:w="1075" w:type="dxa"/>
            <w:tcBorders>
              <w:top w:val="nil"/>
              <w:left w:val="nil"/>
              <w:bottom w:val="nil"/>
              <w:right w:val="nil"/>
            </w:tcBorders>
            <w:vAlign w:val="bottom"/>
          </w:tcPr>
          <w:p w14:paraId="70A9FF92"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[-1.36224]</w:t>
            </w:r>
          </w:p>
        </w:tc>
        <w:tc>
          <w:tcPr>
            <w:tcW w:w="985" w:type="dxa"/>
            <w:tcBorders>
              <w:top w:val="nil"/>
              <w:left w:val="nil"/>
              <w:bottom w:val="nil"/>
              <w:right w:val="nil"/>
            </w:tcBorders>
            <w:vAlign w:val="bottom"/>
          </w:tcPr>
          <w:p w14:paraId="44BE81FE"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[ 0.89135]</w:t>
            </w:r>
          </w:p>
        </w:tc>
        <w:tc>
          <w:tcPr>
            <w:tcW w:w="896" w:type="dxa"/>
            <w:tcBorders>
              <w:top w:val="nil"/>
              <w:left w:val="nil"/>
              <w:bottom w:val="nil"/>
              <w:right w:val="nil"/>
            </w:tcBorders>
            <w:vAlign w:val="bottom"/>
          </w:tcPr>
          <w:p w14:paraId="5B8DD426"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[-0.27915]</w:t>
            </w:r>
          </w:p>
        </w:tc>
        <w:tc>
          <w:tcPr>
            <w:tcW w:w="985" w:type="dxa"/>
            <w:tcBorders>
              <w:top w:val="nil"/>
              <w:left w:val="nil"/>
              <w:bottom w:val="nil"/>
              <w:right w:val="nil"/>
            </w:tcBorders>
            <w:vAlign w:val="bottom"/>
          </w:tcPr>
          <w:p w14:paraId="6B109EB4"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[ 2.11854]</w:t>
            </w:r>
          </w:p>
        </w:tc>
      </w:tr>
      <w:tr w:rsidR="00D31621" w:rsidRPr="00BA3ED1" w14:paraId="6F78503D" w14:textId="77777777" w:rsidTr="005E1237">
        <w:trPr>
          <w:trHeight w:val="280"/>
        </w:trPr>
        <w:tc>
          <w:tcPr>
            <w:tcW w:w="1254" w:type="dxa"/>
            <w:tcBorders>
              <w:top w:val="nil"/>
              <w:left w:val="nil"/>
              <w:bottom w:val="nil"/>
              <w:right w:val="nil"/>
            </w:tcBorders>
            <w:vAlign w:val="bottom"/>
          </w:tcPr>
          <w:p w14:paraId="1A464A87"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15A5CA87"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164" w:type="dxa"/>
            <w:tcBorders>
              <w:top w:val="nil"/>
              <w:left w:val="nil"/>
              <w:bottom w:val="nil"/>
              <w:right w:val="nil"/>
            </w:tcBorders>
            <w:vAlign w:val="bottom"/>
          </w:tcPr>
          <w:p w14:paraId="14575A56"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76315F0B"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5F1825FA"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3C75C0C3"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0C70C39F"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896" w:type="dxa"/>
            <w:tcBorders>
              <w:top w:val="nil"/>
              <w:left w:val="nil"/>
              <w:bottom w:val="nil"/>
              <w:right w:val="nil"/>
            </w:tcBorders>
            <w:vAlign w:val="bottom"/>
          </w:tcPr>
          <w:p w14:paraId="5D0D68E0"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985" w:type="dxa"/>
            <w:tcBorders>
              <w:top w:val="nil"/>
              <w:left w:val="nil"/>
              <w:bottom w:val="nil"/>
              <w:right w:val="nil"/>
            </w:tcBorders>
            <w:vAlign w:val="bottom"/>
          </w:tcPr>
          <w:p w14:paraId="667D4977"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r>
      <w:tr w:rsidR="00D31621" w:rsidRPr="00BA3ED1" w14:paraId="748858EF" w14:textId="77777777" w:rsidTr="005E1237">
        <w:trPr>
          <w:trHeight w:val="280"/>
        </w:trPr>
        <w:tc>
          <w:tcPr>
            <w:tcW w:w="1254" w:type="dxa"/>
            <w:tcBorders>
              <w:top w:val="nil"/>
              <w:left w:val="nil"/>
              <w:bottom w:val="nil"/>
              <w:right w:val="nil"/>
            </w:tcBorders>
            <w:vAlign w:val="bottom"/>
          </w:tcPr>
          <w:p w14:paraId="75AB3795"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CointEq2</w:t>
            </w:r>
          </w:p>
        </w:tc>
        <w:tc>
          <w:tcPr>
            <w:tcW w:w="1075" w:type="dxa"/>
            <w:tcBorders>
              <w:top w:val="nil"/>
              <w:left w:val="nil"/>
              <w:bottom w:val="nil"/>
              <w:right w:val="nil"/>
            </w:tcBorders>
            <w:vAlign w:val="bottom"/>
          </w:tcPr>
          <w:p w14:paraId="4480400C"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0.001083</w:t>
            </w:r>
          </w:p>
        </w:tc>
        <w:tc>
          <w:tcPr>
            <w:tcW w:w="1164" w:type="dxa"/>
            <w:tcBorders>
              <w:top w:val="nil"/>
              <w:left w:val="nil"/>
              <w:bottom w:val="nil"/>
              <w:right w:val="nil"/>
            </w:tcBorders>
            <w:vAlign w:val="bottom"/>
          </w:tcPr>
          <w:p w14:paraId="0725DC03"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-0.058572</w:t>
            </w:r>
          </w:p>
        </w:tc>
        <w:tc>
          <w:tcPr>
            <w:tcW w:w="1075" w:type="dxa"/>
            <w:tcBorders>
              <w:top w:val="nil"/>
              <w:left w:val="nil"/>
              <w:bottom w:val="nil"/>
              <w:right w:val="nil"/>
            </w:tcBorders>
            <w:vAlign w:val="bottom"/>
          </w:tcPr>
          <w:p w14:paraId="527615C9"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-0.000578</w:t>
            </w:r>
          </w:p>
        </w:tc>
        <w:tc>
          <w:tcPr>
            <w:tcW w:w="1075" w:type="dxa"/>
            <w:tcBorders>
              <w:top w:val="nil"/>
              <w:left w:val="nil"/>
              <w:bottom w:val="nil"/>
              <w:right w:val="nil"/>
            </w:tcBorders>
            <w:vAlign w:val="bottom"/>
          </w:tcPr>
          <w:p w14:paraId="172EB0CA"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-0.635539</w:t>
            </w:r>
          </w:p>
        </w:tc>
        <w:tc>
          <w:tcPr>
            <w:tcW w:w="1075" w:type="dxa"/>
            <w:tcBorders>
              <w:top w:val="nil"/>
              <w:left w:val="nil"/>
              <w:bottom w:val="nil"/>
              <w:right w:val="nil"/>
            </w:tcBorders>
            <w:vAlign w:val="bottom"/>
          </w:tcPr>
          <w:p w14:paraId="7540F704"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0.336212</w:t>
            </w:r>
          </w:p>
        </w:tc>
        <w:tc>
          <w:tcPr>
            <w:tcW w:w="985" w:type="dxa"/>
            <w:tcBorders>
              <w:top w:val="nil"/>
              <w:left w:val="nil"/>
              <w:bottom w:val="nil"/>
              <w:right w:val="nil"/>
            </w:tcBorders>
            <w:vAlign w:val="bottom"/>
          </w:tcPr>
          <w:p w14:paraId="58515926"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1.560511</w:t>
            </w:r>
          </w:p>
        </w:tc>
        <w:tc>
          <w:tcPr>
            <w:tcW w:w="896" w:type="dxa"/>
            <w:tcBorders>
              <w:top w:val="nil"/>
              <w:left w:val="nil"/>
              <w:bottom w:val="nil"/>
              <w:right w:val="nil"/>
            </w:tcBorders>
            <w:vAlign w:val="bottom"/>
          </w:tcPr>
          <w:p w14:paraId="43D5FB05"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0.140737</w:t>
            </w:r>
          </w:p>
        </w:tc>
        <w:tc>
          <w:tcPr>
            <w:tcW w:w="985" w:type="dxa"/>
            <w:tcBorders>
              <w:top w:val="nil"/>
              <w:left w:val="nil"/>
              <w:bottom w:val="nil"/>
              <w:right w:val="nil"/>
            </w:tcBorders>
            <w:vAlign w:val="bottom"/>
          </w:tcPr>
          <w:p w14:paraId="030BBE18"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-0.105885</w:t>
            </w:r>
          </w:p>
        </w:tc>
      </w:tr>
      <w:tr w:rsidR="00D31621" w:rsidRPr="00BA3ED1" w14:paraId="32143BA1" w14:textId="77777777" w:rsidTr="005E1237">
        <w:trPr>
          <w:trHeight w:val="280"/>
        </w:trPr>
        <w:tc>
          <w:tcPr>
            <w:tcW w:w="1254" w:type="dxa"/>
            <w:tcBorders>
              <w:top w:val="nil"/>
              <w:left w:val="nil"/>
              <w:bottom w:val="nil"/>
              <w:right w:val="nil"/>
            </w:tcBorders>
            <w:vAlign w:val="bottom"/>
          </w:tcPr>
          <w:p w14:paraId="2DC8CE33"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0B9B515F"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(0.00037)</w:t>
            </w:r>
          </w:p>
        </w:tc>
        <w:tc>
          <w:tcPr>
            <w:tcW w:w="1164" w:type="dxa"/>
            <w:tcBorders>
              <w:top w:val="nil"/>
              <w:left w:val="nil"/>
              <w:bottom w:val="nil"/>
              <w:right w:val="nil"/>
            </w:tcBorders>
            <w:vAlign w:val="bottom"/>
          </w:tcPr>
          <w:p w14:paraId="608D70FE"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(0.02123)</w:t>
            </w:r>
          </w:p>
        </w:tc>
        <w:tc>
          <w:tcPr>
            <w:tcW w:w="1075" w:type="dxa"/>
            <w:tcBorders>
              <w:top w:val="nil"/>
              <w:left w:val="nil"/>
              <w:bottom w:val="nil"/>
              <w:right w:val="nil"/>
            </w:tcBorders>
            <w:vAlign w:val="bottom"/>
          </w:tcPr>
          <w:p w14:paraId="2D34A50E"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(0.00121)</w:t>
            </w:r>
          </w:p>
        </w:tc>
        <w:tc>
          <w:tcPr>
            <w:tcW w:w="1075" w:type="dxa"/>
            <w:tcBorders>
              <w:top w:val="nil"/>
              <w:left w:val="nil"/>
              <w:bottom w:val="nil"/>
              <w:right w:val="nil"/>
            </w:tcBorders>
            <w:vAlign w:val="bottom"/>
          </w:tcPr>
          <w:p w14:paraId="57ACC953"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(0.12421)</w:t>
            </w:r>
          </w:p>
        </w:tc>
        <w:tc>
          <w:tcPr>
            <w:tcW w:w="1075" w:type="dxa"/>
            <w:tcBorders>
              <w:top w:val="nil"/>
              <w:left w:val="nil"/>
              <w:bottom w:val="nil"/>
              <w:right w:val="nil"/>
            </w:tcBorders>
            <w:vAlign w:val="bottom"/>
          </w:tcPr>
          <w:p w14:paraId="1AB45AAF"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(0.20169)</w:t>
            </w:r>
          </w:p>
        </w:tc>
        <w:tc>
          <w:tcPr>
            <w:tcW w:w="985" w:type="dxa"/>
            <w:tcBorders>
              <w:top w:val="nil"/>
              <w:left w:val="nil"/>
              <w:bottom w:val="nil"/>
              <w:right w:val="nil"/>
            </w:tcBorders>
            <w:vAlign w:val="bottom"/>
          </w:tcPr>
          <w:p w14:paraId="1407A3C6"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(0.45724)</w:t>
            </w:r>
          </w:p>
        </w:tc>
        <w:tc>
          <w:tcPr>
            <w:tcW w:w="896" w:type="dxa"/>
            <w:tcBorders>
              <w:top w:val="nil"/>
              <w:left w:val="nil"/>
              <w:bottom w:val="nil"/>
              <w:right w:val="nil"/>
            </w:tcBorders>
            <w:vAlign w:val="bottom"/>
          </w:tcPr>
          <w:p w14:paraId="04229F40"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(0.45710)</w:t>
            </w:r>
          </w:p>
        </w:tc>
        <w:tc>
          <w:tcPr>
            <w:tcW w:w="985" w:type="dxa"/>
            <w:tcBorders>
              <w:top w:val="nil"/>
              <w:left w:val="nil"/>
              <w:bottom w:val="nil"/>
              <w:right w:val="nil"/>
            </w:tcBorders>
            <w:vAlign w:val="bottom"/>
          </w:tcPr>
          <w:p w14:paraId="3F441631"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(0.80947)</w:t>
            </w:r>
          </w:p>
        </w:tc>
      </w:tr>
      <w:tr w:rsidR="00D31621" w:rsidRPr="00BA3ED1" w14:paraId="22DCD0D3" w14:textId="77777777" w:rsidTr="005E1237">
        <w:trPr>
          <w:trHeight w:val="280"/>
        </w:trPr>
        <w:tc>
          <w:tcPr>
            <w:tcW w:w="1254" w:type="dxa"/>
            <w:tcBorders>
              <w:top w:val="nil"/>
              <w:left w:val="nil"/>
              <w:bottom w:val="nil"/>
              <w:right w:val="nil"/>
            </w:tcBorders>
            <w:vAlign w:val="bottom"/>
          </w:tcPr>
          <w:p w14:paraId="4D40638F"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p>
        </w:tc>
        <w:tc>
          <w:tcPr>
            <w:tcW w:w="1075" w:type="dxa"/>
            <w:tcBorders>
              <w:top w:val="nil"/>
              <w:left w:val="nil"/>
              <w:bottom w:val="nil"/>
              <w:right w:val="nil"/>
            </w:tcBorders>
            <w:vAlign w:val="bottom"/>
          </w:tcPr>
          <w:p w14:paraId="3A383725"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[ 2.90814]</w:t>
            </w:r>
          </w:p>
        </w:tc>
        <w:tc>
          <w:tcPr>
            <w:tcW w:w="1164" w:type="dxa"/>
            <w:tcBorders>
              <w:top w:val="nil"/>
              <w:left w:val="nil"/>
              <w:bottom w:val="nil"/>
              <w:right w:val="nil"/>
            </w:tcBorders>
            <w:vAlign w:val="bottom"/>
          </w:tcPr>
          <w:p w14:paraId="19A86A40"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[-2.75845]</w:t>
            </w:r>
          </w:p>
        </w:tc>
        <w:tc>
          <w:tcPr>
            <w:tcW w:w="1075" w:type="dxa"/>
            <w:tcBorders>
              <w:top w:val="nil"/>
              <w:left w:val="nil"/>
              <w:bottom w:val="nil"/>
              <w:right w:val="nil"/>
            </w:tcBorders>
            <w:vAlign w:val="bottom"/>
          </w:tcPr>
          <w:p w14:paraId="6D00CAA0"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[-0.47925]</w:t>
            </w:r>
          </w:p>
        </w:tc>
        <w:tc>
          <w:tcPr>
            <w:tcW w:w="1075" w:type="dxa"/>
            <w:tcBorders>
              <w:top w:val="nil"/>
              <w:left w:val="nil"/>
              <w:bottom w:val="nil"/>
              <w:right w:val="nil"/>
            </w:tcBorders>
            <w:vAlign w:val="bottom"/>
          </w:tcPr>
          <w:p w14:paraId="526A50DD"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[-5.11661]</w:t>
            </w:r>
          </w:p>
        </w:tc>
        <w:tc>
          <w:tcPr>
            <w:tcW w:w="1075" w:type="dxa"/>
            <w:tcBorders>
              <w:top w:val="nil"/>
              <w:left w:val="nil"/>
              <w:bottom w:val="nil"/>
              <w:right w:val="nil"/>
            </w:tcBorders>
            <w:vAlign w:val="bottom"/>
          </w:tcPr>
          <w:p w14:paraId="53AD0820"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[ 1.66698]</w:t>
            </w:r>
          </w:p>
        </w:tc>
        <w:tc>
          <w:tcPr>
            <w:tcW w:w="985" w:type="dxa"/>
            <w:tcBorders>
              <w:top w:val="nil"/>
              <w:left w:val="nil"/>
              <w:bottom w:val="nil"/>
              <w:right w:val="nil"/>
            </w:tcBorders>
            <w:vAlign w:val="bottom"/>
          </w:tcPr>
          <w:p w14:paraId="301D854C"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[ 3.41291]</w:t>
            </w:r>
          </w:p>
        </w:tc>
        <w:tc>
          <w:tcPr>
            <w:tcW w:w="896" w:type="dxa"/>
            <w:tcBorders>
              <w:top w:val="nil"/>
              <w:left w:val="nil"/>
              <w:bottom w:val="nil"/>
              <w:right w:val="nil"/>
            </w:tcBorders>
            <w:vAlign w:val="bottom"/>
          </w:tcPr>
          <w:p w14:paraId="778F8DFF"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[ 0.30789]</w:t>
            </w:r>
          </w:p>
        </w:tc>
        <w:tc>
          <w:tcPr>
            <w:tcW w:w="985" w:type="dxa"/>
            <w:tcBorders>
              <w:top w:val="nil"/>
              <w:left w:val="nil"/>
              <w:bottom w:val="nil"/>
              <w:right w:val="nil"/>
            </w:tcBorders>
            <w:vAlign w:val="bottom"/>
          </w:tcPr>
          <w:p w14:paraId="59476439" w14:textId="77777777" w:rsidR="00D31621" w:rsidRPr="00BA3ED1" w:rsidRDefault="00D31621" w:rsidP="00EA7F85">
            <w:pPr>
              <w:autoSpaceDE w:val="0"/>
              <w:autoSpaceDN w:val="0"/>
              <w:adjustRightInd w:val="0"/>
              <w:spacing w:after="0" w:line="240" w:lineRule="auto"/>
              <w:rPr>
                <w:rFonts w:ascii="Arial" w:hAnsi="Arial" w:cs="Arial"/>
                <w:color w:val="000000"/>
                <w:sz w:val="18"/>
                <w:szCs w:val="18"/>
              </w:rPr>
            </w:pPr>
            <w:r w:rsidRPr="00BA3ED1">
              <w:rPr>
                <w:rFonts w:ascii="Arial" w:hAnsi="Arial" w:cs="Arial"/>
                <w:color w:val="000000"/>
                <w:sz w:val="18"/>
                <w:szCs w:val="18"/>
              </w:rPr>
              <w:t>[-0.13081]</w:t>
            </w:r>
          </w:p>
        </w:tc>
      </w:tr>
    </w:tbl>
    <w:p w14:paraId="0C43FAA2" w14:textId="77777777" w:rsidR="00D31621" w:rsidRDefault="00D31621" w:rsidP="00C45F51">
      <w:pPr>
        <w:pStyle w:val="NoSpacing"/>
        <w:spacing w:after="240"/>
        <w:jc w:val="both"/>
        <w:rPr>
          <w:rFonts w:ascii="Times New Roman" w:hAnsi="Times New Roman"/>
          <w:sz w:val="24"/>
          <w:szCs w:val="24"/>
        </w:rPr>
      </w:pPr>
    </w:p>
    <w:p w14:paraId="59A09BBA" w14:textId="77777777" w:rsidR="005E1237" w:rsidRDefault="005E1237" w:rsidP="005E1237">
      <w:pPr>
        <w:spacing w:line="240" w:lineRule="auto"/>
        <w:rPr>
          <w:rFonts w:ascii="Times New Roman" w:hAnsi="Times New Roman"/>
          <w:sz w:val="24"/>
          <w:szCs w:val="24"/>
        </w:rPr>
        <w:sectPr w:rsidR="005E1237" w:rsidSect="004267E7">
          <w:type w:val="continuous"/>
          <w:pgSz w:w="12240" w:h="15840"/>
          <w:pgMar w:top="1135" w:right="1440" w:bottom="1440" w:left="1440" w:header="720" w:footer="720" w:gutter="0"/>
          <w:cols w:space="720"/>
          <w:docGrid w:linePitch="360"/>
        </w:sectPr>
      </w:pPr>
    </w:p>
    <w:p w14:paraId="26F2D35F" w14:textId="330A973C" w:rsidR="00D31621" w:rsidRPr="00926420" w:rsidRDefault="00D31621" w:rsidP="005E1237">
      <w:pPr>
        <w:spacing w:line="240" w:lineRule="auto"/>
        <w:rPr>
          <w:rFonts w:ascii="Times New Roman" w:hAnsi="Times New Roman"/>
          <w:sz w:val="24"/>
          <w:szCs w:val="24"/>
        </w:rPr>
      </w:pPr>
      <w:r w:rsidRPr="00926420">
        <w:rPr>
          <w:rFonts w:ascii="Times New Roman" w:hAnsi="Times New Roman"/>
          <w:sz w:val="24"/>
          <w:szCs w:val="24"/>
        </w:rPr>
        <w:lastRenderedPageBreak/>
        <w:t xml:space="preserve">Table </w:t>
      </w:r>
      <w:r w:rsidR="00AD25CA">
        <w:rPr>
          <w:rFonts w:ascii="Times New Roman" w:hAnsi="Times New Roman"/>
          <w:sz w:val="24"/>
          <w:szCs w:val="24"/>
        </w:rPr>
        <w:t>11</w:t>
      </w:r>
      <w:r>
        <w:rPr>
          <w:rFonts w:ascii="Times New Roman" w:hAnsi="Times New Roman"/>
          <w:sz w:val="24"/>
          <w:szCs w:val="24"/>
        </w:rPr>
        <w:t xml:space="preserve"> </w:t>
      </w:r>
      <w:r w:rsidRPr="00926420">
        <w:rPr>
          <w:rFonts w:ascii="Times New Roman" w:hAnsi="Times New Roman"/>
          <w:sz w:val="24"/>
          <w:szCs w:val="24"/>
        </w:rPr>
        <w:t>present</w:t>
      </w:r>
      <w:r w:rsidR="00AD25CA">
        <w:rPr>
          <w:rFonts w:ascii="Times New Roman" w:hAnsi="Times New Roman"/>
          <w:sz w:val="24"/>
          <w:szCs w:val="24"/>
        </w:rPr>
        <w:t>ed</w:t>
      </w:r>
      <w:r w:rsidRPr="00926420">
        <w:rPr>
          <w:rFonts w:ascii="Times New Roman" w:hAnsi="Times New Roman"/>
          <w:sz w:val="24"/>
          <w:szCs w:val="24"/>
        </w:rPr>
        <w:t xml:space="preserve"> the results from the estimated vector error correction model (VECM) without any restrictions. A comparison of the coefficients of the error correction terms</w:t>
      </w:r>
      <w:r>
        <w:rPr>
          <w:rFonts w:ascii="Times New Roman" w:hAnsi="Times New Roman"/>
          <w:sz w:val="24"/>
          <w:szCs w:val="24"/>
        </w:rPr>
        <w:t xml:space="preserve"> revealed that the </w:t>
      </w:r>
      <w:r w:rsidRPr="00926420">
        <w:rPr>
          <w:rFonts w:ascii="Times New Roman" w:hAnsi="Times New Roman"/>
          <w:sz w:val="24"/>
          <w:szCs w:val="24"/>
        </w:rPr>
        <w:t xml:space="preserve">first cointegrating vector shows that </w:t>
      </w:r>
      <w:r>
        <w:rPr>
          <w:rFonts w:ascii="Times New Roman" w:hAnsi="Times New Roman"/>
          <w:sz w:val="24"/>
          <w:szCs w:val="24"/>
        </w:rPr>
        <w:t>Real GDP per capita (RGDP</w:t>
      </w:r>
      <w:r w:rsidRPr="00926420">
        <w:rPr>
          <w:rFonts w:ascii="Times New Roman" w:hAnsi="Times New Roman"/>
          <w:sz w:val="24"/>
          <w:szCs w:val="24"/>
        </w:rPr>
        <w:t xml:space="preserve">) has the most significant </w:t>
      </w:r>
      <w:r>
        <w:rPr>
          <w:rFonts w:ascii="Times New Roman" w:hAnsi="Times New Roman"/>
          <w:sz w:val="24"/>
          <w:szCs w:val="24"/>
        </w:rPr>
        <w:t xml:space="preserve">and correctly signed adjustment </w:t>
      </w:r>
      <w:r w:rsidRPr="00926420">
        <w:rPr>
          <w:rFonts w:ascii="Times New Roman" w:hAnsi="Times New Roman"/>
          <w:sz w:val="24"/>
          <w:szCs w:val="24"/>
        </w:rPr>
        <w:t xml:space="preserve">coefficient, with a t-value of </w:t>
      </w:r>
      <w:r>
        <w:rPr>
          <w:rFonts w:ascii="Times New Roman" w:hAnsi="Times New Roman"/>
          <w:sz w:val="24"/>
          <w:szCs w:val="24"/>
        </w:rPr>
        <w:t xml:space="preserve">–3.25427. </w:t>
      </w:r>
      <w:r w:rsidRPr="00926420">
        <w:rPr>
          <w:rFonts w:ascii="Times New Roman" w:hAnsi="Times New Roman"/>
          <w:sz w:val="24"/>
          <w:szCs w:val="24"/>
        </w:rPr>
        <w:t xml:space="preserve">This suggests </w:t>
      </w:r>
      <w:r w:rsidRPr="00926420">
        <w:rPr>
          <w:rFonts w:ascii="Times New Roman" w:hAnsi="Times New Roman"/>
          <w:sz w:val="24"/>
          <w:szCs w:val="24"/>
        </w:rPr>
        <w:t xml:space="preserve">that </w:t>
      </w:r>
      <w:r>
        <w:rPr>
          <w:rFonts w:ascii="Times New Roman" w:hAnsi="Times New Roman"/>
          <w:sz w:val="24"/>
          <w:szCs w:val="24"/>
        </w:rPr>
        <w:t>RGDP</w:t>
      </w:r>
      <w:r w:rsidRPr="00926420">
        <w:rPr>
          <w:rFonts w:ascii="Times New Roman" w:hAnsi="Times New Roman"/>
          <w:sz w:val="24"/>
          <w:szCs w:val="24"/>
        </w:rPr>
        <w:t xml:space="preserve"> equation constitutes a true cointegrating relationship in the first vector. Thus, there exists a sustainable long-run equilibrium relationship amongst the variables in the </w:t>
      </w:r>
      <w:r>
        <w:rPr>
          <w:rFonts w:ascii="Times New Roman" w:hAnsi="Times New Roman"/>
          <w:sz w:val="24"/>
          <w:szCs w:val="24"/>
        </w:rPr>
        <w:t>RGDP</w:t>
      </w:r>
      <w:r w:rsidRPr="00926420">
        <w:rPr>
          <w:rFonts w:ascii="Times New Roman" w:hAnsi="Times New Roman"/>
          <w:sz w:val="24"/>
          <w:szCs w:val="24"/>
        </w:rPr>
        <w:t xml:space="preserve"> equation.</w:t>
      </w:r>
      <w:r>
        <w:rPr>
          <w:rFonts w:ascii="Times New Roman" w:hAnsi="Times New Roman"/>
          <w:sz w:val="24"/>
          <w:szCs w:val="24"/>
        </w:rPr>
        <w:t xml:space="preserve"> This is corroborated by the fact that RGDP is the target variable in the study.</w:t>
      </w:r>
    </w:p>
    <w:p w14:paraId="4CA3B808" w14:textId="3BEF9E3A" w:rsidR="00D31621" w:rsidRDefault="00D31621" w:rsidP="005E1237">
      <w:pPr>
        <w:spacing w:line="240" w:lineRule="auto"/>
        <w:rPr>
          <w:rFonts w:ascii="Times New Roman" w:hAnsi="Times New Roman"/>
          <w:sz w:val="24"/>
          <w:szCs w:val="24"/>
        </w:rPr>
      </w:pPr>
      <w:r w:rsidRPr="00926420">
        <w:rPr>
          <w:rFonts w:ascii="Times New Roman" w:hAnsi="Times New Roman"/>
          <w:sz w:val="24"/>
          <w:szCs w:val="24"/>
        </w:rPr>
        <w:t>The graph of the two coint</w:t>
      </w:r>
      <w:r>
        <w:rPr>
          <w:rFonts w:ascii="Times New Roman" w:hAnsi="Times New Roman"/>
          <w:sz w:val="24"/>
          <w:szCs w:val="24"/>
        </w:rPr>
        <w:t>e</w:t>
      </w:r>
      <w:r w:rsidRPr="00926420">
        <w:rPr>
          <w:rFonts w:ascii="Times New Roman" w:hAnsi="Times New Roman"/>
          <w:sz w:val="24"/>
          <w:szCs w:val="24"/>
        </w:rPr>
        <w:t xml:space="preserve">grating vectors is shown in Figure </w:t>
      </w:r>
      <w:r>
        <w:rPr>
          <w:rFonts w:ascii="Times New Roman" w:hAnsi="Times New Roman"/>
          <w:sz w:val="24"/>
          <w:szCs w:val="24"/>
        </w:rPr>
        <w:t xml:space="preserve">1 </w:t>
      </w:r>
    </w:p>
    <w:p w14:paraId="01831FA4" w14:textId="77777777" w:rsidR="005E1237" w:rsidRDefault="005E1237" w:rsidP="00C45F51">
      <w:pPr>
        <w:spacing w:after="0" w:line="240" w:lineRule="auto"/>
        <w:ind w:firstLine="720"/>
        <w:jc w:val="both"/>
        <w:rPr>
          <w:rFonts w:ascii="Times New Roman" w:hAnsi="Times New Roman"/>
          <w:sz w:val="24"/>
          <w:szCs w:val="24"/>
        </w:rPr>
        <w:sectPr w:rsidR="005E1237" w:rsidSect="005E1237">
          <w:type w:val="continuous"/>
          <w:pgSz w:w="12240" w:h="15840"/>
          <w:pgMar w:top="1135" w:right="1440" w:bottom="1440" w:left="1440" w:header="720" w:footer="720" w:gutter="0"/>
          <w:cols w:num="2" w:space="720"/>
          <w:docGrid w:linePitch="360"/>
        </w:sectPr>
      </w:pPr>
    </w:p>
    <w:p w14:paraId="3FD7E08D" w14:textId="64D2AFDD" w:rsidR="00D31621" w:rsidRPr="00D4783F" w:rsidRDefault="00D31621" w:rsidP="00C45F51">
      <w:pPr>
        <w:spacing w:after="0" w:line="240" w:lineRule="auto"/>
        <w:ind w:firstLine="720"/>
        <w:jc w:val="both"/>
        <w:rPr>
          <w:rFonts w:ascii="Times New Roman" w:hAnsi="Times New Roman"/>
          <w:b/>
          <w:bCs/>
          <w:sz w:val="24"/>
          <w:szCs w:val="24"/>
        </w:rPr>
      </w:pPr>
      <w:r w:rsidRPr="00926420">
        <w:rPr>
          <w:rFonts w:ascii="Times New Roman" w:hAnsi="Times New Roman"/>
          <w:sz w:val="24"/>
          <w:szCs w:val="24"/>
        </w:rPr>
        <w:t xml:space="preserve">. </w:t>
      </w:r>
      <w:r w:rsidRPr="00926420">
        <w:rPr>
          <w:rFonts w:ascii="Times New Roman" w:hAnsi="Times New Roman"/>
          <w:b/>
          <w:bCs/>
          <w:sz w:val="24"/>
          <w:szCs w:val="24"/>
        </w:rPr>
        <w:t xml:space="preserve">Figure 1: </w:t>
      </w:r>
      <w:r>
        <w:rPr>
          <w:rFonts w:ascii="Times New Roman" w:hAnsi="Times New Roman"/>
          <w:b/>
          <w:bCs/>
          <w:sz w:val="24"/>
          <w:szCs w:val="24"/>
        </w:rPr>
        <w:t>Graph</w:t>
      </w:r>
      <w:r w:rsidRPr="00926420">
        <w:rPr>
          <w:rFonts w:ascii="Times New Roman" w:hAnsi="Times New Roman"/>
          <w:b/>
          <w:bCs/>
          <w:sz w:val="24"/>
          <w:szCs w:val="24"/>
        </w:rPr>
        <w:t xml:space="preserve"> of the </w:t>
      </w:r>
      <w:r>
        <w:rPr>
          <w:rFonts w:ascii="Times New Roman" w:hAnsi="Times New Roman"/>
          <w:b/>
          <w:bCs/>
          <w:sz w:val="24"/>
          <w:szCs w:val="24"/>
        </w:rPr>
        <w:t>two Cointegrating Vectors</w:t>
      </w:r>
    </w:p>
    <w:p w14:paraId="57CE4C4D" w14:textId="77777777" w:rsidR="00D31621" w:rsidRDefault="00D31621" w:rsidP="00C45F51">
      <w:pPr>
        <w:spacing w:after="0" w:line="240" w:lineRule="auto"/>
        <w:jc w:val="both"/>
      </w:pPr>
      <w:r>
        <w:tab/>
      </w:r>
      <w:r>
        <w:object w:dxaOrig="9886" w:dyaOrig="3780" w14:anchorId="2D4BF2A1">
          <v:shape id="_x0000_i1057" type="#_x0000_t75" style="width:429.75pt;height:163.5pt" o:ole="">
            <v:imagedata r:id="rId55" o:title=""/>
          </v:shape>
          <o:OLEObject Type="Embed" ProgID="Unknown" ShapeID="_x0000_i1057" DrawAspect="Content" ObjectID="_1817953528" r:id="rId56"/>
        </w:object>
      </w:r>
    </w:p>
    <w:p w14:paraId="2051FFF7" w14:textId="77777777" w:rsidR="00AB7897" w:rsidRPr="005E1237" w:rsidRDefault="00D31621" w:rsidP="00C45F51">
      <w:pPr>
        <w:spacing w:after="0" w:line="240" w:lineRule="auto"/>
        <w:ind w:left="720" w:firstLine="720"/>
        <w:jc w:val="both"/>
        <w:rPr>
          <w:rFonts w:ascii="Times New Roman" w:hAnsi="Times New Roman"/>
          <w:b/>
          <w:i/>
          <w:iCs/>
          <w:sz w:val="20"/>
          <w:szCs w:val="20"/>
        </w:rPr>
      </w:pPr>
      <w:r w:rsidRPr="005E1237">
        <w:rPr>
          <w:b/>
          <w:i/>
          <w:iCs/>
          <w:sz w:val="20"/>
          <w:szCs w:val="20"/>
        </w:rPr>
        <w:t xml:space="preserve">Source: </w:t>
      </w:r>
      <w:r w:rsidRPr="005E1237">
        <w:rPr>
          <w:rFonts w:ascii="Times New Roman" w:hAnsi="Times New Roman"/>
          <w:b/>
          <w:i/>
          <w:iCs/>
          <w:sz w:val="20"/>
          <w:szCs w:val="20"/>
        </w:rPr>
        <w:t>Graphs Using E-view Statistical Package, Version 10</w:t>
      </w:r>
    </w:p>
    <w:p w14:paraId="04D55FFB" w14:textId="77777777" w:rsidR="00AB7897" w:rsidRPr="00AB7897" w:rsidRDefault="00AB7897" w:rsidP="00C45F51">
      <w:pPr>
        <w:spacing w:after="0" w:line="240" w:lineRule="auto"/>
        <w:ind w:left="720" w:firstLine="720"/>
        <w:jc w:val="both"/>
        <w:rPr>
          <w:sz w:val="14"/>
        </w:rPr>
      </w:pPr>
    </w:p>
    <w:p w14:paraId="1E619931" w14:textId="77777777" w:rsidR="005E1237" w:rsidRDefault="005E1237" w:rsidP="00C45F51">
      <w:pPr>
        <w:pStyle w:val="NoSpacing"/>
        <w:spacing w:after="240"/>
        <w:jc w:val="both"/>
        <w:rPr>
          <w:rFonts w:ascii="Times New Roman" w:hAnsi="Times New Roman"/>
          <w:sz w:val="24"/>
          <w:szCs w:val="24"/>
        </w:rPr>
        <w:sectPr w:rsidR="005E1237" w:rsidSect="004267E7">
          <w:type w:val="continuous"/>
          <w:pgSz w:w="12240" w:h="15840"/>
          <w:pgMar w:top="1135" w:right="1440" w:bottom="1440" w:left="1440" w:header="720" w:footer="720" w:gutter="0"/>
          <w:cols w:space="720"/>
          <w:docGrid w:linePitch="360"/>
        </w:sectPr>
      </w:pPr>
    </w:p>
    <w:p w14:paraId="08CFCAF9" w14:textId="23C0509C" w:rsidR="00D31621" w:rsidRPr="00086320" w:rsidRDefault="00D31621" w:rsidP="005E1237">
      <w:pPr>
        <w:pStyle w:val="NoSpacing"/>
        <w:spacing w:after="240"/>
        <w:rPr>
          <w:rFonts w:ascii="Times New Roman" w:hAnsi="Times New Roman"/>
          <w:sz w:val="24"/>
          <w:szCs w:val="24"/>
        </w:rPr>
      </w:pPr>
      <w:r w:rsidRPr="00086320">
        <w:rPr>
          <w:rFonts w:ascii="Times New Roman" w:hAnsi="Times New Roman"/>
          <w:sz w:val="24"/>
          <w:szCs w:val="24"/>
        </w:rPr>
        <w:t xml:space="preserve">The graphs exhibit mean-reversion thus </w:t>
      </w:r>
      <w:r>
        <w:rPr>
          <w:rFonts w:ascii="Times New Roman" w:hAnsi="Times New Roman"/>
          <w:sz w:val="24"/>
          <w:szCs w:val="24"/>
        </w:rPr>
        <w:t xml:space="preserve">indicating </w:t>
      </w:r>
      <w:r w:rsidR="00AD25CA" w:rsidRPr="00086320">
        <w:rPr>
          <w:rFonts w:ascii="Times New Roman" w:hAnsi="Times New Roman"/>
          <w:sz w:val="24"/>
          <w:szCs w:val="24"/>
        </w:rPr>
        <w:t>clear evidence</w:t>
      </w:r>
      <w:r w:rsidRPr="00086320">
        <w:rPr>
          <w:rFonts w:ascii="Times New Roman" w:hAnsi="Times New Roman"/>
          <w:sz w:val="24"/>
          <w:szCs w:val="24"/>
        </w:rPr>
        <w:t xml:space="preserve"> of true cointegrating vectors of </w:t>
      </w:r>
      <w:r>
        <w:rPr>
          <w:rFonts w:ascii="Times New Roman" w:hAnsi="Times New Roman"/>
          <w:sz w:val="24"/>
          <w:szCs w:val="24"/>
        </w:rPr>
        <w:t xml:space="preserve">real GDP (RGDP) and ratio of money supply to GDP (M2/GDP). </w:t>
      </w:r>
      <w:r w:rsidRPr="00086320">
        <w:rPr>
          <w:rFonts w:ascii="Times New Roman" w:hAnsi="Times New Roman"/>
          <w:sz w:val="24"/>
          <w:szCs w:val="24"/>
        </w:rPr>
        <w:t xml:space="preserve">However, since our interest and </w:t>
      </w:r>
      <w:r w:rsidRPr="00086320">
        <w:rPr>
          <w:rFonts w:ascii="Times New Roman" w:hAnsi="Times New Roman"/>
          <w:sz w:val="24"/>
          <w:szCs w:val="24"/>
        </w:rPr>
        <w:t xml:space="preserve">target is on </w:t>
      </w:r>
      <w:r>
        <w:rPr>
          <w:rFonts w:ascii="Times New Roman" w:hAnsi="Times New Roman"/>
          <w:sz w:val="24"/>
          <w:szCs w:val="24"/>
        </w:rPr>
        <w:t>RGDP</w:t>
      </w:r>
      <w:r w:rsidRPr="00086320">
        <w:rPr>
          <w:rFonts w:ascii="Times New Roman" w:hAnsi="Times New Roman"/>
          <w:sz w:val="24"/>
          <w:szCs w:val="24"/>
        </w:rPr>
        <w:t>, we</w:t>
      </w:r>
      <w:r w:rsidRPr="00AD25CA">
        <w:rPr>
          <w:rFonts w:ascii="Times New Roman" w:hAnsi="Times New Roman"/>
          <w:color w:val="4472C4" w:themeColor="accent1"/>
          <w:sz w:val="24"/>
          <w:szCs w:val="24"/>
        </w:rPr>
        <w:t xml:space="preserve"> </w:t>
      </w:r>
      <w:r w:rsidRPr="005E1237">
        <w:rPr>
          <w:rFonts w:ascii="Times New Roman" w:hAnsi="Times New Roman"/>
          <w:sz w:val="24"/>
          <w:szCs w:val="24"/>
        </w:rPr>
        <w:t>d</w:t>
      </w:r>
      <w:r w:rsidR="00AD25CA" w:rsidRPr="005E1237">
        <w:rPr>
          <w:rFonts w:ascii="Times New Roman" w:hAnsi="Times New Roman"/>
          <w:sz w:val="24"/>
          <w:szCs w:val="24"/>
        </w:rPr>
        <w:t>id</w:t>
      </w:r>
      <w:r w:rsidRPr="005E1237">
        <w:rPr>
          <w:rFonts w:ascii="Times New Roman" w:hAnsi="Times New Roman"/>
          <w:sz w:val="24"/>
          <w:szCs w:val="24"/>
        </w:rPr>
        <w:t xml:space="preserve"> </w:t>
      </w:r>
      <w:r w:rsidRPr="00086320">
        <w:rPr>
          <w:rFonts w:ascii="Times New Roman" w:hAnsi="Times New Roman"/>
          <w:sz w:val="24"/>
          <w:szCs w:val="24"/>
        </w:rPr>
        <w:t xml:space="preserve">not report the result for the second vector. Therefore, the model was normalised on </w:t>
      </w:r>
      <w:r>
        <w:rPr>
          <w:rFonts w:ascii="Times New Roman" w:hAnsi="Times New Roman"/>
          <w:sz w:val="24"/>
          <w:szCs w:val="24"/>
        </w:rPr>
        <w:t>RGDP</w:t>
      </w:r>
      <w:r w:rsidRPr="00086320">
        <w:rPr>
          <w:rFonts w:ascii="Times New Roman" w:hAnsi="Times New Roman"/>
          <w:sz w:val="24"/>
          <w:szCs w:val="24"/>
        </w:rPr>
        <w:t xml:space="preserve"> in order to obtain the long run and short run parameter est</w:t>
      </w:r>
      <w:r>
        <w:rPr>
          <w:rFonts w:ascii="Times New Roman" w:hAnsi="Times New Roman"/>
          <w:sz w:val="24"/>
          <w:szCs w:val="24"/>
        </w:rPr>
        <w:t>imates and possible inferences.</w:t>
      </w:r>
    </w:p>
    <w:p w14:paraId="213EB2A3" w14:textId="77777777" w:rsidR="005E1237" w:rsidRDefault="005E1237" w:rsidP="00C45F51">
      <w:pPr>
        <w:pStyle w:val="NoSpacing"/>
        <w:ind w:firstLine="720"/>
        <w:jc w:val="both"/>
        <w:rPr>
          <w:rFonts w:ascii="Times New Roman" w:hAnsi="Times New Roman"/>
          <w:b/>
          <w:sz w:val="24"/>
          <w:szCs w:val="24"/>
        </w:rPr>
        <w:sectPr w:rsidR="005E1237" w:rsidSect="005E1237">
          <w:type w:val="continuous"/>
          <w:pgSz w:w="12240" w:h="15840"/>
          <w:pgMar w:top="1135" w:right="1440" w:bottom="1440" w:left="1440" w:header="720" w:footer="720" w:gutter="0"/>
          <w:cols w:num="2" w:space="720"/>
          <w:docGrid w:linePitch="360"/>
        </w:sectPr>
      </w:pPr>
    </w:p>
    <w:p w14:paraId="245D8B4D" w14:textId="77777777" w:rsidR="005E1237" w:rsidRDefault="005E1237" w:rsidP="00C45F51">
      <w:pPr>
        <w:pStyle w:val="NoSpacing"/>
        <w:ind w:firstLine="720"/>
        <w:jc w:val="both"/>
        <w:rPr>
          <w:rFonts w:ascii="Times New Roman" w:hAnsi="Times New Roman"/>
          <w:b/>
          <w:sz w:val="24"/>
          <w:szCs w:val="24"/>
        </w:rPr>
      </w:pPr>
    </w:p>
    <w:p w14:paraId="26AA5B12" w14:textId="0F0A975D" w:rsidR="00D31621" w:rsidRPr="00FC0689" w:rsidRDefault="00D31621" w:rsidP="00C45F51">
      <w:pPr>
        <w:pStyle w:val="NoSpacing"/>
        <w:ind w:firstLine="720"/>
        <w:jc w:val="both"/>
        <w:rPr>
          <w:rFonts w:ascii="Times New Roman" w:hAnsi="Times New Roman"/>
          <w:b/>
          <w:sz w:val="24"/>
          <w:szCs w:val="24"/>
        </w:rPr>
      </w:pPr>
      <w:r>
        <w:rPr>
          <w:rFonts w:ascii="Times New Roman" w:hAnsi="Times New Roman"/>
          <w:b/>
          <w:sz w:val="24"/>
          <w:szCs w:val="24"/>
        </w:rPr>
        <w:t xml:space="preserve">Table </w:t>
      </w:r>
      <w:r w:rsidR="00AD25CA">
        <w:rPr>
          <w:rFonts w:ascii="Times New Roman" w:hAnsi="Times New Roman"/>
          <w:b/>
          <w:sz w:val="24"/>
          <w:szCs w:val="24"/>
        </w:rPr>
        <w:t>12</w:t>
      </w:r>
      <w:r>
        <w:rPr>
          <w:rFonts w:ascii="Times New Roman" w:hAnsi="Times New Roman"/>
          <w:b/>
          <w:sz w:val="24"/>
          <w:szCs w:val="24"/>
        </w:rPr>
        <w:t xml:space="preserve">: </w:t>
      </w:r>
      <w:r w:rsidRPr="00C569E6">
        <w:rPr>
          <w:rFonts w:ascii="Times New Roman" w:hAnsi="Times New Roman"/>
          <w:b/>
          <w:bCs/>
          <w:sz w:val="24"/>
          <w:szCs w:val="24"/>
        </w:rPr>
        <w:t>Long-run Parame</w:t>
      </w:r>
      <w:r>
        <w:rPr>
          <w:rFonts w:ascii="Times New Roman" w:hAnsi="Times New Roman"/>
          <w:b/>
          <w:bCs/>
          <w:sz w:val="24"/>
          <w:szCs w:val="24"/>
        </w:rPr>
        <w:t>ters of VECM Normalized on RGDP</w:t>
      </w:r>
    </w:p>
    <w:tbl>
      <w:tblPr>
        <w:tblW w:w="8658" w:type="dxa"/>
        <w:tblInd w:w="784" w:type="dxa"/>
        <w:tblLook w:val="04A0" w:firstRow="1" w:lastRow="0" w:firstColumn="1" w:lastColumn="0" w:noHBand="0" w:noVBand="1"/>
      </w:tblPr>
      <w:tblGrid>
        <w:gridCol w:w="2414"/>
        <w:gridCol w:w="2057"/>
        <w:gridCol w:w="2314"/>
        <w:gridCol w:w="1873"/>
      </w:tblGrid>
      <w:tr w:rsidR="00D31621" w:rsidRPr="00D70D91" w14:paraId="417DF1D5" w14:textId="77777777" w:rsidTr="005E1237">
        <w:trPr>
          <w:trHeight w:val="340"/>
        </w:trPr>
        <w:tc>
          <w:tcPr>
            <w:tcW w:w="2414" w:type="dxa"/>
            <w:tcBorders>
              <w:top w:val="single" w:sz="4" w:space="0" w:color="auto"/>
              <w:bottom w:val="single" w:sz="4" w:space="0" w:color="auto"/>
            </w:tcBorders>
            <w:noWrap/>
            <w:vAlign w:val="bottom"/>
            <w:hideMark/>
          </w:tcPr>
          <w:p w14:paraId="7074863F" w14:textId="77777777" w:rsidR="00D31621" w:rsidRPr="00D70D91" w:rsidRDefault="00D31621" w:rsidP="00C45F51">
            <w:pPr>
              <w:spacing w:after="0" w:line="240" w:lineRule="auto"/>
              <w:rPr>
                <w:rFonts w:ascii="Times New Roman" w:hAnsi="Times New Roman"/>
                <w:color w:val="000000"/>
                <w:sz w:val="24"/>
                <w:szCs w:val="24"/>
              </w:rPr>
            </w:pPr>
            <w:r w:rsidRPr="00D70D91">
              <w:rPr>
                <w:rFonts w:ascii="Times New Roman" w:hAnsi="Times New Roman"/>
                <w:color w:val="000000"/>
                <w:sz w:val="24"/>
                <w:szCs w:val="24"/>
              </w:rPr>
              <w:t>Parameters</w:t>
            </w:r>
          </w:p>
        </w:tc>
        <w:tc>
          <w:tcPr>
            <w:tcW w:w="2057" w:type="dxa"/>
            <w:tcBorders>
              <w:top w:val="single" w:sz="4" w:space="0" w:color="auto"/>
              <w:bottom w:val="single" w:sz="4" w:space="0" w:color="auto"/>
            </w:tcBorders>
            <w:noWrap/>
            <w:vAlign w:val="bottom"/>
            <w:hideMark/>
          </w:tcPr>
          <w:p w14:paraId="414F0E61" w14:textId="77777777" w:rsidR="00D31621" w:rsidRPr="00D70D91" w:rsidRDefault="00D31621" w:rsidP="00C45F51">
            <w:pPr>
              <w:spacing w:after="0" w:line="240" w:lineRule="auto"/>
              <w:rPr>
                <w:rFonts w:ascii="Times New Roman" w:hAnsi="Times New Roman"/>
                <w:color w:val="000000"/>
                <w:sz w:val="24"/>
                <w:szCs w:val="24"/>
              </w:rPr>
            </w:pPr>
            <w:r w:rsidRPr="00D70D91">
              <w:rPr>
                <w:rFonts w:ascii="Times New Roman" w:hAnsi="Times New Roman"/>
                <w:color w:val="000000"/>
                <w:sz w:val="24"/>
                <w:szCs w:val="24"/>
              </w:rPr>
              <w:t>Coefficient</w:t>
            </w:r>
          </w:p>
        </w:tc>
        <w:tc>
          <w:tcPr>
            <w:tcW w:w="2314" w:type="dxa"/>
            <w:tcBorders>
              <w:top w:val="single" w:sz="4" w:space="0" w:color="auto"/>
              <w:bottom w:val="single" w:sz="4" w:space="0" w:color="auto"/>
            </w:tcBorders>
            <w:noWrap/>
            <w:vAlign w:val="bottom"/>
            <w:hideMark/>
          </w:tcPr>
          <w:p w14:paraId="10E783DF" w14:textId="77777777" w:rsidR="00D31621" w:rsidRPr="00D70D91" w:rsidRDefault="00D31621" w:rsidP="00C45F51">
            <w:pPr>
              <w:spacing w:after="0" w:line="240" w:lineRule="auto"/>
              <w:rPr>
                <w:rFonts w:ascii="Times New Roman" w:hAnsi="Times New Roman"/>
                <w:color w:val="000000"/>
                <w:sz w:val="24"/>
                <w:szCs w:val="24"/>
              </w:rPr>
            </w:pPr>
            <w:r>
              <w:rPr>
                <w:rFonts w:ascii="Times New Roman" w:hAnsi="Times New Roman"/>
                <w:color w:val="000000"/>
                <w:sz w:val="24"/>
                <w:szCs w:val="24"/>
              </w:rPr>
              <w:t>Standard</w:t>
            </w:r>
            <w:r w:rsidRPr="00D70D91">
              <w:rPr>
                <w:rFonts w:ascii="Times New Roman" w:hAnsi="Times New Roman"/>
                <w:color w:val="000000"/>
                <w:sz w:val="24"/>
                <w:szCs w:val="24"/>
              </w:rPr>
              <w:t xml:space="preserve"> Error</w:t>
            </w:r>
          </w:p>
        </w:tc>
        <w:tc>
          <w:tcPr>
            <w:tcW w:w="1873" w:type="dxa"/>
            <w:tcBorders>
              <w:top w:val="single" w:sz="4" w:space="0" w:color="auto"/>
              <w:bottom w:val="single" w:sz="4" w:space="0" w:color="auto"/>
            </w:tcBorders>
            <w:noWrap/>
            <w:vAlign w:val="bottom"/>
            <w:hideMark/>
          </w:tcPr>
          <w:p w14:paraId="1CBAB351" w14:textId="77777777" w:rsidR="00D31621" w:rsidRPr="00D70D91" w:rsidRDefault="00D31621" w:rsidP="00C45F51">
            <w:pPr>
              <w:spacing w:after="0" w:line="240" w:lineRule="auto"/>
              <w:rPr>
                <w:rFonts w:ascii="Times New Roman" w:hAnsi="Times New Roman"/>
                <w:color w:val="000000"/>
                <w:sz w:val="24"/>
                <w:szCs w:val="24"/>
              </w:rPr>
            </w:pPr>
            <w:r w:rsidRPr="00D70D91">
              <w:rPr>
                <w:rFonts w:ascii="Times New Roman" w:hAnsi="Times New Roman"/>
                <w:color w:val="000000"/>
                <w:sz w:val="24"/>
                <w:szCs w:val="24"/>
              </w:rPr>
              <w:t>t-Statistic</w:t>
            </w:r>
          </w:p>
        </w:tc>
      </w:tr>
      <w:tr w:rsidR="00D31621" w:rsidRPr="00D70D91" w14:paraId="221B8CFA" w14:textId="77777777" w:rsidTr="005E1237">
        <w:trPr>
          <w:trHeight w:val="340"/>
        </w:trPr>
        <w:tc>
          <w:tcPr>
            <w:tcW w:w="2414" w:type="dxa"/>
            <w:tcBorders>
              <w:top w:val="single" w:sz="4" w:space="0" w:color="auto"/>
            </w:tcBorders>
            <w:noWrap/>
            <w:vAlign w:val="bottom"/>
            <w:hideMark/>
          </w:tcPr>
          <w:p w14:paraId="17B35631" w14:textId="77777777" w:rsidR="00D31621" w:rsidRPr="00D70D91" w:rsidRDefault="00D31621" w:rsidP="00C45F51">
            <w:pPr>
              <w:spacing w:after="0" w:line="240" w:lineRule="auto"/>
              <w:rPr>
                <w:rFonts w:ascii="Times New Roman" w:hAnsi="Times New Roman"/>
                <w:color w:val="000000"/>
                <w:sz w:val="24"/>
                <w:szCs w:val="24"/>
              </w:rPr>
            </w:pPr>
            <w:r w:rsidRPr="00D70D91">
              <w:rPr>
                <w:rFonts w:ascii="Times New Roman" w:hAnsi="Times New Roman"/>
                <w:color w:val="000000"/>
                <w:sz w:val="24"/>
                <w:szCs w:val="24"/>
              </w:rPr>
              <w:t> </w:t>
            </w:r>
            <w:r>
              <w:rPr>
                <w:rFonts w:ascii="Times New Roman" w:hAnsi="Times New Roman"/>
                <w:color w:val="000000"/>
                <w:sz w:val="24"/>
                <w:szCs w:val="24"/>
              </w:rPr>
              <w:t>RGDP</w:t>
            </w:r>
            <w:r w:rsidRPr="00A663F8">
              <w:rPr>
                <w:rFonts w:ascii="Times New Roman" w:hAnsi="Times New Roman"/>
                <w:color w:val="000000"/>
                <w:sz w:val="24"/>
                <w:szCs w:val="24"/>
              </w:rPr>
              <w:t>(-1)</w:t>
            </w:r>
          </w:p>
        </w:tc>
        <w:tc>
          <w:tcPr>
            <w:tcW w:w="2057" w:type="dxa"/>
            <w:tcBorders>
              <w:top w:val="single" w:sz="4" w:space="0" w:color="auto"/>
            </w:tcBorders>
            <w:noWrap/>
            <w:vAlign w:val="bottom"/>
            <w:hideMark/>
          </w:tcPr>
          <w:p w14:paraId="55FE5929" w14:textId="77777777" w:rsidR="00D31621" w:rsidRPr="00D70D91" w:rsidRDefault="00D31621" w:rsidP="00C45F51">
            <w:pPr>
              <w:spacing w:after="0" w:line="240" w:lineRule="auto"/>
              <w:rPr>
                <w:rFonts w:ascii="Times New Roman" w:hAnsi="Times New Roman"/>
                <w:color w:val="000000"/>
                <w:sz w:val="24"/>
                <w:szCs w:val="24"/>
              </w:rPr>
            </w:pPr>
            <w:r w:rsidRPr="00A663F8">
              <w:rPr>
                <w:rFonts w:ascii="Times New Roman" w:hAnsi="Times New Roman"/>
                <w:color w:val="000000"/>
                <w:sz w:val="24"/>
                <w:szCs w:val="24"/>
              </w:rPr>
              <w:t>1</w:t>
            </w:r>
          </w:p>
        </w:tc>
        <w:tc>
          <w:tcPr>
            <w:tcW w:w="2314" w:type="dxa"/>
            <w:tcBorders>
              <w:top w:val="single" w:sz="4" w:space="0" w:color="auto"/>
            </w:tcBorders>
            <w:noWrap/>
            <w:vAlign w:val="bottom"/>
            <w:hideMark/>
          </w:tcPr>
          <w:p w14:paraId="19AF5F0D" w14:textId="77777777" w:rsidR="00D31621" w:rsidRPr="00D70D91" w:rsidRDefault="00D31621" w:rsidP="00C45F51">
            <w:pPr>
              <w:spacing w:after="0" w:line="240" w:lineRule="auto"/>
              <w:rPr>
                <w:rFonts w:ascii="Times New Roman" w:hAnsi="Times New Roman"/>
                <w:color w:val="000000"/>
                <w:sz w:val="24"/>
                <w:szCs w:val="24"/>
              </w:rPr>
            </w:pPr>
            <w:r w:rsidRPr="00A663F8">
              <w:rPr>
                <w:rFonts w:ascii="Times New Roman" w:hAnsi="Times New Roman"/>
                <w:color w:val="000000"/>
                <w:sz w:val="24"/>
                <w:szCs w:val="24"/>
              </w:rPr>
              <w:t>-</w:t>
            </w:r>
          </w:p>
        </w:tc>
        <w:tc>
          <w:tcPr>
            <w:tcW w:w="1873" w:type="dxa"/>
            <w:tcBorders>
              <w:top w:val="single" w:sz="4" w:space="0" w:color="auto"/>
            </w:tcBorders>
            <w:noWrap/>
            <w:vAlign w:val="bottom"/>
            <w:hideMark/>
          </w:tcPr>
          <w:p w14:paraId="77DE3170" w14:textId="77777777" w:rsidR="00D31621" w:rsidRPr="00D70D91" w:rsidRDefault="00D31621" w:rsidP="00C45F51">
            <w:pPr>
              <w:spacing w:after="0" w:line="240" w:lineRule="auto"/>
              <w:rPr>
                <w:rFonts w:ascii="Times New Roman" w:hAnsi="Times New Roman"/>
                <w:color w:val="000000"/>
                <w:sz w:val="24"/>
                <w:szCs w:val="24"/>
              </w:rPr>
            </w:pPr>
            <w:r w:rsidRPr="00A663F8">
              <w:rPr>
                <w:rFonts w:ascii="Times New Roman" w:hAnsi="Times New Roman"/>
                <w:color w:val="000000"/>
                <w:sz w:val="24"/>
                <w:szCs w:val="24"/>
              </w:rPr>
              <w:t>-</w:t>
            </w:r>
          </w:p>
        </w:tc>
      </w:tr>
      <w:tr w:rsidR="00D31621" w:rsidRPr="00D70D91" w14:paraId="50681AAE" w14:textId="77777777" w:rsidTr="005E1237">
        <w:trPr>
          <w:trHeight w:val="340"/>
        </w:trPr>
        <w:tc>
          <w:tcPr>
            <w:tcW w:w="2414" w:type="dxa"/>
            <w:tcBorders>
              <w:top w:val="nil"/>
            </w:tcBorders>
            <w:noWrap/>
            <w:vAlign w:val="bottom"/>
            <w:hideMark/>
          </w:tcPr>
          <w:p w14:paraId="15FC0CE5" w14:textId="77777777" w:rsidR="00D31621" w:rsidRPr="00D70D91" w:rsidRDefault="00D31621" w:rsidP="00C45F51">
            <w:pPr>
              <w:spacing w:after="0" w:line="240" w:lineRule="auto"/>
              <w:rPr>
                <w:rFonts w:ascii="Times New Roman" w:hAnsi="Times New Roman"/>
                <w:color w:val="000000"/>
                <w:sz w:val="24"/>
                <w:szCs w:val="24"/>
              </w:rPr>
            </w:pPr>
            <w:r w:rsidRPr="00D70D91">
              <w:rPr>
                <w:rFonts w:ascii="Times New Roman" w:hAnsi="Times New Roman"/>
                <w:color w:val="000000"/>
                <w:sz w:val="24"/>
                <w:szCs w:val="24"/>
              </w:rPr>
              <w:t> </w:t>
            </w:r>
            <w:r>
              <w:rPr>
                <w:rFonts w:ascii="Times New Roman" w:hAnsi="Times New Roman"/>
                <w:color w:val="000000"/>
                <w:sz w:val="24"/>
                <w:szCs w:val="24"/>
              </w:rPr>
              <w:t>M2/GDP</w:t>
            </w:r>
            <w:r w:rsidRPr="00A663F8">
              <w:rPr>
                <w:rFonts w:ascii="Times New Roman" w:hAnsi="Times New Roman"/>
                <w:color w:val="000000"/>
                <w:sz w:val="24"/>
                <w:szCs w:val="24"/>
              </w:rPr>
              <w:t>(-1)</w:t>
            </w:r>
          </w:p>
        </w:tc>
        <w:tc>
          <w:tcPr>
            <w:tcW w:w="2057" w:type="dxa"/>
            <w:tcBorders>
              <w:top w:val="nil"/>
            </w:tcBorders>
            <w:noWrap/>
            <w:vAlign w:val="bottom"/>
            <w:hideMark/>
          </w:tcPr>
          <w:p w14:paraId="018757E8" w14:textId="77777777" w:rsidR="00D31621" w:rsidRPr="00A663F8" w:rsidRDefault="00D31621" w:rsidP="00C45F51">
            <w:pPr>
              <w:spacing w:after="0" w:line="240" w:lineRule="auto"/>
              <w:rPr>
                <w:rFonts w:ascii="Times New Roman" w:hAnsi="Times New Roman"/>
                <w:color w:val="000000"/>
                <w:sz w:val="24"/>
                <w:szCs w:val="24"/>
              </w:rPr>
            </w:pPr>
            <w:r>
              <w:rPr>
                <w:rFonts w:ascii="Times New Roman" w:hAnsi="Times New Roman"/>
                <w:color w:val="000000"/>
                <w:sz w:val="24"/>
                <w:szCs w:val="24"/>
              </w:rPr>
              <w:t>0.811947</w:t>
            </w:r>
          </w:p>
        </w:tc>
        <w:tc>
          <w:tcPr>
            <w:tcW w:w="2314" w:type="dxa"/>
            <w:tcBorders>
              <w:top w:val="nil"/>
            </w:tcBorders>
            <w:noWrap/>
            <w:vAlign w:val="bottom"/>
            <w:hideMark/>
          </w:tcPr>
          <w:p w14:paraId="404400ED" w14:textId="77777777" w:rsidR="00D31621" w:rsidRPr="00A663F8" w:rsidRDefault="00D31621" w:rsidP="00C45F51">
            <w:pPr>
              <w:spacing w:after="0" w:line="240" w:lineRule="auto"/>
              <w:rPr>
                <w:rFonts w:ascii="Times New Roman" w:hAnsi="Times New Roman"/>
                <w:color w:val="000000"/>
                <w:sz w:val="24"/>
                <w:szCs w:val="24"/>
              </w:rPr>
            </w:pPr>
            <w:r>
              <w:rPr>
                <w:rFonts w:ascii="Times New Roman" w:hAnsi="Times New Roman"/>
                <w:color w:val="000000"/>
                <w:sz w:val="24"/>
                <w:szCs w:val="24"/>
              </w:rPr>
              <w:t>0.11584</w:t>
            </w:r>
          </w:p>
        </w:tc>
        <w:tc>
          <w:tcPr>
            <w:tcW w:w="1873" w:type="dxa"/>
            <w:tcBorders>
              <w:top w:val="nil"/>
            </w:tcBorders>
            <w:noWrap/>
            <w:vAlign w:val="bottom"/>
            <w:hideMark/>
          </w:tcPr>
          <w:p w14:paraId="0BE44CEF" w14:textId="77777777" w:rsidR="00D31621" w:rsidRPr="00A663F8" w:rsidRDefault="00D31621" w:rsidP="00C45F51">
            <w:pPr>
              <w:spacing w:after="0" w:line="240" w:lineRule="auto"/>
              <w:rPr>
                <w:rFonts w:ascii="Times New Roman" w:hAnsi="Times New Roman"/>
                <w:color w:val="000000"/>
                <w:sz w:val="24"/>
                <w:szCs w:val="24"/>
              </w:rPr>
            </w:pPr>
            <w:r>
              <w:rPr>
                <w:rFonts w:ascii="Times New Roman" w:hAnsi="Times New Roman"/>
                <w:color w:val="000000"/>
                <w:sz w:val="24"/>
                <w:szCs w:val="24"/>
              </w:rPr>
              <w:t>7.00898</w:t>
            </w:r>
          </w:p>
        </w:tc>
      </w:tr>
      <w:tr w:rsidR="00D31621" w:rsidRPr="00D70D91" w14:paraId="10DACE4F" w14:textId="77777777" w:rsidTr="005E1237">
        <w:trPr>
          <w:trHeight w:val="340"/>
        </w:trPr>
        <w:tc>
          <w:tcPr>
            <w:tcW w:w="2414" w:type="dxa"/>
            <w:tcBorders>
              <w:top w:val="nil"/>
            </w:tcBorders>
            <w:noWrap/>
            <w:vAlign w:val="bottom"/>
          </w:tcPr>
          <w:p w14:paraId="44D46558" w14:textId="77777777" w:rsidR="00D31621" w:rsidRPr="00D70D91" w:rsidRDefault="00D31621" w:rsidP="00C45F51">
            <w:pPr>
              <w:spacing w:after="0" w:line="240" w:lineRule="auto"/>
              <w:rPr>
                <w:rFonts w:ascii="Times New Roman" w:hAnsi="Times New Roman"/>
                <w:color w:val="000000"/>
                <w:sz w:val="24"/>
                <w:szCs w:val="24"/>
              </w:rPr>
            </w:pPr>
            <w:r w:rsidRPr="00D70D91">
              <w:rPr>
                <w:rFonts w:ascii="Times New Roman" w:hAnsi="Times New Roman"/>
                <w:color w:val="000000"/>
                <w:sz w:val="24"/>
                <w:szCs w:val="24"/>
              </w:rPr>
              <w:t> </w:t>
            </w:r>
            <w:r>
              <w:rPr>
                <w:rFonts w:ascii="Times New Roman" w:hAnsi="Times New Roman"/>
                <w:color w:val="000000"/>
                <w:sz w:val="24"/>
                <w:szCs w:val="24"/>
              </w:rPr>
              <w:t>P/TDS</w:t>
            </w:r>
            <w:r w:rsidRPr="00A663F8">
              <w:rPr>
                <w:rFonts w:ascii="Times New Roman" w:hAnsi="Times New Roman"/>
                <w:color w:val="000000"/>
                <w:sz w:val="24"/>
                <w:szCs w:val="24"/>
              </w:rPr>
              <w:t>(-1)</w:t>
            </w:r>
          </w:p>
        </w:tc>
        <w:tc>
          <w:tcPr>
            <w:tcW w:w="2057" w:type="dxa"/>
            <w:tcBorders>
              <w:top w:val="nil"/>
            </w:tcBorders>
            <w:noWrap/>
            <w:vAlign w:val="bottom"/>
            <w:hideMark/>
          </w:tcPr>
          <w:p w14:paraId="2340BC88" w14:textId="77777777" w:rsidR="00D31621" w:rsidRPr="00D70D91" w:rsidRDefault="00D31621" w:rsidP="00C45F51">
            <w:pPr>
              <w:spacing w:after="0" w:line="240" w:lineRule="auto"/>
              <w:rPr>
                <w:rFonts w:ascii="Times New Roman" w:hAnsi="Times New Roman"/>
                <w:color w:val="000000"/>
                <w:sz w:val="24"/>
                <w:szCs w:val="24"/>
              </w:rPr>
            </w:pPr>
            <w:r>
              <w:rPr>
                <w:rFonts w:ascii="Times New Roman" w:hAnsi="Times New Roman"/>
                <w:color w:val="000000"/>
                <w:sz w:val="24"/>
                <w:szCs w:val="24"/>
              </w:rPr>
              <w:t>3.956608</w:t>
            </w:r>
          </w:p>
        </w:tc>
        <w:tc>
          <w:tcPr>
            <w:tcW w:w="2314" w:type="dxa"/>
            <w:tcBorders>
              <w:top w:val="nil"/>
            </w:tcBorders>
            <w:noWrap/>
            <w:vAlign w:val="bottom"/>
            <w:hideMark/>
          </w:tcPr>
          <w:p w14:paraId="058D85E7" w14:textId="77777777" w:rsidR="00D31621" w:rsidRPr="00D70D91" w:rsidRDefault="00D31621" w:rsidP="00C45F51">
            <w:pPr>
              <w:spacing w:after="0" w:line="240" w:lineRule="auto"/>
              <w:rPr>
                <w:rFonts w:ascii="Times New Roman" w:hAnsi="Times New Roman"/>
                <w:color w:val="000000"/>
                <w:sz w:val="24"/>
                <w:szCs w:val="24"/>
              </w:rPr>
            </w:pPr>
            <w:r>
              <w:rPr>
                <w:rFonts w:ascii="Times New Roman" w:hAnsi="Times New Roman"/>
                <w:color w:val="000000"/>
                <w:sz w:val="24"/>
                <w:szCs w:val="24"/>
              </w:rPr>
              <w:t>1.16971</w:t>
            </w:r>
          </w:p>
        </w:tc>
        <w:tc>
          <w:tcPr>
            <w:tcW w:w="1873" w:type="dxa"/>
            <w:tcBorders>
              <w:top w:val="nil"/>
            </w:tcBorders>
            <w:noWrap/>
            <w:vAlign w:val="bottom"/>
            <w:hideMark/>
          </w:tcPr>
          <w:p w14:paraId="21568FE3" w14:textId="77777777" w:rsidR="00D31621" w:rsidRPr="00D70D91" w:rsidRDefault="00D31621" w:rsidP="00C45F51">
            <w:pPr>
              <w:spacing w:after="0" w:line="240" w:lineRule="auto"/>
              <w:rPr>
                <w:rFonts w:ascii="Times New Roman" w:hAnsi="Times New Roman"/>
                <w:color w:val="000000"/>
                <w:sz w:val="24"/>
                <w:szCs w:val="24"/>
              </w:rPr>
            </w:pPr>
            <w:r>
              <w:rPr>
                <w:rFonts w:ascii="Times New Roman" w:hAnsi="Times New Roman"/>
                <w:color w:val="000000"/>
                <w:sz w:val="24"/>
                <w:szCs w:val="24"/>
              </w:rPr>
              <w:t>3.38254</w:t>
            </w:r>
          </w:p>
        </w:tc>
      </w:tr>
      <w:tr w:rsidR="00D31621" w:rsidRPr="00D70D91" w14:paraId="6AAE8DF5" w14:textId="77777777" w:rsidTr="005E1237">
        <w:trPr>
          <w:trHeight w:val="340"/>
        </w:trPr>
        <w:tc>
          <w:tcPr>
            <w:tcW w:w="2414" w:type="dxa"/>
            <w:tcBorders>
              <w:top w:val="nil"/>
            </w:tcBorders>
            <w:noWrap/>
            <w:vAlign w:val="bottom"/>
          </w:tcPr>
          <w:p w14:paraId="3529742F" w14:textId="77777777" w:rsidR="00D31621" w:rsidRPr="00D70D91" w:rsidRDefault="00D31621" w:rsidP="00C45F51">
            <w:pPr>
              <w:spacing w:after="0" w:line="240" w:lineRule="auto"/>
              <w:rPr>
                <w:rFonts w:ascii="Times New Roman" w:hAnsi="Times New Roman"/>
                <w:color w:val="000000"/>
                <w:sz w:val="24"/>
                <w:szCs w:val="24"/>
              </w:rPr>
            </w:pPr>
            <w:r w:rsidRPr="00D70D91">
              <w:rPr>
                <w:rFonts w:ascii="Times New Roman" w:hAnsi="Times New Roman"/>
                <w:color w:val="000000"/>
                <w:sz w:val="24"/>
                <w:szCs w:val="24"/>
              </w:rPr>
              <w:t> </w:t>
            </w:r>
            <w:r>
              <w:rPr>
                <w:rFonts w:ascii="Times New Roman" w:hAnsi="Times New Roman"/>
                <w:color w:val="000000"/>
                <w:sz w:val="24"/>
                <w:szCs w:val="24"/>
              </w:rPr>
              <w:t>LDS</w:t>
            </w:r>
            <w:r w:rsidRPr="00A663F8">
              <w:rPr>
                <w:rFonts w:ascii="Times New Roman" w:hAnsi="Times New Roman"/>
                <w:color w:val="000000"/>
                <w:sz w:val="24"/>
                <w:szCs w:val="24"/>
              </w:rPr>
              <w:t>(-1)</w:t>
            </w:r>
          </w:p>
        </w:tc>
        <w:tc>
          <w:tcPr>
            <w:tcW w:w="2057" w:type="dxa"/>
            <w:tcBorders>
              <w:top w:val="nil"/>
            </w:tcBorders>
            <w:noWrap/>
            <w:vAlign w:val="bottom"/>
            <w:hideMark/>
          </w:tcPr>
          <w:p w14:paraId="125AED7E" w14:textId="77777777" w:rsidR="00D31621" w:rsidRPr="00D70D91" w:rsidRDefault="00D31621" w:rsidP="00C45F51">
            <w:pPr>
              <w:spacing w:after="0" w:line="240" w:lineRule="auto"/>
              <w:rPr>
                <w:rFonts w:ascii="Times New Roman" w:hAnsi="Times New Roman"/>
                <w:color w:val="000000"/>
                <w:sz w:val="24"/>
                <w:szCs w:val="24"/>
              </w:rPr>
            </w:pPr>
            <w:r>
              <w:rPr>
                <w:rFonts w:ascii="Times New Roman" w:hAnsi="Times New Roman"/>
                <w:color w:val="000000"/>
                <w:sz w:val="24"/>
                <w:szCs w:val="24"/>
              </w:rPr>
              <w:t>-0.157230</w:t>
            </w:r>
          </w:p>
        </w:tc>
        <w:tc>
          <w:tcPr>
            <w:tcW w:w="2314" w:type="dxa"/>
            <w:tcBorders>
              <w:top w:val="nil"/>
            </w:tcBorders>
            <w:noWrap/>
            <w:vAlign w:val="bottom"/>
            <w:hideMark/>
          </w:tcPr>
          <w:p w14:paraId="4555BA03" w14:textId="77777777" w:rsidR="00D31621" w:rsidRPr="00D70D91" w:rsidRDefault="00D31621" w:rsidP="00C45F51">
            <w:pPr>
              <w:spacing w:after="0" w:line="240" w:lineRule="auto"/>
              <w:rPr>
                <w:rFonts w:ascii="Times New Roman" w:hAnsi="Times New Roman"/>
                <w:color w:val="000000"/>
                <w:sz w:val="24"/>
                <w:szCs w:val="24"/>
              </w:rPr>
            </w:pPr>
            <w:r>
              <w:rPr>
                <w:rFonts w:ascii="Times New Roman" w:hAnsi="Times New Roman"/>
                <w:color w:val="000000"/>
                <w:sz w:val="24"/>
                <w:szCs w:val="24"/>
              </w:rPr>
              <w:t>0.02412</w:t>
            </w:r>
          </w:p>
        </w:tc>
        <w:tc>
          <w:tcPr>
            <w:tcW w:w="1873" w:type="dxa"/>
            <w:tcBorders>
              <w:top w:val="nil"/>
            </w:tcBorders>
            <w:noWrap/>
            <w:vAlign w:val="bottom"/>
            <w:hideMark/>
          </w:tcPr>
          <w:p w14:paraId="04CDEA9F" w14:textId="77777777" w:rsidR="00D31621" w:rsidRPr="00D70D91" w:rsidRDefault="00D31621" w:rsidP="00C45F51">
            <w:pPr>
              <w:spacing w:after="0" w:line="240" w:lineRule="auto"/>
              <w:rPr>
                <w:rFonts w:ascii="Times New Roman" w:hAnsi="Times New Roman"/>
                <w:color w:val="000000"/>
                <w:sz w:val="24"/>
                <w:szCs w:val="24"/>
              </w:rPr>
            </w:pPr>
            <w:r>
              <w:rPr>
                <w:rFonts w:ascii="Times New Roman" w:hAnsi="Times New Roman"/>
                <w:color w:val="000000"/>
                <w:sz w:val="24"/>
                <w:szCs w:val="24"/>
              </w:rPr>
              <w:t>-6.51945</w:t>
            </w:r>
          </w:p>
        </w:tc>
      </w:tr>
      <w:tr w:rsidR="00D31621" w:rsidRPr="00D70D91" w14:paraId="635A4595" w14:textId="77777777" w:rsidTr="005E1237">
        <w:trPr>
          <w:trHeight w:val="340"/>
        </w:trPr>
        <w:tc>
          <w:tcPr>
            <w:tcW w:w="2414" w:type="dxa"/>
            <w:tcBorders>
              <w:top w:val="nil"/>
            </w:tcBorders>
            <w:noWrap/>
            <w:vAlign w:val="bottom"/>
          </w:tcPr>
          <w:p w14:paraId="4588D2AF" w14:textId="77777777" w:rsidR="00D31621" w:rsidRPr="00D70D91" w:rsidRDefault="00D31621" w:rsidP="00C45F51">
            <w:pPr>
              <w:spacing w:after="0" w:line="240" w:lineRule="auto"/>
              <w:rPr>
                <w:rFonts w:ascii="Times New Roman" w:hAnsi="Times New Roman"/>
                <w:color w:val="000000"/>
                <w:sz w:val="24"/>
                <w:szCs w:val="24"/>
              </w:rPr>
            </w:pPr>
            <w:r w:rsidRPr="00D70D91">
              <w:rPr>
                <w:rFonts w:ascii="Times New Roman" w:hAnsi="Times New Roman"/>
                <w:color w:val="000000"/>
                <w:sz w:val="24"/>
                <w:szCs w:val="24"/>
              </w:rPr>
              <w:t> </w:t>
            </w:r>
            <w:r>
              <w:rPr>
                <w:rFonts w:ascii="Times New Roman" w:hAnsi="Times New Roman"/>
                <w:color w:val="000000"/>
                <w:sz w:val="24"/>
                <w:szCs w:val="24"/>
              </w:rPr>
              <w:t>LR</w:t>
            </w:r>
            <w:r w:rsidRPr="00A663F8">
              <w:rPr>
                <w:rFonts w:ascii="Times New Roman" w:hAnsi="Times New Roman"/>
                <w:color w:val="000000"/>
                <w:sz w:val="24"/>
                <w:szCs w:val="24"/>
              </w:rPr>
              <w:t>(-1)</w:t>
            </w:r>
          </w:p>
        </w:tc>
        <w:tc>
          <w:tcPr>
            <w:tcW w:w="2057" w:type="dxa"/>
            <w:tcBorders>
              <w:top w:val="nil"/>
            </w:tcBorders>
            <w:noWrap/>
            <w:vAlign w:val="bottom"/>
            <w:hideMark/>
          </w:tcPr>
          <w:p w14:paraId="2D0765E2" w14:textId="77777777" w:rsidR="00D31621" w:rsidRPr="00D70D91" w:rsidRDefault="00D31621" w:rsidP="00C45F51">
            <w:pPr>
              <w:spacing w:after="0" w:line="240" w:lineRule="auto"/>
              <w:rPr>
                <w:rFonts w:ascii="Times New Roman" w:hAnsi="Times New Roman"/>
                <w:color w:val="000000"/>
                <w:sz w:val="24"/>
                <w:szCs w:val="24"/>
              </w:rPr>
            </w:pPr>
            <w:r>
              <w:rPr>
                <w:rFonts w:ascii="Times New Roman" w:hAnsi="Times New Roman"/>
                <w:color w:val="000000"/>
                <w:sz w:val="24"/>
                <w:szCs w:val="24"/>
              </w:rPr>
              <w:t>0.127402</w:t>
            </w:r>
          </w:p>
        </w:tc>
        <w:tc>
          <w:tcPr>
            <w:tcW w:w="2314" w:type="dxa"/>
            <w:tcBorders>
              <w:top w:val="nil"/>
            </w:tcBorders>
            <w:noWrap/>
            <w:vAlign w:val="bottom"/>
            <w:hideMark/>
          </w:tcPr>
          <w:p w14:paraId="0FDC4E92" w14:textId="77777777" w:rsidR="00D31621" w:rsidRPr="00D70D91" w:rsidRDefault="00D31621" w:rsidP="00C45F51">
            <w:pPr>
              <w:spacing w:after="0" w:line="240" w:lineRule="auto"/>
              <w:rPr>
                <w:rFonts w:ascii="Times New Roman" w:hAnsi="Times New Roman"/>
                <w:color w:val="000000"/>
                <w:sz w:val="24"/>
                <w:szCs w:val="24"/>
              </w:rPr>
            </w:pPr>
            <w:r>
              <w:rPr>
                <w:rFonts w:ascii="Times New Roman" w:hAnsi="Times New Roman"/>
                <w:color w:val="000000"/>
                <w:sz w:val="24"/>
                <w:szCs w:val="24"/>
              </w:rPr>
              <w:t>0.03673</w:t>
            </w:r>
          </w:p>
        </w:tc>
        <w:tc>
          <w:tcPr>
            <w:tcW w:w="1873" w:type="dxa"/>
            <w:tcBorders>
              <w:top w:val="nil"/>
            </w:tcBorders>
            <w:noWrap/>
            <w:vAlign w:val="bottom"/>
            <w:hideMark/>
          </w:tcPr>
          <w:p w14:paraId="11BEE4C0" w14:textId="77777777" w:rsidR="00D31621" w:rsidRPr="00D70D91" w:rsidRDefault="00D31621" w:rsidP="00C45F51">
            <w:pPr>
              <w:spacing w:after="0" w:line="240" w:lineRule="auto"/>
              <w:rPr>
                <w:rFonts w:ascii="Times New Roman" w:hAnsi="Times New Roman"/>
                <w:color w:val="000000"/>
                <w:sz w:val="24"/>
                <w:szCs w:val="24"/>
              </w:rPr>
            </w:pPr>
            <w:r>
              <w:rPr>
                <w:rFonts w:ascii="Times New Roman" w:hAnsi="Times New Roman"/>
                <w:color w:val="000000"/>
                <w:sz w:val="24"/>
                <w:szCs w:val="24"/>
              </w:rPr>
              <w:t>3.46860</w:t>
            </w:r>
          </w:p>
        </w:tc>
      </w:tr>
      <w:tr w:rsidR="00D31621" w:rsidRPr="00D70D91" w14:paraId="0759633F" w14:textId="77777777" w:rsidTr="005E1237">
        <w:trPr>
          <w:trHeight w:val="340"/>
        </w:trPr>
        <w:tc>
          <w:tcPr>
            <w:tcW w:w="2414" w:type="dxa"/>
            <w:tcBorders>
              <w:top w:val="nil"/>
              <w:bottom w:val="nil"/>
            </w:tcBorders>
            <w:noWrap/>
            <w:vAlign w:val="bottom"/>
          </w:tcPr>
          <w:p w14:paraId="192C48F0" w14:textId="77777777" w:rsidR="00D31621" w:rsidRPr="00D70D91" w:rsidRDefault="00D31621" w:rsidP="00C45F51">
            <w:pPr>
              <w:spacing w:after="0" w:line="240" w:lineRule="auto"/>
              <w:rPr>
                <w:rFonts w:ascii="Times New Roman" w:hAnsi="Times New Roman"/>
                <w:color w:val="000000"/>
                <w:sz w:val="24"/>
                <w:szCs w:val="24"/>
              </w:rPr>
            </w:pPr>
            <w:r>
              <w:rPr>
                <w:rFonts w:ascii="Times New Roman" w:hAnsi="Times New Roman"/>
                <w:color w:val="000000"/>
                <w:sz w:val="24"/>
                <w:szCs w:val="24"/>
              </w:rPr>
              <w:t xml:space="preserve"> SMR(-1)</w:t>
            </w:r>
          </w:p>
        </w:tc>
        <w:tc>
          <w:tcPr>
            <w:tcW w:w="2057" w:type="dxa"/>
            <w:tcBorders>
              <w:top w:val="nil"/>
              <w:bottom w:val="nil"/>
            </w:tcBorders>
            <w:noWrap/>
            <w:vAlign w:val="bottom"/>
            <w:hideMark/>
          </w:tcPr>
          <w:p w14:paraId="52F6D090" w14:textId="77777777" w:rsidR="00D31621" w:rsidRPr="00D70D91" w:rsidRDefault="00D31621" w:rsidP="00C45F51">
            <w:pPr>
              <w:spacing w:after="0" w:line="240" w:lineRule="auto"/>
              <w:rPr>
                <w:rFonts w:ascii="Times New Roman" w:hAnsi="Times New Roman"/>
                <w:color w:val="000000"/>
                <w:sz w:val="24"/>
                <w:szCs w:val="24"/>
              </w:rPr>
            </w:pPr>
            <w:r>
              <w:rPr>
                <w:rFonts w:ascii="Times New Roman" w:hAnsi="Times New Roman"/>
                <w:color w:val="000000"/>
                <w:sz w:val="24"/>
                <w:szCs w:val="24"/>
              </w:rPr>
              <w:t>0.017947</w:t>
            </w:r>
          </w:p>
        </w:tc>
        <w:tc>
          <w:tcPr>
            <w:tcW w:w="2314" w:type="dxa"/>
            <w:tcBorders>
              <w:top w:val="nil"/>
              <w:bottom w:val="nil"/>
            </w:tcBorders>
            <w:noWrap/>
            <w:vAlign w:val="bottom"/>
            <w:hideMark/>
          </w:tcPr>
          <w:p w14:paraId="61AC190D" w14:textId="77777777" w:rsidR="00D31621" w:rsidRPr="00D70D91" w:rsidRDefault="00D31621" w:rsidP="00C45F51">
            <w:pPr>
              <w:spacing w:after="0" w:line="240" w:lineRule="auto"/>
              <w:rPr>
                <w:rFonts w:ascii="Times New Roman" w:hAnsi="Times New Roman"/>
                <w:color w:val="000000"/>
                <w:sz w:val="24"/>
                <w:szCs w:val="24"/>
              </w:rPr>
            </w:pPr>
            <w:r>
              <w:rPr>
                <w:rFonts w:ascii="Times New Roman" w:hAnsi="Times New Roman"/>
                <w:color w:val="000000"/>
                <w:sz w:val="24"/>
                <w:szCs w:val="24"/>
              </w:rPr>
              <w:t>0.00670</w:t>
            </w:r>
          </w:p>
        </w:tc>
        <w:tc>
          <w:tcPr>
            <w:tcW w:w="1873" w:type="dxa"/>
            <w:tcBorders>
              <w:top w:val="nil"/>
              <w:bottom w:val="nil"/>
            </w:tcBorders>
            <w:noWrap/>
            <w:vAlign w:val="bottom"/>
            <w:hideMark/>
          </w:tcPr>
          <w:p w14:paraId="2249E16A" w14:textId="77777777" w:rsidR="00D31621" w:rsidRPr="00D70D91" w:rsidRDefault="00D31621" w:rsidP="00C45F51">
            <w:pPr>
              <w:spacing w:after="0" w:line="240" w:lineRule="auto"/>
              <w:rPr>
                <w:rFonts w:ascii="Times New Roman" w:hAnsi="Times New Roman"/>
                <w:color w:val="000000"/>
                <w:sz w:val="24"/>
                <w:szCs w:val="24"/>
              </w:rPr>
            </w:pPr>
            <w:r>
              <w:rPr>
                <w:rFonts w:ascii="Times New Roman" w:hAnsi="Times New Roman"/>
                <w:color w:val="000000"/>
                <w:sz w:val="24"/>
                <w:szCs w:val="24"/>
              </w:rPr>
              <w:t>2.68044</w:t>
            </w:r>
          </w:p>
        </w:tc>
      </w:tr>
      <w:tr w:rsidR="00D31621" w:rsidRPr="00D70D91" w14:paraId="05F58F01" w14:textId="77777777" w:rsidTr="005E1237">
        <w:trPr>
          <w:trHeight w:val="340"/>
        </w:trPr>
        <w:tc>
          <w:tcPr>
            <w:tcW w:w="2414" w:type="dxa"/>
            <w:tcBorders>
              <w:top w:val="nil"/>
              <w:bottom w:val="nil"/>
            </w:tcBorders>
            <w:noWrap/>
            <w:vAlign w:val="bottom"/>
          </w:tcPr>
          <w:p w14:paraId="0B412329" w14:textId="77777777" w:rsidR="00D31621" w:rsidRDefault="00D31621" w:rsidP="00C45F51">
            <w:pPr>
              <w:spacing w:after="0" w:line="240" w:lineRule="auto"/>
              <w:rPr>
                <w:rFonts w:ascii="Times New Roman" w:hAnsi="Times New Roman"/>
                <w:color w:val="000000"/>
                <w:sz w:val="24"/>
                <w:szCs w:val="24"/>
              </w:rPr>
            </w:pPr>
            <w:r>
              <w:rPr>
                <w:rFonts w:ascii="Times New Roman" w:hAnsi="Times New Roman"/>
                <w:color w:val="000000"/>
                <w:sz w:val="24"/>
                <w:szCs w:val="24"/>
              </w:rPr>
              <w:t>INF(-1)</w:t>
            </w:r>
          </w:p>
        </w:tc>
        <w:tc>
          <w:tcPr>
            <w:tcW w:w="2057" w:type="dxa"/>
            <w:tcBorders>
              <w:top w:val="nil"/>
              <w:bottom w:val="nil"/>
            </w:tcBorders>
            <w:noWrap/>
            <w:vAlign w:val="bottom"/>
            <w:hideMark/>
          </w:tcPr>
          <w:p w14:paraId="5CEE8301" w14:textId="77777777" w:rsidR="00D31621" w:rsidRDefault="00D31621" w:rsidP="00C45F51">
            <w:pPr>
              <w:spacing w:after="0" w:line="240" w:lineRule="auto"/>
              <w:rPr>
                <w:rFonts w:ascii="Times New Roman" w:hAnsi="Times New Roman"/>
                <w:color w:val="000000"/>
                <w:sz w:val="24"/>
                <w:szCs w:val="24"/>
              </w:rPr>
            </w:pPr>
            <w:r>
              <w:rPr>
                <w:rFonts w:ascii="Times New Roman" w:hAnsi="Times New Roman"/>
                <w:color w:val="000000"/>
                <w:sz w:val="24"/>
                <w:szCs w:val="24"/>
              </w:rPr>
              <w:t>-0.026569</w:t>
            </w:r>
          </w:p>
        </w:tc>
        <w:tc>
          <w:tcPr>
            <w:tcW w:w="2314" w:type="dxa"/>
            <w:tcBorders>
              <w:top w:val="nil"/>
              <w:bottom w:val="nil"/>
            </w:tcBorders>
            <w:noWrap/>
            <w:vAlign w:val="bottom"/>
            <w:hideMark/>
          </w:tcPr>
          <w:p w14:paraId="4524B686" w14:textId="77777777" w:rsidR="00D31621" w:rsidRDefault="00D31621" w:rsidP="00C45F51">
            <w:pPr>
              <w:spacing w:after="0" w:line="240" w:lineRule="auto"/>
              <w:rPr>
                <w:rFonts w:ascii="Times New Roman" w:hAnsi="Times New Roman"/>
                <w:color w:val="000000"/>
                <w:sz w:val="24"/>
                <w:szCs w:val="24"/>
              </w:rPr>
            </w:pPr>
            <w:r>
              <w:rPr>
                <w:rFonts w:ascii="Times New Roman" w:hAnsi="Times New Roman"/>
                <w:color w:val="000000"/>
                <w:sz w:val="24"/>
                <w:szCs w:val="24"/>
              </w:rPr>
              <w:t>0.00947</w:t>
            </w:r>
          </w:p>
        </w:tc>
        <w:tc>
          <w:tcPr>
            <w:tcW w:w="1873" w:type="dxa"/>
            <w:tcBorders>
              <w:top w:val="nil"/>
              <w:bottom w:val="nil"/>
            </w:tcBorders>
            <w:noWrap/>
            <w:vAlign w:val="bottom"/>
            <w:hideMark/>
          </w:tcPr>
          <w:p w14:paraId="2C7B0181" w14:textId="77777777" w:rsidR="00D31621" w:rsidRDefault="00D31621" w:rsidP="00C45F51">
            <w:pPr>
              <w:spacing w:after="0" w:line="240" w:lineRule="auto"/>
              <w:rPr>
                <w:rFonts w:ascii="Times New Roman" w:hAnsi="Times New Roman"/>
                <w:color w:val="000000"/>
                <w:sz w:val="24"/>
                <w:szCs w:val="24"/>
              </w:rPr>
            </w:pPr>
            <w:r>
              <w:rPr>
                <w:rFonts w:ascii="Times New Roman" w:hAnsi="Times New Roman"/>
                <w:color w:val="000000"/>
                <w:sz w:val="24"/>
                <w:szCs w:val="24"/>
              </w:rPr>
              <w:t>-2.80667</w:t>
            </w:r>
          </w:p>
        </w:tc>
      </w:tr>
      <w:tr w:rsidR="00D31621" w:rsidRPr="00D70D91" w14:paraId="4E31FA9A" w14:textId="77777777" w:rsidTr="005E1237">
        <w:trPr>
          <w:trHeight w:val="340"/>
        </w:trPr>
        <w:tc>
          <w:tcPr>
            <w:tcW w:w="2414" w:type="dxa"/>
            <w:tcBorders>
              <w:top w:val="nil"/>
              <w:bottom w:val="nil"/>
            </w:tcBorders>
            <w:noWrap/>
            <w:vAlign w:val="bottom"/>
          </w:tcPr>
          <w:p w14:paraId="387BC45F" w14:textId="77777777" w:rsidR="00D31621" w:rsidRDefault="00D31621" w:rsidP="00C45F51">
            <w:pPr>
              <w:spacing w:after="0" w:line="240" w:lineRule="auto"/>
              <w:rPr>
                <w:rFonts w:ascii="Times New Roman" w:hAnsi="Times New Roman"/>
                <w:color w:val="000000"/>
                <w:sz w:val="24"/>
                <w:szCs w:val="24"/>
              </w:rPr>
            </w:pPr>
            <w:r>
              <w:rPr>
                <w:rFonts w:ascii="Times New Roman" w:hAnsi="Times New Roman"/>
                <w:color w:val="000000"/>
                <w:sz w:val="24"/>
                <w:szCs w:val="24"/>
              </w:rPr>
              <w:t>EXR(-1)</w:t>
            </w:r>
          </w:p>
        </w:tc>
        <w:tc>
          <w:tcPr>
            <w:tcW w:w="2057" w:type="dxa"/>
            <w:tcBorders>
              <w:top w:val="nil"/>
              <w:bottom w:val="nil"/>
            </w:tcBorders>
            <w:noWrap/>
            <w:vAlign w:val="bottom"/>
            <w:hideMark/>
          </w:tcPr>
          <w:p w14:paraId="7F295463" w14:textId="77777777" w:rsidR="00D31621" w:rsidRDefault="00D31621" w:rsidP="00C45F51">
            <w:pPr>
              <w:spacing w:after="0" w:line="240" w:lineRule="auto"/>
              <w:rPr>
                <w:rFonts w:ascii="Times New Roman" w:hAnsi="Times New Roman"/>
                <w:color w:val="000000"/>
                <w:sz w:val="24"/>
                <w:szCs w:val="24"/>
              </w:rPr>
            </w:pPr>
            <w:r>
              <w:rPr>
                <w:rFonts w:ascii="Times New Roman" w:hAnsi="Times New Roman"/>
                <w:color w:val="000000"/>
                <w:sz w:val="24"/>
                <w:szCs w:val="24"/>
              </w:rPr>
              <w:t>0.025595</w:t>
            </w:r>
          </w:p>
        </w:tc>
        <w:tc>
          <w:tcPr>
            <w:tcW w:w="2314" w:type="dxa"/>
            <w:tcBorders>
              <w:top w:val="nil"/>
              <w:bottom w:val="nil"/>
            </w:tcBorders>
            <w:noWrap/>
            <w:vAlign w:val="bottom"/>
            <w:hideMark/>
          </w:tcPr>
          <w:p w14:paraId="6F975F09" w14:textId="77777777" w:rsidR="00D31621" w:rsidRDefault="00D31621" w:rsidP="00C45F51">
            <w:pPr>
              <w:spacing w:after="0" w:line="240" w:lineRule="auto"/>
              <w:rPr>
                <w:rFonts w:ascii="Times New Roman" w:hAnsi="Times New Roman"/>
                <w:color w:val="000000"/>
                <w:sz w:val="24"/>
                <w:szCs w:val="24"/>
              </w:rPr>
            </w:pPr>
            <w:r>
              <w:rPr>
                <w:rFonts w:ascii="Times New Roman" w:hAnsi="Times New Roman"/>
                <w:color w:val="000000"/>
                <w:sz w:val="24"/>
                <w:szCs w:val="24"/>
              </w:rPr>
              <w:t>0.00538</w:t>
            </w:r>
          </w:p>
        </w:tc>
        <w:tc>
          <w:tcPr>
            <w:tcW w:w="1873" w:type="dxa"/>
            <w:tcBorders>
              <w:top w:val="nil"/>
              <w:bottom w:val="nil"/>
            </w:tcBorders>
            <w:noWrap/>
            <w:vAlign w:val="bottom"/>
            <w:hideMark/>
          </w:tcPr>
          <w:p w14:paraId="1D25CCE4" w14:textId="77777777" w:rsidR="00D31621" w:rsidRDefault="00D31621" w:rsidP="00C45F51">
            <w:pPr>
              <w:spacing w:after="0" w:line="240" w:lineRule="auto"/>
              <w:rPr>
                <w:rFonts w:ascii="Times New Roman" w:hAnsi="Times New Roman"/>
                <w:color w:val="000000"/>
                <w:sz w:val="24"/>
                <w:szCs w:val="24"/>
              </w:rPr>
            </w:pPr>
            <w:r>
              <w:rPr>
                <w:rFonts w:ascii="Times New Roman" w:hAnsi="Times New Roman"/>
                <w:color w:val="000000"/>
                <w:sz w:val="24"/>
                <w:szCs w:val="24"/>
              </w:rPr>
              <w:t>4.75342</w:t>
            </w:r>
          </w:p>
        </w:tc>
      </w:tr>
      <w:tr w:rsidR="00D31621" w:rsidRPr="00D70D91" w14:paraId="74556CBB" w14:textId="77777777" w:rsidTr="005E1237">
        <w:trPr>
          <w:trHeight w:val="340"/>
        </w:trPr>
        <w:tc>
          <w:tcPr>
            <w:tcW w:w="2414" w:type="dxa"/>
            <w:tcBorders>
              <w:top w:val="nil"/>
              <w:bottom w:val="single" w:sz="4" w:space="0" w:color="auto"/>
            </w:tcBorders>
            <w:noWrap/>
            <w:vAlign w:val="bottom"/>
          </w:tcPr>
          <w:p w14:paraId="6E67D37D" w14:textId="77777777" w:rsidR="00D31621" w:rsidRPr="00D70D91" w:rsidRDefault="00D31621" w:rsidP="00C45F51">
            <w:pPr>
              <w:spacing w:after="0" w:line="240" w:lineRule="auto"/>
              <w:rPr>
                <w:rFonts w:ascii="Times New Roman" w:hAnsi="Times New Roman"/>
                <w:color w:val="000000"/>
                <w:sz w:val="24"/>
                <w:szCs w:val="24"/>
              </w:rPr>
            </w:pPr>
            <w:r>
              <w:rPr>
                <w:rFonts w:ascii="Times New Roman" w:hAnsi="Times New Roman"/>
                <w:color w:val="000000"/>
                <w:sz w:val="24"/>
                <w:szCs w:val="24"/>
              </w:rPr>
              <w:t>C</w:t>
            </w:r>
          </w:p>
        </w:tc>
        <w:tc>
          <w:tcPr>
            <w:tcW w:w="2057" w:type="dxa"/>
            <w:tcBorders>
              <w:top w:val="nil"/>
              <w:bottom w:val="single" w:sz="4" w:space="0" w:color="auto"/>
            </w:tcBorders>
            <w:noWrap/>
            <w:vAlign w:val="bottom"/>
          </w:tcPr>
          <w:p w14:paraId="202951AE" w14:textId="77777777" w:rsidR="00D31621" w:rsidRPr="00A663F8" w:rsidRDefault="00D31621" w:rsidP="00C45F51">
            <w:pPr>
              <w:spacing w:after="0" w:line="240" w:lineRule="auto"/>
              <w:rPr>
                <w:rFonts w:ascii="Times New Roman" w:hAnsi="Times New Roman"/>
                <w:color w:val="000000"/>
                <w:sz w:val="24"/>
                <w:szCs w:val="24"/>
              </w:rPr>
            </w:pPr>
            <w:r>
              <w:rPr>
                <w:rFonts w:ascii="Times New Roman" w:hAnsi="Times New Roman"/>
                <w:color w:val="000000"/>
                <w:sz w:val="24"/>
                <w:szCs w:val="24"/>
              </w:rPr>
              <w:t>-5.089604</w:t>
            </w:r>
          </w:p>
        </w:tc>
        <w:tc>
          <w:tcPr>
            <w:tcW w:w="2314" w:type="dxa"/>
            <w:tcBorders>
              <w:top w:val="nil"/>
              <w:bottom w:val="single" w:sz="4" w:space="0" w:color="auto"/>
            </w:tcBorders>
            <w:noWrap/>
            <w:vAlign w:val="bottom"/>
          </w:tcPr>
          <w:p w14:paraId="6C2F5002" w14:textId="77777777" w:rsidR="00D31621" w:rsidRPr="00A663F8" w:rsidRDefault="00D31621" w:rsidP="00C45F51">
            <w:pPr>
              <w:spacing w:after="0" w:line="240" w:lineRule="auto"/>
              <w:rPr>
                <w:rFonts w:ascii="Times New Roman" w:hAnsi="Times New Roman"/>
                <w:color w:val="000000"/>
                <w:sz w:val="24"/>
                <w:szCs w:val="24"/>
              </w:rPr>
            </w:pPr>
            <w:r>
              <w:rPr>
                <w:rFonts w:ascii="Times New Roman" w:hAnsi="Times New Roman"/>
                <w:color w:val="000000"/>
                <w:sz w:val="24"/>
                <w:szCs w:val="24"/>
              </w:rPr>
              <w:t>1.73400</w:t>
            </w:r>
          </w:p>
        </w:tc>
        <w:tc>
          <w:tcPr>
            <w:tcW w:w="1873" w:type="dxa"/>
            <w:tcBorders>
              <w:top w:val="nil"/>
              <w:bottom w:val="single" w:sz="4" w:space="0" w:color="auto"/>
            </w:tcBorders>
            <w:noWrap/>
            <w:vAlign w:val="bottom"/>
          </w:tcPr>
          <w:p w14:paraId="6E1D47B9" w14:textId="77777777" w:rsidR="00D31621" w:rsidRPr="00A663F8" w:rsidRDefault="00D31621" w:rsidP="00C45F51">
            <w:pPr>
              <w:spacing w:after="0" w:line="240" w:lineRule="auto"/>
              <w:rPr>
                <w:rFonts w:ascii="Times New Roman" w:hAnsi="Times New Roman"/>
                <w:color w:val="000000"/>
                <w:sz w:val="24"/>
                <w:szCs w:val="24"/>
              </w:rPr>
            </w:pPr>
            <w:r>
              <w:rPr>
                <w:rFonts w:ascii="Times New Roman" w:hAnsi="Times New Roman"/>
                <w:color w:val="000000"/>
                <w:sz w:val="24"/>
                <w:szCs w:val="24"/>
              </w:rPr>
              <w:t>-2.93518</w:t>
            </w:r>
          </w:p>
        </w:tc>
      </w:tr>
    </w:tbl>
    <w:p w14:paraId="0C392AC3" w14:textId="77777777" w:rsidR="00D31621" w:rsidRDefault="00D31621" w:rsidP="00C45F51">
      <w:pPr>
        <w:pStyle w:val="NoSpacing"/>
        <w:spacing w:before="240"/>
        <w:ind w:left="1080" w:hanging="360"/>
        <w:jc w:val="both"/>
        <w:rPr>
          <w:rFonts w:ascii="Times New Roman" w:hAnsi="Times New Roman"/>
          <w:sz w:val="24"/>
          <w:szCs w:val="24"/>
        </w:rPr>
      </w:pPr>
      <w:r>
        <w:rPr>
          <w:rFonts w:ascii="Times New Roman" w:hAnsi="Times New Roman"/>
          <w:i/>
          <w:sz w:val="24"/>
          <w:szCs w:val="24"/>
        </w:rPr>
        <w:t xml:space="preserve">RGDP = -5.09 + 0.812M2/GDP + 3.957P/TDS – 0.157LDS +0.127LR +0.018SMR </w:t>
      </w:r>
      <w:r>
        <w:rPr>
          <w:rFonts w:ascii="Times New Roman" w:hAnsi="Times New Roman"/>
          <w:i/>
          <w:sz w:val="24"/>
          <w:szCs w:val="24"/>
        </w:rPr>
        <w:br/>
        <w:t>– 0.027INF + 0.026EXR</w:t>
      </w:r>
      <w:r>
        <w:rPr>
          <w:rFonts w:ascii="Times New Roman" w:hAnsi="Times New Roman"/>
          <w:sz w:val="24"/>
          <w:szCs w:val="24"/>
        </w:rPr>
        <w:t xml:space="preserve">    </w:t>
      </w:r>
    </w:p>
    <w:p w14:paraId="1F457AD5" w14:textId="77777777" w:rsidR="005E1237" w:rsidRDefault="005E1237" w:rsidP="005E1237">
      <w:pPr>
        <w:spacing w:before="240" w:line="240" w:lineRule="auto"/>
        <w:rPr>
          <w:rFonts w:ascii="Times New Roman" w:hAnsi="Times New Roman"/>
          <w:sz w:val="24"/>
          <w:szCs w:val="24"/>
        </w:rPr>
        <w:sectPr w:rsidR="005E1237" w:rsidSect="004267E7">
          <w:type w:val="continuous"/>
          <w:pgSz w:w="12240" w:h="15840"/>
          <w:pgMar w:top="1135" w:right="1440" w:bottom="1440" w:left="1440" w:header="720" w:footer="720" w:gutter="0"/>
          <w:cols w:space="720"/>
          <w:docGrid w:linePitch="360"/>
        </w:sectPr>
      </w:pPr>
    </w:p>
    <w:p w14:paraId="082A32D1" w14:textId="3CF846C6" w:rsidR="00D31621" w:rsidRPr="005E1237" w:rsidRDefault="00D31621" w:rsidP="005E1237">
      <w:pPr>
        <w:spacing w:before="240" w:line="240" w:lineRule="auto"/>
        <w:rPr>
          <w:rFonts w:ascii="Times New Roman" w:hAnsi="Times New Roman"/>
          <w:sz w:val="24"/>
          <w:szCs w:val="24"/>
        </w:rPr>
      </w:pPr>
      <w:r w:rsidRPr="005E1237">
        <w:rPr>
          <w:rFonts w:ascii="Times New Roman" w:hAnsi="Times New Roman"/>
          <w:sz w:val="24"/>
          <w:szCs w:val="24"/>
        </w:rPr>
        <w:lastRenderedPageBreak/>
        <w:t xml:space="preserve">The result in Table </w:t>
      </w:r>
      <w:r w:rsidR="00AD25CA" w:rsidRPr="005E1237">
        <w:rPr>
          <w:rFonts w:ascii="Times New Roman" w:hAnsi="Times New Roman"/>
          <w:sz w:val="24"/>
          <w:szCs w:val="24"/>
        </w:rPr>
        <w:t>12</w:t>
      </w:r>
      <w:r w:rsidRPr="005E1237">
        <w:rPr>
          <w:rFonts w:ascii="Times New Roman" w:hAnsi="Times New Roman"/>
          <w:sz w:val="24"/>
          <w:szCs w:val="24"/>
        </w:rPr>
        <w:t xml:space="preserve"> show</w:t>
      </w:r>
      <w:r w:rsidR="00AD25CA" w:rsidRPr="005E1237">
        <w:rPr>
          <w:rFonts w:ascii="Times New Roman" w:hAnsi="Times New Roman"/>
          <w:sz w:val="24"/>
          <w:szCs w:val="24"/>
        </w:rPr>
        <w:t>ed</w:t>
      </w:r>
      <w:r w:rsidRPr="005E1237">
        <w:rPr>
          <w:rFonts w:ascii="Times New Roman" w:hAnsi="Times New Roman"/>
          <w:sz w:val="24"/>
          <w:szCs w:val="24"/>
        </w:rPr>
        <w:t xml:space="preserve"> that all the explanatory variables except loan-deposit spread and inflation have positive effect on economic growth (</w:t>
      </w:r>
      <w:r w:rsidRPr="005E1237">
        <w:rPr>
          <w:rFonts w:ascii="Times New Roman" w:hAnsi="Times New Roman"/>
          <w:i/>
          <w:sz w:val="24"/>
          <w:szCs w:val="24"/>
        </w:rPr>
        <w:t>RGDP</w:t>
      </w:r>
      <w:r w:rsidRPr="005E1237">
        <w:rPr>
          <w:rFonts w:ascii="Times New Roman" w:hAnsi="Times New Roman"/>
          <w:sz w:val="24"/>
          <w:szCs w:val="24"/>
        </w:rPr>
        <w:t xml:space="preserve">) in the long-run. Also, all the variables are statistically significant at 5% level. It is evident from the result that </w:t>
      </w:r>
      <w:r w:rsidRPr="005E1237">
        <w:rPr>
          <w:rFonts w:ascii="Times New Roman" w:hAnsi="Times New Roman"/>
          <w:i/>
          <w:sz w:val="24"/>
          <w:szCs w:val="24"/>
        </w:rPr>
        <w:t>M2/GDP</w:t>
      </w:r>
      <w:r w:rsidRPr="005E1237">
        <w:rPr>
          <w:rFonts w:ascii="Times New Roman" w:hAnsi="Times New Roman"/>
          <w:sz w:val="24"/>
          <w:szCs w:val="24"/>
        </w:rPr>
        <w:t xml:space="preserve"> (financial depth), </w:t>
      </w:r>
      <w:r w:rsidRPr="005E1237">
        <w:rPr>
          <w:rFonts w:ascii="Times New Roman" w:hAnsi="Times New Roman"/>
          <w:i/>
          <w:sz w:val="24"/>
          <w:szCs w:val="24"/>
        </w:rPr>
        <w:t>P/TDS</w:t>
      </w:r>
      <w:r w:rsidRPr="005E1237">
        <w:rPr>
          <w:rFonts w:ascii="Times New Roman" w:hAnsi="Times New Roman"/>
          <w:sz w:val="24"/>
          <w:szCs w:val="24"/>
        </w:rPr>
        <w:t xml:space="preserve"> (financial access) and </w:t>
      </w:r>
      <w:r w:rsidRPr="005E1237">
        <w:rPr>
          <w:rFonts w:ascii="Times New Roman" w:hAnsi="Times New Roman"/>
          <w:i/>
          <w:sz w:val="24"/>
          <w:szCs w:val="24"/>
        </w:rPr>
        <w:t>LR</w:t>
      </w:r>
      <w:r w:rsidRPr="005E1237">
        <w:rPr>
          <w:rFonts w:ascii="Times New Roman" w:hAnsi="Times New Roman"/>
          <w:sz w:val="24"/>
          <w:szCs w:val="24"/>
        </w:rPr>
        <w:t xml:space="preserve"> (financial stability) have positive and statistically significant effect on economic growth in Nigeria. A one percent increase in these measures of financial development leads to a positive change in the long-run economic growth by 0.811947 percent, 3.956608 percent and 0.127402 percent respectively. On the other hand, the result reveals a negative relationship between LDS (financial efficiency) and RGDP (economic growth) in Nigeria. A one percent increase in LDS (financial efficiency) leads to a reduction in the long-run RGDP (economic growth) by 0.157230 percent. This entails that the closer the gap between lending and deposit rate, the better for long-run economic growth in Nigeria.    </w:t>
      </w:r>
    </w:p>
    <w:p w14:paraId="55EC2356" w14:textId="46EF6143" w:rsidR="00D31621" w:rsidRPr="005E1237" w:rsidRDefault="00D31621" w:rsidP="005E1237">
      <w:pPr>
        <w:spacing w:line="240" w:lineRule="auto"/>
        <w:rPr>
          <w:rFonts w:ascii="Times New Roman" w:hAnsi="Times New Roman"/>
          <w:sz w:val="24"/>
          <w:szCs w:val="24"/>
        </w:rPr>
      </w:pPr>
      <w:r w:rsidRPr="005E1237">
        <w:rPr>
          <w:rFonts w:ascii="Times New Roman" w:hAnsi="Times New Roman"/>
          <w:sz w:val="24"/>
          <w:szCs w:val="24"/>
        </w:rPr>
        <w:t>Similarly, the result reveal</w:t>
      </w:r>
      <w:r w:rsidR="00AD25CA" w:rsidRPr="005E1237">
        <w:rPr>
          <w:rFonts w:ascii="Times New Roman" w:hAnsi="Times New Roman"/>
          <w:sz w:val="24"/>
          <w:szCs w:val="24"/>
        </w:rPr>
        <w:t>ed</w:t>
      </w:r>
      <w:r w:rsidRPr="005E1237">
        <w:rPr>
          <w:rFonts w:ascii="Times New Roman" w:hAnsi="Times New Roman"/>
          <w:sz w:val="24"/>
          <w:szCs w:val="24"/>
        </w:rPr>
        <w:t xml:space="preserve"> that SMR (Stock Market Returns) have positive and significant relationship with RGDP (economic growth) in the long-run in Nigeria. A one percent increase in stock market returns leads to increase in long-run economic growth by 0.017947 percent. The study also found a positive and significant relationship between exchange rate and long-run economic growth in Nigeria, as well as a negative and significant relationship between inflation and long-run economic growth in Nigeria.</w:t>
      </w:r>
    </w:p>
    <w:p w14:paraId="5F1488E9" w14:textId="1DFF45FD" w:rsidR="00D31621" w:rsidRPr="005E1237" w:rsidRDefault="00D31621" w:rsidP="005E1237">
      <w:pPr>
        <w:pStyle w:val="ListParagraph"/>
        <w:numPr>
          <w:ilvl w:val="0"/>
          <w:numId w:val="34"/>
        </w:numPr>
        <w:spacing w:after="0" w:line="240" w:lineRule="auto"/>
        <w:ind w:left="284"/>
        <w:rPr>
          <w:rFonts w:ascii="Times New Roman" w:hAnsi="Times New Roman"/>
          <w:b/>
          <w:bCs/>
          <w:sz w:val="24"/>
          <w:szCs w:val="24"/>
        </w:rPr>
      </w:pPr>
      <w:r w:rsidRPr="005E1237">
        <w:rPr>
          <w:rFonts w:ascii="Times New Roman" w:hAnsi="Times New Roman"/>
          <w:b/>
          <w:bCs/>
          <w:sz w:val="24"/>
          <w:szCs w:val="24"/>
        </w:rPr>
        <w:t xml:space="preserve">Vector Error-Correction Model </w:t>
      </w:r>
    </w:p>
    <w:p w14:paraId="31D53759" w14:textId="4A98BC46" w:rsidR="00D31621" w:rsidRPr="005E1237" w:rsidRDefault="00D31621" w:rsidP="005E1237">
      <w:pPr>
        <w:spacing w:after="0" w:line="240" w:lineRule="auto"/>
        <w:rPr>
          <w:rFonts w:ascii="Times New Roman" w:hAnsi="Times New Roman"/>
          <w:sz w:val="24"/>
          <w:szCs w:val="24"/>
        </w:rPr>
      </w:pPr>
      <w:r w:rsidRPr="005E1237">
        <w:rPr>
          <w:rFonts w:ascii="Times New Roman" w:hAnsi="Times New Roman"/>
          <w:sz w:val="24"/>
          <w:szCs w:val="24"/>
        </w:rPr>
        <w:t xml:space="preserve">Having reached conclusions on the inherent long-run relationships, we proceed to investigate the short-run dynamics of the RGDP equation. The existence of cointegration among the I(1) variables entails the presence of short-run error correction relationship associated with them. The relationship represents an adjustment process by which the deviated actual RGDP is expected to adjust back to its long-run equilibrium path (Takaendesa, 2005). The results of the VECM of short run dynamics are presented in Table </w:t>
      </w:r>
      <w:r w:rsidR="007C0724" w:rsidRPr="005E1237">
        <w:rPr>
          <w:rFonts w:ascii="Times New Roman" w:hAnsi="Times New Roman"/>
          <w:sz w:val="24"/>
          <w:szCs w:val="24"/>
        </w:rPr>
        <w:t>13</w:t>
      </w:r>
    </w:p>
    <w:p w14:paraId="4785F43A" w14:textId="77777777" w:rsidR="005E1237" w:rsidRDefault="005E1237" w:rsidP="00C45F51">
      <w:pPr>
        <w:spacing w:after="0" w:line="240" w:lineRule="auto"/>
        <w:jc w:val="both"/>
        <w:rPr>
          <w:rFonts w:ascii="Times New Roman" w:hAnsi="Times New Roman"/>
          <w:color w:val="000000"/>
          <w:sz w:val="24"/>
          <w:szCs w:val="24"/>
        </w:rPr>
        <w:sectPr w:rsidR="005E1237" w:rsidSect="005E1237">
          <w:type w:val="continuous"/>
          <w:pgSz w:w="12240" w:h="15840"/>
          <w:pgMar w:top="1135" w:right="1440" w:bottom="1440" w:left="1440" w:header="720" w:footer="720" w:gutter="0"/>
          <w:cols w:num="2" w:space="720"/>
          <w:docGrid w:linePitch="360"/>
        </w:sectPr>
      </w:pPr>
    </w:p>
    <w:p w14:paraId="5BB92FF7" w14:textId="77777777" w:rsidR="00D31621" w:rsidRDefault="00D31621" w:rsidP="00C45F51">
      <w:pPr>
        <w:spacing w:after="0" w:line="240" w:lineRule="auto"/>
        <w:jc w:val="both"/>
        <w:rPr>
          <w:rFonts w:ascii="Times New Roman" w:hAnsi="Times New Roman"/>
          <w:color w:val="000000"/>
          <w:sz w:val="24"/>
          <w:szCs w:val="24"/>
        </w:rPr>
      </w:pPr>
    </w:p>
    <w:p w14:paraId="6A720061" w14:textId="7512715E" w:rsidR="00D31621" w:rsidRPr="007A38D1" w:rsidRDefault="00D31621" w:rsidP="00C45F51">
      <w:pPr>
        <w:spacing w:after="0" w:line="240" w:lineRule="auto"/>
        <w:ind w:firstLine="720"/>
        <w:jc w:val="both"/>
        <w:rPr>
          <w:rFonts w:ascii="Times New Roman" w:hAnsi="Times New Roman"/>
          <w:color w:val="000000"/>
          <w:sz w:val="24"/>
          <w:szCs w:val="24"/>
        </w:rPr>
      </w:pPr>
      <w:r w:rsidRPr="00B3015D">
        <w:rPr>
          <w:rFonts w:ascii="Times New Roman" w:hAnsi="Times New Roman"/>
          <w:b/>
          <w:color w:val="000000"/>
          <w:sz w:val="24"/>
          <w:szCs w:val="24"/>
          <w:lang w:val="en-GB"/>
        </w:rPr>
        <w:t xml:space="preserve">Table </w:t>
      </w:r>
      <w:r w:rsidR="007C0724">
        <w:rPr>
          <w:rFonts w:ascii="Times New Roman" w:hAnsi="Times New Roman"/>
          <w:b/>
          <w:color w:val="000000"/>
          <w:sz w:val="24"/>
          <w:szCs w:val="24"/>
          <w:lang w:val="en-GB"/>
        </w:rPr>
        <w:t>13:</w:t>
      </w:r>
      <w:r w:rsidRPr="00B3015D">
        <w:rPr>
          <w:rFonts w:ascii="Times New Roman" w:hAnsi="Times New Roman"/>
          <w:b/>
          <w:color w:val="000000"/>
          <w:sz w:val="24"/>
          <w:szCs w:val="24"/>
          <w:lang w:val="en-GB"/>
        </w:rPr>
        <w:t xml:space="preserve"> Short-run Dynamic Estimates of VECM Normalised on </w:t>
      </w:r>
      <w:r>
        <w:rPr>
          <w:rFonts w:ascii="Times New Roman" w:hAnsi="Times New Roman"/>
          <w:b/>
          <w:color w:val="000000"/>
          <w:sz w:val="24"/>
          <w:szCs w:val="24"/>
          <w:lang w:val="en-GB"/>
        </w:rPr>
        <w:t>RGDP</w:t>
      </w:r>
    </w:p>
    <w:tbl>
      <w:tblPr>
        <w:tblW w:w="8968" w:type="dxa"/>
        <w:tblInd w:w="784" w:type="dxa"/>
        <w:tblLook w:val="04A0" w:firstRow="1" w:lastRow="0" w:firstColumn="1" w:lastColumn="0" w:noHBand="0" w:noVBand="1"/>
      </w:tblPr>
      <w:tblGrid>
        <w:gridCol w:w="2500"/>
        <w:gridCol w:w="2131"/>
        <w:gridCol w:w="2397"/>
        <w:gridCol w:w="1940"/>
      </w:tblGrid>
      <w:tr w:rsidR="00D31621" w:rsidRPr="00D70D91" w14:paraId="5708096D" w14:textId="77777777" w:rsidTr="005E1237">
        <w:trPr>
          <w:trHeight w:val="417"/>
        </w:trPr>
        <w:tc>
          <w:tcPr>
            <w:tcW w:w="2500" w:type="dxa"/>
            <w:tcBorders>
              <w:top w:val="single" w:sz="4" w:space="0" w:color="auto"/>
              <w:bottom w:val="single" w:sz="4" w:space="0" w:color="auto"/>
            </w:tcBorders>
            <w:noWrap/>
            <w:vAlign w:val="bottom"/>
            <w:hideMark/>
          </w:tcPr>
          <w:p w14:paraId="3285676D" w14:textId="77777777" w:rsidR="00D31621" w:rsidRPr="00FF1FEC" w:rsidRDefault="00D31621" w:rsidP="00C45F51">
            <w:pPr>
              <w:spacing w:after="0" w:line="240" w:lineRule="auto"/>
              <w:rPr>
                <w:rFonts w:ascii="Times New Roman" w:hAnsi="Times New Roman"/>
                <w:color w:val="000000"/>
                <w:sz w:val="24"/>
                <w:szCs w:val="24"/>
              </w:rPr>
            </w:pPr>
            <w:r w:rsidRPr="00FF1FEC">
              <w:rPr>
                <w:rFonts w:ascii="Times New Roman" w:hAnsi="Times New Roman"/>
                <w:color w:val="000000"/>
                <w:sz w:val="24"/>
                <w:szCs w:val="24"/>
              </w:rPr>
              <w:t>Parameters</w:t>
            </w:r>
          </w:p>
        </w:tc>
        <w:tc>
          <w:tcPr>
            <w:tcW w:w="2131" w:type="dxa"/>
            <w:tcBorders>
              <w:top w:val="single" w:sz="4" w:space="0" w:color="auto"/>
              <w:bottom w:val="single" w:sz="4" w:space="0" w:color="auto"/>
            </w:tcBorders>
            <w:noWrap/>
            <w:vAlign w:val="bottom"/>
            <w:hideMark/>
          </w:tcPr>
          <w:p w14:paraId="42DD8070" w14:textId="77777777" w:rsidR="00D31621" w:rsidRPr="00FF1FEC" w:rsidRDefault="00D31621" w:rsidP="00C45F51">
            <w:pPr>
              <w:spacing w:after="0" w:line="240" w:lineRule="auto"/>
              <w:rPr>
                <w:rFonts w:ascii="Times New Roman" w:hAnsi="Times New Roman"/>
                <w:color w:val="000000"/>
                <w:sz w:val="24"/>
                <w:szCs w:val="24"/>
              </w:rPr>
            </w:pPr>
            <w:r w:rsidRPr="00FF1FEC">
              <w:rPr>
                <w:rFonts w:ascii="Times New Roman" w:hAnsi="Times New Roman"/>
                <w:color w:val="000000"/>
                <w:sz w:val="24"/>
                <w:szCs w:val="24"/>
              </w:rPr>
              <w:t>Coefficient</w:t>
            </w:r>
          </w:p>
        </w:tc>
        <w:tc>
          <w:tcPr>
            <w:tcW w:w="2397" w:type="dxa"/>
            <w:tcBorders>
              <w:top w:val="single" w:sz="4" w:space="0" w:color="auto"/>
              <w:bottom w:val="single" w:sz="4" w:space="0" w:color="auto"/>
            </w:tcBorders>
            <w:noWrap/>
            <w:vAlign w:val="bottom"/>
            <w:hideMark/>
          </w:tcPr>
          <w:p w14:paraId="4695193C" w14:textId="77777777" w:rsidR="00D31621" w:rsidRPr="00FF1FEC" w:rsidRDefault="00D31621" w:rsidP="00C45F51">
            <w:pPr>
              <w:spacing w:after="0" w:line="240" w:lineRule="auto"/>
              <w:rPr>
                <w:rFonts w:ascii="Times New Roman" w:hAnsi="Times New Roman"/>
                <w:color w:val="000000"/>
                <w:sz w:val="24"/>
                <w:szCs w:val="24"/>
              </w:rPr>
            </w:pPr>
            <w:r w:rsidRPr="00FF1FEC">
              <w:rPr>
                <w:rFonts w:ascii="Times New Roman" w:hAnsi="Times New Roman"/>
                <w:color w:val="000000"/>
                <w:sz w:val="24"/>
                <w:szCs w:val="24"/>
              </w:rPr>
              <w:t>Standard Error</w:t>
            </w:r>
          </w:p>
        </w:tc>
        <w:tc>
          <w:tcPr>
            <w:tcW w:w="1940" w:type="dxa"/>
            <w:tcBorders>
              <w:top w:val="single" w:sz="4" w:space="0" w:color="auto"/>
              <w:bottom w:val="single" w:sz="4" w:space="0" w:color="auto"/>
            </w:tcBorders>
            <w:noWrap/>
            <w:vAlign w:val="bottom"/>
            <w:hideMark/>
          </w:tcPr>
          <w:p w14:paraId="60F5F6C0" w14:textId="77777777" w:rsidR="00D31621" w:rsidRPr="00FF1FEC" w:rsidRDefault="00D31621" w:rsidP="00C45F51">
            <w:pPr>
              <w:spacing w:after="0" w:line="240" w:lineRule="auto"/>
              <w:rPr>
                <w:rFonts w:ascii="Times New Roman" w:hAnsi="Times New Roman"/>
                <w:color w:val="000000"/>
                <w:sz w:val="24"/>
                <w:szCs w:val="24"/>
              </w:rPr>
            </w:pPr>
            <w:r w:rsidRPr="00FF1FEC">
              <w:rPr>
                <w:rFonts w:ascii="Times New Roman" w:hAnsi="Times New Roman"/>
                <w:color w:val="000000"/>
                <w:sz w:val="24"/>
                <w:szCs w:val="24"/>
              </w:rPr>
              <w:t>t-Statistic</w:t>
            </w:r>
          </w:p>
        </w:tc>
      </w:tr>
      <w:tr w:rsidR="00D31621" w:rsidRPr="00D70D91" w14:paraId="30BBE904" w14:textId="77777777" w:rsidTr="005E1237">
        <w:trPr>
          <w:trHeight w:val="417"/>
        </w:trPr>
        <w:tc>
          <w:tcPr>
            <w:tcW w:w="2500" w:type="dxa"/>
            <w:tcBorders>
              <w:top w:val="single" w:sz="4" w:space="0" w:color="auto"/>
            </w:tcBorders>
            <w:noWrap/>
            <w:vAlign w:val="bottom"/>
            <w:hideMark/>
          </w:tcPr>
          <w:p w14:paraId="6A5E8717" w14:textId="77777777" w:rsidR="00D31621" w:rsidRPr="00FF1FEC" w:rsidRDefault="00D31621" w:rsidP="00C45F51">
            <w:pPr>
              <w:spacing w:after="0" w:line="240" w:lineRule="auto"/>
              <w:rPr>
                <w:rFonts w:ascii="Times New Roman" w:hAnsi="Times New Roman"/>
                <w:color w:val="000000"/>
                <w:sz w:val="24"/>
                <w:szCs w:val="24"/>
              </w:rPr>
            </w:pPr>
            <w:r w:rsidRPr="00FF1FEC">
              <w:rPr>
                <w:rFonts w:ascii="Times New Roman" w:hAnsi="Times New Roman"/>
                <w:color w:val="000000"/>
                <w:sz w:val="24"/>
                <w:szCs w:val="24"/>
              </w:rPr>
              <w:t> </w:t>
            </w:r>
            <w:r w:rsidRPr="00FF1FEC">
              <w:rPr>
                <w:rFonts w:ascii="Times New Roman" w:hAnsi="Times New Roman"/>
                <w:color w:val="000000"/>
                <w:position w:val="-4"/>
                <w:sz w:val="24"/>
                <w:szCs w:val="24"/>
              </w:rPr>
              <w:object w:dxaOrig="220" w:dyaOrig="260" w14:anchorId="55A7D5DD">
                <v:shape id="_x0000_i2870" type="#_x0000_t75" style="width:11.25pt;height:12.75pt" o:ole="">
                  <v:imagedata r:id="rId57" o:title=""/>
                </v:shape>
                <o:OLEObject Type="Embed" ProgID="Equation.3" ShapeID="_x0000_i2870" DrawAspect="Content" ObjectID="_1817953529" r:id="rId58"/>
              </w:object>
            </w:r>
            <w:r w:rsidRPr="00FF1FEC">
              <w:rPr>
                <w:rFonts w:ascii="Times New Roman" w:hAnsi="Times New Roman"/>
                <w:color w:val="000000"/>
                <w:sz w:val="24"/>
                <w:szCs w:val="24"/>
              </w:rPr>
              <w:t>RGDP(-1)</w:t>
            </w:r>
          </w:p>
        </w:tc>
        <w:tc>
          <w:tcPr>
            <w:tcW w:w="2131" w:type="dxa"/>
            <w:tcBorders>
              <w:top w:val="single" w:sz="4" w:space="0" w:color="auto"/>
            </w:tcBorders>
            <w:noWrap/>
            <w:vAlign w:val="bottom"/>
            <w:hideMark/>
          </w:tcPr>
          <w:p w14:paraId="47717E28" w14:textId="77777777" w:rsidR="00D31621" w:rsidRPr="00FF1FEC" w:rsidRDefault="00D31621" w:rsidP="00C45F51">
            <w:pPr>
              <w:spacing w:after="0" w:line="240" w:lineRule="auto"/>
              <w:rPr>
                <w:rFonts w:ascii="Times New Roman" w:hAnsi="Times New Roman"/>
                <w:color w:val="000000"/>
                <w:sz w:val="24"/>
                <w:szCs w:val="24"/>
              </w:rPr>
            </w:pPr>
            <w:r w:rsidRPr="00FF1FEC">
              <w:rPr>
                <w:rFonts w:ascii="Times New Roman" w:hAnsi="Times New Roman"/>
                <w:color w:val="000000"/>
                <w:sz w:val="24"/>
                <w:szCs w:val="24"/>
              </w:rPr>
              <w:t>0.756618</w:t>
            </w:r>
          </w:p>
        </w:tc>
        <w:tc>
          <w:tcPr>
            <w:tcW w:w="2397" w:type="dxa"/>
            <w:tcBorders>
              <w:top w:val="single" w:sz="4" w:space="0" w:color="auto"/>
            </w:tcBorders>
            <w:noWrap/>
            <w:vAlign w:val="bottom"/>
            <w:hideMark/>
          </w:tcPr>
          <w:p w14:paraId="6801A796" w14:textId="77777777" w:rsidR="00D31621" w:rsidRPr="00FF1FEC" w:rsidRDefault="00D31621" w:rsidP="00C45F51">
            <w:pPr>
              <w:spacing w:after="0" w:line="240" w:lineRule="auto"/>
              <w:rPr>
                <w:rFonts w:ascii="Times New Roman" w:hAnsi="Times New Roman"/>
                <w:color w:val="000000"/>
                <w:sz w:val="24"/>
                <w:szCs w:val="24"/>
              </w:rPr>
            </w:pPr>
            <w:r w:rsidRPr="00FF1FEC">
              <w:rPr>
                <w:rFonts w:ascii="Times New Roman" w:hAnsi="Times New Roman"/>
                <w:color w:val="000000"/>
                <w:sz w:val="24"/>
                <w:szCs w:val="24"/>
              </w:rPr>
              <w:t>0.11184</w:t>
            </w:r>
          </w:p>
        </w:tc>
        <w:tc>
          <w:tcPr>
            <w:tcW w:w="1940" w:type="dxa"/>
            <w:tcBorders>
              <w:top w:val="single" w:sz="4" w:space="0" w:color="auto"/>
            </w:tcBorders>
            <w:noWrap/>
            <w:vAlign w:val="bottom"/>
            <w:hideMark/>
          </w:tcPr>
          <w:p w14:paraId="22870447" w14:textId="77777777" w:rsidR="00D31621" w:rsidRPr="00FF1FEC" w:rsidRDefault="00D31621" w:rsidP="00C45F51">
            <w:pPr>
              <w:spacing w:after="0" w:line="240" w:lineRule="auto"/>
              <w:rPr>
                <w:rFonts w:ascii="Times New Roman" w:hAnsi="Times New Roman"/>
                <w:color w:val="000000"/>
                <w:sz w:val="24"/>
                <w:szCs w:val="24"/>
              </w:rPr>
            </w:pPr>
            <w:r w:rsidRPr="00FF1FEC">
              <w:rPr>
                <w:rFonts w:ascii="Times New Roman" w:hAnsi="Times New Roman"/>
                <w:color w:val="000000"/>
                <w:sz w:val="24"/>
                <w:szCs w:val="24"/>
              </w:rPr>
              <w:t>6.76521</w:t>
            </w:r>
          </w:p>
        </w:tc>
      </w:tr>
      <w:tr w:rsidR="00D31621" w:rsidRPr="00D70D91" w14:paraId="58F991BD" w14:textId="77777777" w:rsidTr="005E1237">
        <w:trPr>
          <w:trHeight w:val="417"/>
        </w:trPr>
        <w:tc>
          <w:tcPr>
            <w:tcW w:w="2500" w:type="dxa"/>
            <w:tcBorders>
              <w:top w:val="nil"/>
            </w:tcBorders>
            <w:noWrap/>
            <w:vAlign w:val="bottom"/>
            <w:hideMark/>
          </w:tcPr>
          <w:p w14:paraId="33E71466" w14:textId="77777777" w:rsidR="00D31621" w:rsidRPr="00FF1FEC" w:rsidRDefault="00D31621" w:rsidP="00C45F51">
            <w:pPr>
              <w:spacing w:after="0" w:line="240" w:lineRule="auto"/>
              <w:rPr>
                <w:rFonts w:ascii="Times New Roman" w:hAnsi="Times New Roman"/>
                <w:color w:val="000000"/>
                <w:sz w:val="24"/>
                <w:szCs w:val="24"/>
              </w:rPr>
            </w:pPr>
            <w:r w:rsidRPr="00FF1FEC">
              <w:rPr>
                <w:rFonts w:ascii="Times New Roman" w:hAnsi="Times New Roman"/>
                <w:color w:val="000000"/>
                <w:sz w:val="24"/>
                <w:szCs w:val="24"/>
              </w:rPr>
              <w:t> </w:t>
            </w:r>
            <w:r w:rsidRPr="00FF1FEC">
              <w:rPr>
                <w:rFonts w:ascii="Times New Roman" w:hAnsi="Times New Roman"/>
                <w:color w:val="000000"/>
                <w:position w:val="-4"/>
                <w:sz w:val="24"/>
                <w:szCs w:val="24"/>
              </w:rPr>
              <w:object w:dxaOrig="220" w:dyaOrig="260" w14:anchorId="22C47526">
                <v:shape id="_x0000_i2871" type="#_x0000_t75" style="width:11.25pt;height:12.75pt" o:ole="">
                  <v:imagedata r:id="rId57" o:title=""/>
                </v:shape>
                <o:OLEObject Type="Embed" ProgID="Equation.3" ShapeID="_x0000_i2871" DrawAspect="Content" ObjectID="_1817953530" r:id="rId59"/>
              </w:object>
            </w:r>
            <w:r w:rsidRPr="00FF1FEC">
              <w:rPr>
                <w:rFonts w:ascii="Times New Roman" w:hAnsi="Times New Roman"/>
                <w:color w:val="000000"/>
                <w:sz w:val="24"/>
                <w:szCs w:val="24"/>
              </w:rPr>
              <w:t>M2/GDP(-1)</w:t>
            </w:r>
          </w:p>
        </w:tc>
        <w:tc>
          <w:tcPr>
            <w:tcW w:w="2131" w:type="dxa"/>
            <w:tcBorders>
              <w:top w:val="nil"/>
            </w:tcBorders>
            <w:noWrap/>
            <w:vAlign w:val="bottom"/>
            <w:hideMark/>
          </w:tcPr>
          <w:p w14:paraId="43064DA5" w14:textId="77777777" w:rsidR="00D31621" w:rsidRPr="00FF1FEC" w:rsidRDefault="00D31621" w:rsidP="00C45F51">
            <w:pPr>
              <w:spacing w:after="0" w:line="240" w:lineRule="auto"/>
              <w:rPr>
                <w:rFonts w:ascii="Times New Roman" w:hAnsi="Times New Roman"/>
                <w:color w:val="000000"/>
                <w:sz w:val="24"/>
                <w:szCs w:val="24"/>
              </w:rPr>
            </w:pPr>
            <w:r w:rsidRPr="00FF1FEC">
              <w:rPr>
                <w:rFonts w:ascii="Times New Roman" w:hAnsi="Times New Roman"/>
                <w:color w:val="000000"/>
                <w:sz w:val="24"/>
                <w:szCs w:val="24"/>
              </w:rPr>
              <w:t>0.012036</w:t>
            </w:r>
          </w:p>
        </w:tc>
        <w:tc>
          <w:tcPr>
            <w:tcW w:w="2397" w:type="dxa"/>
            <w:tcBorders>
              <w:top w:val="nil"/>
            </w:tcBorders>
            <w:noWrap/>
            <w:vAlign w:val="bottom"/>
            <w:hideMark/>
          </w:tcPr>
          <w:p w14:paraId="63DD7C72" w14:textId="77777777" w:rsidR="00D31621" w:rsidRPr="00FF1FEC" w:rsidRDefault="00D31621" w:rsidP="00C45F51">
            <w:pPr>
              <w:spacing w:after="0" w:line="240" w:lineRule="auto"/>
              <w:rPr>
                <w:rFonts w:ascii="Times New Roman" w:hAnsi="Times New Roman"/>
                <w:color w:val="000000"/>
                <w:sz w:val="24"/>
                <w:szCs w:val="24"/>
              </w:rPr>
            </w:pPr>
            <w:r w:rsidRPr="00FF1FEC">
              <w:rPr>
                <w:rFonts w:ascii="Times New Roman" w:hAnsi="Times New Roman"/>
                <w:color w:val="000000"/>
                <w:sz w:val="24"/>
                <w:szCs w:val="24"/>
              </w:rPr>
              <w:t>0.00396</w:t>
            </w:r>
          </w:p>
        </w:tc>
        <w:tc>
          <w:tcPr>
            <w:tcW w:w="1940" w:type="dxa"/>
            <w:tcBorders>
              <w:top w:val="nil"/>
            </w:tcBorders>
            <w:noWrap/>
            <w:vAlign w:val="bottom"/>
            <w:hideMark/>
          </w:tcPr>
          <w:p w14:paraId="42FC0285" w14:textId="77777777" w:rsidR="00D31621" w:rsidRPr="00FF1FEC" w:rsidRDefault="00D31621" w:rsidP="00C45F51">
            <w:pPr>
              <w:spacing w:after="0" w:line="240" w:lineRule="auto"/>
              <w:rPr>
                <w:rFonts w:ascii="Times New Roman" w:hAnsi="Times New Roman"/>
                <w:color w:val="000000"/>
                <w:sz w:val="24"/>
                <w:szCs w:val="24"/>
              </w:rPr>
            </w:pPr>
            <w:r w:rsidRPr="00FF1FEC">
              <w:rPr>
                <w:rFonts w:ascii="Times New Roman" w:hAnsi="Times New Roman"/>
                <w:color w:val="000000"/>
                <w:sz w:val="24"/>
                <w:szCs w:val="24"/>
              </w:rPr>
              <w:t>3.03939</w:t>
            </w:r>
          </w:p>
        </w:tc>
      </w:tr>
      <w:tr w:rsidR="00D31621" w:rsidRPr="00D70D91" w14:paraId="587B9A77" w14:textId="77777777" w:rsidTr="005E1237">
        <w:trPr>
          <w:trHeight w:val="417"/>
        </w:trPr>
        <w:tc>
          <w:tcPr>
            <w:tcW w:w="2500" w:type="dxa"/>
            <w:tcBorders>
              <w:top w:val="nil"/>
            </w:tcBorders>
            <w:noWrap/>
            <w:vAlign w:val="bottom"/>
          </w:tcPr>
          <w:p w14:paraId="7958EF4D" w14:textId="77777777" w:rsidR="00D31621" w:rsidRPr="00FF1FEC" w:rsidRDefault="00D31621" w:rsidP="00C45F51">
            <w:pPr>
              <w:spacing w:after="0" w:line="240" w:lineRule="auto"/>
              <w:rPr>
                <w:rFonts w:ascii="Times New Roman" w:hAnsi="Times New Roman"/>
                <w:color w:val="000000"/>
                <w:sz w:val="24"/>
                <w:szCs w:val="24"/>
              </w:rPr>
            </w:pPr>
            <w:r w:rsidRPr="00FF1FEC">
              <w:rPr>
                <w:rFonts w:ascii="Times New Roman" w:hAnsi="Times New Roman"/>
                <w:color w:val="000000"/>
                <w:sz w:val="24"/>
                <w:szCs w:val="24"/>
              </w:rPr>
              <w:t> </w:t>
            </w:r>
            <w:r w:rsidRPr="00FF1FEC">
              <w:rPr>
                <w:rFonts w:ascii="Times New Roman" w:hAnsi="Times New Roman"/>
                <w:color w:val="000000"/>
                <w:position w:val="-4"/>
                <w:sz w:val="24"/>
                <w:szCs w:val="24"/>
              </w:rPr>
              <w:object w:dxaOrig="220" w:dyaOrig="260" w14:anchorId="65CF01ED">
                <v:shape id="_x0000_i2872" type="#_x0000_t75" style="width:11.25pt;height:12.75pt" o:ole="">
                  <v:imagedata r:id="rId57" o:title=""/>
                </v:shape>
                <o:OLEObject Type="Embed" ProgID="Equation.3" ShapeID="_x0000_i2872" DrawAspect="Content" ObjectID="_1817953531" r:id="rId60"/>
              </w:object>
            </w:r>
            <w:r w:rsidRPr="00FF1FEC">
              <w:rPr>
                <w:rFonts w:ascii="Times New Roman" w:hAnsi="Times New Roman"/>
                <w:color w:val="000000"/>
                <w:sz w:val="24"/>
                <w:szCs w:val="24"/>
              </w:rPr>
              <w:t>P/TDS(-1)</w:t>
            </w:r>
          </w:p>
        </w:tc>
        <w:tc>
          <w:tcPr>
            <w:tcW w:w="2131" w:type="dxa"/>
            <w:tcBorders>
              <w:top w:val="nil"/>
            </w:tcBorders>
            <w:noWrap/>
            <w:vAlign w:val="bottom"/>
            <w:hideMark/>
          </w:tcPr>
          <w:p w14:paraId="63E14F89" w14:textId="77777777" w:rsidR="00D31621" w:rsidRPr="00FF1FEC" w:rsidRDefault="00D31621" w:rsidP="00C45F51">
            <w:pPr>
              <w:spacing w:after="0" w:line="240" w:lineRule="auto"/>
              <w:rPr>
                <w:rFonts w:ascii="Times New Roman" w:hAnsi="Times New Roman"/>
                <w:color w:val="000000"/>
                <w:sz w:val="24"/>
                <w:szCs w:val="24"/>
              </w:rPr>
            </w:pPr>
            <w:r>
              <w:rPr>
                <w:rFonts w:ascii="Times New Roman" w:hAnsi="Times New Roman"/>
                <w:color w:val="000000"/>
                <w:sz w:val="24"/>
                <w:szCs w:val="24"/>
              </w:rPr>
              <w:t xml:space="preserve">      </w:t>
            </w:r>
            <w:r w:rsidRPr="00FF1FEC">
              <w:rPr>
                <w:rFonts w:ascii="Times New Roman" w:hAnsi="Times New Roman"/>
                <w:color w:val="000000"/>
                <w:sz w:val="24"/>
                <w:szCs w:val="24"/>
              </w:rPr>
              <w:t>0.067004</w:t>
            </w:r>
          </w:p>
        </w:tc>
        <w:tc>
          <w:tcPr>
            <w:tcW w:w="2397" w:type="dxa"/>
            <w:tcBorders>
              <w:top w:val="nil"/>
            </w:tcBorders>
            <w:noWrap/>
            <w:vAlign w:val="bottom"/>
            <w:hideMark/>
          </w:tcPr>
          <w:p w14:paraId="55B530A1" w14:textId="77777777" w:rsidR="00D31621" w:rsidRPr="00FF1FEC" w:rsidRDefault="00D31621" w:rsidP="00C45F51">
            <w:pPr>
              <w:spacing w:after="0" w:line="240" w:lineRule="auto"/>
              <w:rPr>
                <w:rFonts w:ascii="Times New Roman" w:hAnsi="Times New Roman"/>
                <w:color w:val="000000"/>
                <w:sz w:val="24"/>
                <w:szCs w:val="24"/>
              </w:rPr>
            </w:pPr>
            <w:r w:rsidRPr="00FF1FEC">
              <w:rPr>
                <w:rFonts w:ascii="Times New Roman" w:hAnsi="Times New Roman"/>
                <w:color w:val="000000"/>
                <w:sz w:val="24"/>
                <w:szCs w:val="24"/>
              </w:rPr>
              <w:t>0.02183</w:t>
            </w:r>
          </w:p>
        </w:tc>
        <w:tc>
          <w:tcPr>
            <w:tcW w:w="1940" w:type="dxa"/>
            <w:tcBorders>
              <w:top w:val="nil"/>
            </w:tcBorders>
            <w:noWrap/>
            <w:vAlign w:val="bottom"/>
            <w:hideMark/>
          </w:tcPr>
          <w:p w14:paraId="231785FA" w14:textId="77777777" w:rsidR="00D31621" w:rsidRPr="00FF1FEC" w:rsidRDefault="00D31621" w:rsidP="00C45F51">
            <w:pPr>
              <w:spacing w:after="0" w:line="240" w:lineRule="auto"/>
              <w:rPr>
                <w:rFonts w:ascii="Times New Roman" w:hAnsi="Times New Roman"/>
                <w:color w:val="000000"/>
                <w:sz w:val="24"/>
                <w:szCs w:val="24"/>
              </w:rPr>
            </w:pPr>
            <w:r w:rsidRPr="00FF1FEC">
              <w:rPr>
                <w:rFonts w:ascii="Times New Roman" w:hAnsi="Times New Roman"/>
                <w:color w:val="000000"/>
                <w:sz w:val="24"/>
                <w:szCs w:val="24"/>
              </w:rPr>
              <w:t>3.06935</w:t>
            </w:r>
          </w:p>
        </w:tc>
      </w:tr>
      <w:tr w:rsidR="00D31621" w:rsidRPr="00D70D91" w14:paraId="360DA372" w14:textId="77777777" w:rsidTr="005E1237">
        <w:trPr>
          <w:trHeight w:val="417"/>
        </w:trPr>
        <w:tc>
          <w:tcPr>
            <w:tcW w:w="2500" w:type="dxa"/>
            <w:tcBorders>
              <w:top w:val="nil"/>
            </w:tcBorders>
            <w:noWrap/>
            <w:vAlign w:val="bottom"/>
          </w:tcPr>
          <w:p w14:paraId="18E1AE7C" w14:textId="77777777" w:rsidR="00D31621" w:rsidRPr="00FF1FEC" w:rsidRDefault="00D31621" w:rsidP="00C45F51">
            <w:pPr>
              <w:spacing w:after="0" w:line="240" w:lineRule="auto"/>
              <w:rPr>
                <w:rFonts w:ascii="Times New Roman" w:hAnsi="Times New Roman"/>
                <w:color w:val="000000"/>
                <w:sz w:val="24"/>
                <w:szCs w:val="24"/>
              </w:rPr>
            </w:pPr>
            <w:r w:rsidRPr="00FF1FEC">
              <w:rPr>
                <w:rFonts w:ascii="Times New Roman" w:hAnsi="Times New Roman"/>
                <w:color w:val="000000"/>
                <w:sz w:val="24"/>
                <w:szCs w:val="24"/>
              </w:rPr>
              <w:t> </w:t>
            </w:r>
            <w:r w:rsidRPr="00FF1FEC">
              <w:rPr>
                <w:rFonts w:ascii="Times New Roman" w:hAnsi="Times New Roman"/>
                <w:color w:val="000000"/>
                <w:position w:val="-4"/>
                <w:sz w:val="24"/>
                <w:szCs w:val="24"/>
              </w:rPr>
              <w:object w:dxaOrig="220" w:dyaOrig="260" w14:anchorId="5189DA1B">
                <v:shape id="_x0000_i2873" type="#_x0000_t75" style="width:11.25pt;height:12.75pt" o:ole="">
                  <v:imagedata r:id="rId57" o:title=""/>
                </v:shape>
                <o:OLEObject Type="Embed" ProgID="Equation.3" ShapeID="_x0000_i2873" DrawAspect="Content" ObjectID="_1817953532" r:id="rId61"/>
              </w:object>
            </w:r>
            <w:r w:rsidRPr="00FF1FEC">
              <w:rPr>
                <w:rFonts w:ascii="Times New Roman" w:hAnsi="Times New Roman"/>
                <w:color w:val="000000"/>
                <w:sz w:val="24"/>
                <w:szCs w:val="24"/>
              </w:rPr>
              <w:t>LDS(-1)</w:t>
            </w:r>
          </w:p>
        </w:tc>
        <w:tc>
          <w:tcPr>
            <w:tcW w:w="2131" w:type="dxa"/>
            <w:tcBorders>
              <w:top w:val="nil"/>
            </w:tcBorders>
            <w:noWrap/>
            <w:vAlign w:val="bottom"/>
            <w:hideMark/>
          </w:tcPr>
          <w:p w14:paraId="24EF8A10" w14:textId="77777777" w:rsidR="00D31621" w:rsidRPr="00FF1FEC" w:rsidRDefault="00D31621" w:rsidP="00C45F51">
            <w:pPr>
              <w:spacing w:after="0" w:line="240" w:lineRule="auto"/>
              <w:rPr>
                <w:rFonts w:ascii="Times New Roman" w:hAnsi="Times New Roman"/>
                <w:color w:val="000000"/>
                <w:sz w:val="24"/>
                <w:szCs w:val="24"/>
              </w:rPr>
            </w:pPr>
            <w:r>
              <w:rPr>
                <w:rFonts w:ascii="Times New Roman" w:hAnsi="Times New Roman"/>
                <w:color w:val="000000"/>
                <w:sz w:val="24"/>
                <w:szCs w:val="24"/>
              </w:rPr>
              <w:t xml:space="preserve">      </w:t>
            </w:r>
            <w:r w:rsidRPr="00FF1FEC">
              <w:rPr>
                <w:rFonts w:ascii="Times New Roman" w:hAnsi="Times New Roman"/>
                <w:color w:val="000000"/>
                <w:sz w:val="24"/>
                <w:szCs w:val="24"/>
              </w:rPr>
              <w:t>0.040115</w:t>
            </w:r>
          </w:p>
        </w:tc>
        <w:tc>
          <w:tcPr>
            <w:tcW w:w="2397" w:type="dxa"/>
            <w:tcBorders>
              <w:top w:val="nil"/>
            </w:tcBorders>
            <w:noWrap/>
            <w:vAlign w:val="bottom"/>
            <w:hideMark/>
          </w:tcPr>
          <w:p w14:paraId="14905870" w14:textId="77777777" w:rsidR="00D31621" w:rsidRPr="00FF1FEC" w:rsidRDefault="00D31621" w:rsidP="00C45F51">
            <w:pPr>
              <w:spacing w:after="0" w:line="240" w:lineRule="auto"/>
              <w:rPr>
                <w:rFonts w:ascii="Times New Roman" w:hAnsi="Times New Roman"/>
                <w:color w:val="000000"/>
                <w:sz w:val="24"/>
                <w:szCs w:val="24"/>
              </w:rPr>
            </w:pPr>
            <w:r w:rsidRPr="00FF1FEC">
              <w:rPr>
                <w:rFonts w:ascii="Times New Roman" w:hAnsi="Times New Roman"/>
                <w:color w:val="000000"/>
                <w:sz w:val="24"/>
                <w:szCs w:val="24"/>
              </w:rPr>
              <w:t>0.00626</w:t>
            </w:r>
          </w:p>
        </w:tc>
        <w:tc>
          <w:tcPr>
            <w:tcW w:w="1940" w:type="dxa"/>
            <w:tcBorders>
              <w:top w:val="nil"/>
            </w:tcBorders>
            <w:noWrap/>
            <w:vAlign w:val="bottom"/>
            <w:hideMark/>
          </w:tcPr>
          <w:p w14:paraId="009D8540" w14:textId="77777777" w:rsidR="00D31621" w:rsidRPr="00FF1FEC" w:rsidRDefault="00D31621" w:rsidP="00C45F51">
            <w:pPr>
              <w:spacing w:after="0" w:line="240" w:lineRule="auto"/>
              <w:rPr>
                <w:rFonts w:ascii="Times New Roman" w:hAnsi="Times New Roman"/>
                <w:color w:val="000000"/>
                <w:sz w:val="24"/>
                <w:szCs w:val="24"/>
              </w:rPr>
            </w:pPr>
            <w:r w:rsidRPr="00FF1FEC">
              <w:rPr>
                <w:rFonts w:ascii="Times New Roman" w:hAnsi="Times New Roman"/>
                <w:color w:val="000000"/>
                <w:sz w:val="24"/>
                <w:szCs w:val="24"/>
              </w:rPr>
              <w:t>6.40815</w:t>
            </w:r>
          </w:p>
        </w:tc>
      </w:tr>
      <w:tr w:rsidR="00D31621" w:rsidRPr="00D70D91" w14:paraId="127EA998" w14:textId="77777777" w:rsidTr="005E1237">
        <w:trPr>
          <w:trHeight w:val="417"/>
        </w:trPr>
        <w:tc>
          <w:tcPr>
            <w:tcW w:w="2500" w:type="dxa"/>
            <w:tcBorders>
              <w:top w:val="nil"/>
            </w:tcBorders>
            <w:noWrap/>
            <w:vAlign w:val="bottom"/>
          </w:tcPr>
          <w:p w14:paraId="444412EC" w14:textId="77777777" w:rsidR="00D31621" w:rsidRPr="00FF1FEC" w:rsidRDefault="00D31621" w:rsidP="00C45F51">
            <w:pPr>
              <w:spacing w:after="0" w:line="240" w:lineRule="auto"/>
              <w:rPr>
                <w:rFonts w:ascii="Times New Roman" w:hAnsi="Times New Roman"/>
                <w:color w:val="000000"/>
                <w:sz w:val="24"/>
                <w:szCs w:val="24"/>
              </w:rPr>
            </w:pPr>
            <w:r w:rsidRPr="00FF1FEC">
              <w:rPr>
                <w:rFonts w:ascii="Times New Roman" w:hAnsi="Times New Roman"/>
                <w:color w:val="000000"/>
                <w:sz w:val="24"/>
                <w:szCs w:val="24"/>
              </w:rPr>
              <w:t> </w:t>
            </w:r>
            <w:r w:rsidRPr="00FF1FEC">
              <w:rPr>
                <w:rFonts w:ascii="Times New Roman" w:hAnsi="Times New Roman"/>
                <w:color w:val="000000"/>
                <w:position w:val="-4"/>
                <w:sz w:val="24"/>
                <w:szCs w:val="24"/>
              </w:rPr>
              <w:object w:dxaOrig="220" w:dyaOrig="260" w14:anchorId="30812510">
                <v:shape id="_x0000_i2874" type="#_x0000_t75" style="width:11.25pt;height:12.75pt" o:ole="">
                  <v:imagedata r:id="rId57" o:title=""/>
                </v:shape>
                <o:OLEObject Type="Embed" ProgID="Equation.3" ShapeID="_x0000_i2874" DrawAspect="Content" ObjectID="_1817953533" r:id="rId62"/>
              </w:object>
            </w:r>
            <w:r>
              <w:rPr>
                <w:rFonts w:ascii="Times New Roman" w:hAnsi="Times New Roman"/>
                <w:color w:val="000000"/>
                <w:sz w:val="24"/>
                <w:szCs w:val="24"/>
              </w:rPr>
              <w:t>L</w:t>
            </w:r>
            <w:r w:rsidRPr="00FF1FEC">
              <w:rPr>
                <w:rFonts w:ascii="Times New Roman" w:hAnsi="Times New Roman"/>
                <w:color w:val="000000"/>
                <w:sz w:val="24"/>
                <w:szCs w:val="24"/>
              </w:rPr>
              <w:t>R(-1)</w:t>
            </w:r>
          </w:p>
        </w:tc>
        <w:tc>
          <w:tcPr>
            <w:tcW w:w="2131" w:type="dxa"/>
            <w:tcBorders>
              <w:top w:val="nil"/>
            </w:tcBorders>
            <w:noWrap/>
            <w:vAlign w:val="bottom"/>
            <w:hideMark/>
          </w:tcPr>
          <w:p w14:paraId="0296CA1F" w14:textId="77777777" w:rsidR="00D31621" w:rsidRPr="00FF1FEC" w:rsidRDefault="00D31621" w:rsidP="00C45F51">
            <w:pPr>
              <w:spacing w:after="0" w:line="240" w:lineRule="auto"/>
              <w:rPr>
                <w:rFonts w:ascii="Times New Roman" w:hAnsi="Times New Roman"/>
                <w:color w:val="000000"/>
                <w:sz w:val="24"/>
                <w:szCs w:val="24"/>
              </w:rPr>
            </w:pPr>
            <w:r>
              <w:rPr>
                <w:rFonts w:ascii="Times New Roman" w:hAnsi="Times New Roman"/>
                <w:color w:val="000000"/>
                <w:sz w:val="24"/>
                <w:szCs w:val="24"/>
              </w:rPr>
              <w:t xml:space="preserve">     -</w:t>
            </w:r>
            <w:r w:rsidRPr="00FF1FEC">
              <w:rPr>
                <w:rFonts w:ascii="Times New Roman" w:hAnsi="Times New Roman"/>
                <w:color w:val="000000"/>
                <w:sz w:val="24"/>
                <w:szCs w:val="24"/>
              </w:rPr>
              <w:t>0.191505</w:t>
            </w:r>
          </w:p>
        </w:tc>
        <w:tc>
          <w:tcPr>
            <w:tcW w:w="2397" w:type="dxa"/>
            <w:tcBorders>
              <w:top w:val="nil"/>
            </w:tcBorders>
            <w:noWrap/>
            <w:vAlign w:val="bottom"/>
            <w:hideMark/>
          </w:tcPr>
          <w:p w14:paraId="6DD4A754" w14:textId="77777777" w:rsidR="00D31621" w:rsidRPr="00FF1FEC" w:rsidRDefault="00D31621" w:rsidP="00C45F51">
            <w:pPr>
              <w:spacing w:after="0" w:line="240" w:lineRule="auto"/>
              <w:rPr>
                <w:rFonts w:ascii="Times New Roman" w:hAnsi="Times New Roman"/>
                <w:color w:val="000000"/>
                <w:sz w:val="24"/>
                <w:szCs w:val="24"/>
              </w:rPr>
            </w:pPr>
            <w:r w:rsidRPr="00FF1FEC">
              <w:rPr>
                <w:rFonts w:ascii="Times New Roman" w:hAnsi="Times New Roman"/>
                <w:color w:val="000000"/>
                <w:sz w:val="24"/>
                <w:szCs w:val="24"/>
              </w:rPr>
              <w:t>0.04016</w:t>
            </w:r>
          </w:p>
        </w:tc>
        <w:tc>
          <w:tcPr>
            <w:tcW w:w="1940" w:type="dxa"/>
            <w:tcBorders>
              <w:top w:val="nil"/>
            </w:tcBorders>
            <w:noWrap/>
            <w:vAlign w:val="bottom"/>
            <w:hideMark/>
          </w:tcPr>
          <w:p w14:paraId="122437D5" w14:textId="77777777" w:rsidR="00D31621" w:rsidRPr="00FF1FEC" w:rsidRDefault="00D31621" w:rsidP="00C45F51">
            <w:pPr>
              <w:spacing w:after="0" w:line="240" w:lineRule="auto"/>
              <w:rPr>
                <w:rFonts w:ascii="Times New Roman" w:hAnsi="Times New Roman"/>
                <w:color w:val="000000"/>
                <w:sz w:val="24"/>
                <w:szCs w:val="24"/>
              </w:rPr>
            </w:pPr>
            <w:r>
              <w:rPr>
                <w:rFonts w:ascii="Times New Roman" w:hAnsi="Times New Roman"/>
                <w:color w:val="000000"/>
                <w:sz w:val="24"/>
                <w:szCs w:val="24"/>
              </w:rPr>
              <w:t>-</w:t>
            </w:r>
            <w:r w:rsidRPr="00FF1FEC">
              <w:rPr>
                <w:rFonts w:ascii="Times New Roman" w:hAnsi="Times New Roman"/>
                <w:color w:val="000000"/>
                <w:sz w:val="24"/>
                <w:szCs w:val="24"/>
              </w:rPr>
              <w:t>4.76855</w:t>
            </w:r>
          </w:p>
        </w:tc>
      </w:tr>
      <w:tr w:rsidR="00D31621" w:rsidRPr="00D70D91" w14:paraId="074A1B1B" w14:textId="77777777" w:rsidTr="005E1237">
        <w:trPr>
          <w:trHeight w:val="417"/>
        </w:trPr>
        <w:tc>
          <w:tcPr>
            <w:tcW w:w="2500" w:type="dxa"/>
            <w:tcBorders>
              <w:top w:val="nil"/>
              <w:bottom w:val="nil"/>
            </w:tcBorders>
            <w:noWrap/>
            <w:vAlign w:val="bottom"/>
          </w:tcPr>
          <w:p w14:paraId="203CDD13" w14:textId="77777777" w:rsidR="00D31621" w:rsidRPr="00FF1FEC" w:rsidRDefault="00D31621" w:rsidP="00C45F51">
            <w:pPr>
              <w:spacing w:after="0" w:line="240" w:lineRule="auto"/>
              <w:rPr>
                <w:rFonts w:ascii="Times New Roman" w:hAnsi="Times New Roman"/>
                <w:color w:val="000000"/>
                <w:sz w:val="24"/>
                <w:szCs w:val="24"/>
              </w:rPr>
            </w:pPr>
            <w:r w:rsidRPr="00FF1FEC">
              <w:rPr>
                <w:rFonts w:ascii="Times New Roman" w:hAnsi="Times New Roman"/>
                <w:color w:val="000000"/>
                <w:sz w:val="24"/>
                <w:szCs w:val="24"/>
              </w:rPr>
              <w:t xml:space="preserve"> </w:t>
            </w:r>
            <w:r w:rsidRPr="00FF1FEC">
              <w:rPr>
                <w:rFonts w:ascii="Times New Roman" w:hAnsi="Times New Roman"/>
                <w:color w:val="000000"/>
                <w:position w:val="-4"/>
                <w:sz w:val="24"/>
                <w:szCs w:val="24"/>
              </w:rPr>
              <w:object w:dxaOrig="220" w:dyaOrig="260" w14:anchorId="657795D3">
                <v:shape id="_x0000_i2875" type="#_x0000_t75" style="width:11.25pt;height:12.75pt" o:ole="">
                  <v:imagedata r:id="rId57" o:title=""/>
                </v:shape>
                <o:OLEObject Type="Embed" ProgID="Equation.3" ShapeID="_x0000_i2875" DrawAspect="Content" ObjectID="_1817953534" r:id="rId63"/>
              </w:object>
            </w:r>
            <w:r w:rsidRPr="00FF1FEC">
              <w:rPr>
                <w:rFonts w:ascii="Times New Roman" w:hAnsi="Times New Roman"/>
                <w:color w:val="000000"/>
                <w:sz w:val="24"/>
                <w:szCs w:val="24"/>
              </w:rPr>
              <w:t>SMR(-1)</w:t>
            </w:r>
          </w:p>
        </w:tc>
        <w:tc>
          <w:tcPr>
            <w:tcW w:w="2131" w:type="dxa"/>
            <w:tcBorders>
              <w:top w:val="nil"/>
              <w:bottom w:val="nil"/>
            </w:tcBorders>
            <w:noWrap/>
            <w:vAlign w:val="bottom"/>
            <w:hideMark/>
          </w:tcPr>
          <w:p w14:paraId="59F9E5DC" w14:textId="77777777" w:rsidR="00D31621" w:rsidRPr="00FF1FEC" w:rsidRDefault="00D31621" w:rsidP="00C45F51">
            <w:pPr>
              <w:spacing w:after="0" w:line="240" w:lineRule="auto"/>
              <w:rPr>
                <w:rFonts w:ascii="Times New Roman" w:hAnsi="Times New Roman"/>
                <w:color w:val="000000"/>
                <w:sz w:val="24"/>
                <w:szCs w:val="24"/>
              </w:rPr>
            </w:pPr>
            <w:r>
              <w:rPr>
                <w:rFonts w:ascii="Times New Roman" w:hAnsi="Times New Roman"/>
                <w:color w:val="000000"/>
                <w:sz w:val="24"/>
                <w:szCs w:val="24"/>
              </w:rPr>
              <w:t xml:space="preserve">      </w:t>
            </w:r>
            <w:r w:rsidRPr="00FF1FEC">
              <w:rPr>
                <w:rFonts w:ascii="Times New Roman" w:hAnsi="Times New Roman"/>
                <w:color w:val="000000"/>
                <w:sz w:val="24"/>
                <w:szCs w:val="24"/>
              </w:rPr>
              <w:t>0.227105</w:t>
            </w:r>
          </w:p>
        </w:tc>
        <w:tc>
          <w:tcPr>
            <w:tcW w:w="2397" w:type="dxa"/>
            <w:tcBorders>
              <w:top w:val="nil"/>
              <w:bottom w:val="nil"/>
            </w:tcBorders>
            <w:noWrap/>
            <w:vAlign w:val="bottom"/>
            <w:hideMark/>
          </w:tcPr>
          <w:p w14:paraId="62F41F75" w14:textId="77777777" w:rsidR="00D31621" w:rsidRPr="00FF1FEC" w:rsidRDefault="00D31621" w:rsidP="00C45F51">
            <w:pPr>
              <w:spacing w:after="0" w:line="240" w:lineRule="auto"/>
              <w:rPr>
                <w:rFonts w:ascii="Times New Roman" w:hAnsi="Times New Roman"/>
                <w:color w:val="000000"/>
                <w:sz w:val="24"/>
                <w:szCs w:val="24"/>
              </w:rPr>
            </w:pPr>
            <w:r w:rsidRPr="00FF1FEC">
              <w:rPr>
                <w:rFonts w:ascii="Times New Roman" w:hAnsi="Times New Roman"/>
                <w:color w:val="000000"/>
                <w:sz w:val="24"/>
                <w:szCs w:val="24"/>
              </w:rPr>
              <w:t>0.06115</w:t>
            </w:r>
          </w:p>
        </w:tc>
        <w:tc>
          <w:tcPr>
            <w:tcW w:w="1940" w:type="dxa"/>
            <w:tcBorders>
              <w:top w:val="nil"/>
              <w:bottom w:val="nil"/>
            </w:tcBorders>
            <w:noWrap/>
            <w:vAlign w:val="bottom"/>
            <w:hideMark/>
          </w:tcPr>
          <w:p w14:paraId="4A67B2FB" w14:textId="77777777" w:rsidR="00D31621" w:rsidRPr="00FF1FEC" w:rsidRDefault="00D31621" w:rsidP="00C45F51">
            <w:pPr>
              <w:spacing w:after="0" w:line="240" w:lineRule="auto"/>
              <w:rPr>
                <w:rFonts w:ascii="Times New Roman" w:hAnsi="Times New Roman"/>
                <w:color w:val="000000"/>
                <w:sz w:val="24"/>
                <w:szCs w:val="24"/>
              </w:rPr>
            </w:pPr>
            <w:r w:rsidRPr="00FF1FEC">
              <w:rPr>
                <w:rFonts w:ascii="Times New Roman" w:hAnsi="Times New Roman"/>
                <w:color w:val="000000"/>
                <w:sz w:val="24"/>
                <w:szCs w:val="24"/>
              </w:rPr>
              <w:t>3.71390</w:t>
            </w:r>
          </w:p>
        </w:tc>
      </w:tr>
      <w:tr w:rsidR="00D31621" w:rsidRPr="00D70D91" w14:paraId="2DC260F4" w14:textId="77777777" w:rsidTr="005E1237">
        <w:trPr>
          <w:trHeight w:val="417"/>
        </w:trPr>
        <w:tc>
          <w:tcPr>
            <w:tcW w:w="2500" w:type="dxa"/>
            <w:tcBorders>
              <w:top w:val="nil"/>
              <w:bottom w:val="nil"/>
            </w:tcBorders>
            <w:noWrap/>
            <w:vAlign w:val="bottom"/>
          </w:tcPr>
          <w:p w14:paraId="40FE9F12" w14:textId="77777777" w:rsidR="00D31621" w:rsidRPr="00FF1FEC" w:rsidRDefault="00D31621" w:rsidP="00C45F51">
            <w:pPr>
              <w:spacing w:after="0" w:line="240" w:lineRule="auto"/>
              <w:rPr>
                <w:rFonts w:ascii="Times New Roman" w:hAnsi="Times New Roman"/>
                <w:color w:val="000000"/>
                <w:sz w:val="24"/>
                <w:szCs w:val="24"/>
              </w:rPr>
            </w:pPr>
            <w:r w:rsidRPr="00FF1FEC">
              <w:rPr>
                <w:rFonts w:ascii="Times New Roman" w:hAnsi="Times New Roman"/>
                <w:color w:val="000000"/>
                <w:position w:val="-4"/>
                <w:sz w:val="24"/>
                <w:szCs w:val="24"/>
              </w:rPr>
              <w:object w:dxaOrig="220" w:dyaOrig="260" w14:anchorId="37BBB6A4">
                <v:shape id="_x0000_i2876" type="#_x0000_t75" style="width:11.25pt;height:12.75pt" o:ole="">
                  <v:imagedata r:id="rId57" o:title=""/>
                </v:shape>
                <o:OLEObject Type="Embed" ProgID="Equation.3" ShapeID="_x0000_i2876" DrawAspect="Content" ObjectID="_1817953535" r:id="rId64"/>
              </w:object>
            </w:r>
            <w:r w:rsidRPr="00FF1FEC">
              <w:rPr>
                <w:rFonts w:ascii="Times New Roman" w:hAnsi="Times New Roman"/>
                <w:color w:val="000000"/>
                <w:sz w:val="24"/>
                <w:szCs w:val="24"/>
              </w:rPr>
              <w:t>INF (-1)</w:t>
            </w:r>
          </w:p>
        </w:tc>
        <w:tc>
          <w:tcPr>
            <w:tcW w:w="2131" w:type="dxa"/>
            <w:tcBorders>
              <w:top w:val="nil"/>
              <w:bottom w:val="nil"/>
            </w:tcBorders>
            <w:noWrap/>
            <w:vAlign w:val="bottom"/>
            <w:hideMark/>
          </w:tcPr>
          <w:p w14:paraId="03293B3A" w14:textId="77777777" w:rsidR="00D31621" w:rsidRPr="00FF1FEC" w:rsidRDefault="00D31621" w:rsidP="00C45F51">
            <w:pPr>
              <w:spacing w:after="0" w:line="240" w:lineRule="auto"/>
              <w:rPr>
                <w:rFonts w:ascii="Times New Roman" w:hAnsi="Times New Roman"/>
                <w:color w:val="000000"/>
                <w:sz w:val="24"/>
                <w:szCs w:val="24"/>
              </w:rPr>
            </w:pPr>
            <w:r>
              <w:rPr>
                <w:rFonts w:ascii="Times New Roman" w:hAnsi="Times New Roman"/>
                <w:color w:val="000000"/>
                <w:sz w:val="24"/>
                <w:szCs w:val="24"/>
              </w:rPr>
              <w:t xml:space="preserve">     -</w:t>
            </w:r>
            <w:r w:rsidRPr="00FF1FEC">
              <w:rPr>
                <w:rFonts w:ascii="Times New Roman" w:hAnsi="Times New Roman"/>
                <w:color w:val="000000"/>
                <w:sz w:val="24"/>
                <w:szCs w:val="24"/>
              </w:rPr>
              <w:t>0.024136</w:t>
            </w:r>
          </w:p>
        </w:tc>
        <w:tc>
          <w:tcPr>
            <w:tcW w:w="2397" w:type="dxa"/>
            <w:tcBorders>
              <w:top w:val="nil"/>
              <w:bottom w:val="nil"/>
            </w:tcBorders>
            <w:noWrap/>
            <w:vAlign w:val="bottom"/>
            <w:hideMark/>
          </w:tcPr>
          <w:p w14:paraId="5FD1D0B2" w14:textId="77777777" w:rsidR="00D31621" w:rsidRPr="00FF1FEC" w:rsidRDefault="00D31621" w:rsidP="00C45F51">
            <w:pPr>
              <w:spacing w:after="0" w:line="240" w:lineRule="auto"/>
              <w:rPr>
                <w:rFonts w:ascii="Times New Roman" w:hAnsi="Times New Roman"/>
                <w:color w:val="000000"/>
                <w:sz w:val="24"/>
                <w:szCs w:val="24"/>
              </w:rPr>
            </w:pPr>
            <w:r w:rsidRPr="00FF1FEC">
              <w:rPr>
                <w:rFonts w:ascii="Times New Roman" w:hAnsi="Times New Roman"/>
                <w:color w:val="000000"/>
                <w:sz w:val="24"/>
                <w:szCs w:val="24"/>
              </w:rPr>
              <w:t>0.00705</w:t>
            </w:r>
          </w:p>
        </w:tc>
        <w:tc>
          <w:tcPr>
            <w:tcW w:w="1940" w:type="dxa"/>
            <w:tcBorders>
              <w:top w:val="nil"/>
              <w:bottom w:val="nil"/>
            </w:tcBorders>
            <w:noWrap/>
            <w:vAlign w:val="bottom"/>
            <w:hideMark/>
          </w:tcPr>
          <w:p w14:paraId="0F403874" w14:textId="77777777" w:rsidR="00D31621" w:rsidRPr="00FF1FEC" w:rsidRDefault="00D31621" w:rsidP="00C45F51">
            <w:pPr>
              <w:spacing w:after="0" w:line="240" w:lineRule="auto"/>
              <w:rPr>
                <w:rFonts w:ascii="Times New Roman" w:hAnsi="Times New Roman"/>
                <w:color w:val="000000"/>
                <w:sz w:val="24"/>
                <w:szCs w:val="24"/>
              </w:rPr>
            </w:pPr>
            <w:r>
              <w:rPr>
                <w:rFonts w:ascii="Times New Roman" w:hAnsi="Times New Roman"/>
                <w:color w:val="000000"/>
                <w:sz w:val="24"/>
                <w:szCs w:val="24"/>
              </w:rPr>
              <w:t xml:space="preserve">     -</w:t>
            </w:r>
            <w:r w:rsidRPr="00FF1FEC">
              <w:rPr>
                <w:rFonts w:ascii="Times New Roman" w:hAnsi="Times New Roman"/>
                <w:color w:val="000000"/>
                <w:sz w:val="24"/>
                <w:szCs w:val="24"/>
              </w:rPr>
              <w:t>3.42355</w:t>
            </w:r>
          </w:p>
        </w:tc>
      </w:tr>
      <w:tr w:rsidR="00D31621" w:rsidRPr="00D70D91" w14:paraId="56BD4D17" w14:textId="77777777" w:rsidTr="005E1237">
        <w:trPr>
          <w:trHeight w:val="417"/>
        </w:trPr>
        <w:tc>
          <w:tcPr>
            <w:tcW w:w="2500" w:type="dxa"/>
            <w:tcBorders>
              <w:top w:val="nil"/>
              <w:bottom w:val="nil"/>
            </w:tcBorders>
            <w:noWrap/>
            <w:vAlign w:val="bottom"/>
          </w:tcPr>
          <w:p w14:paraId="150E4DEE" w14:textId="77777777" w:rsidR="00D31621" w:rsidRPr="00FF1FEC" w:rsidRDefault="00D31621" w:rsidP="00C45F51">
            <w:pPr>
              <w:spacing w:after="0" w:line="240" w:lineRule="auto"/>
              <w:rPr>
                <w:rFonts w:ascii="Times New Roman" w:hAnsi="Times New Roman"/>
                <w:color w:val="000000"/>
                <w:sz w:val="24"/>
                <w:szCs w:val="24"/>
              </w:rPr>
            </w:pPr>
            <w:r w:rsidRPr="00FF1FEC">
              <w:rPr>
                <w:rFonts w:ascii="Times New Roman" w:hAnsi="Times New Roman"/>
                <w:color w:val="000000"/>
                <w:position w:val="-4"/>
                <w:sz w:val="24"/>
                <w:szCs w:val="24"/>
              </w:rPr>
              <w:object w:dxaOrig="220" w:dyaOrig="260" w14:anchorId="375A7623">
                <v:shape id="_x0000_i2877" type="#_x0000_t75" style="width:11.25pt;height:12.75pt" o:ole="">
                  <v:imagedata r:id="rId57" o:title=""/>
                </v:shape>
                <o:OLEObject Type="Embed" ProgID="Equation.3" ShapeID="_x0000_i2877" DrawAspect="Content" ObjectID="_1817953536" r:id="rId65"/>
              </w:object>
            </w:r>
            <w:r w:rsidRPr="00FF1FEC">
              <w:rPr>
                <w:rFonts w:ascii="Times New Roman" w:hAnsi="Times New Roman"/>
                <w:color w:val="000000"/>
                <w:sz w:val="24"/>
                <w:szCs w:val="24"/>
              </w:rPr>
              <w:t>EXR (-1)</w:t>
            </w:r>
          </w:p>
        </w:tc>
        <w:tc>
          <w:tcPr>
            <w:tcW w:w="2131" w:type="dxa"/>
            <w:tcBorders>
              <w:top w:val="nil"/>
              <w:bottom w:val="nil"/>
            </w:tcBorders>
            <w:noWrap/>
            <w:vAlign w:val="bottom"/>
            <w:hideMark/>
          </w:tcPr>
          <w:p w14:paraId="60D05C68" w14:textId="77777777" w:rsidR="00D31621" w:rsidRPr="00FF1FEC" w:rsidRDefault="00D31621" w:rsidP="00C45F51">
            <w:pPr>
              <w:spacing w:after="0" w:line="240" w:lineRule="auto"/>
              <w:rPr>
                <w:rFonts w:ascii="Times New Roman" w:hAnsi="Times New Roman"/>
                <w:color w:val="000000"/>
                <w:sz w:val="24"/>
                <w:szCs w:val="24"/>
              </w:rPr>
            </w:pPr>
            <w:r>
              <w:rPr>
                <w:rFonts w:ascii="Times New Roman" w:hAnsi="Times New Roman"/>
                <w:color w:val="000000"/>
                <w:sz w:val="24"/>
                <w:szCs w:val="24"/>
              </w:rPr>
              <w:t xml:space="preserve">      </w:t>
            </w:r>
            <w:r w:rsidRPr="00FF1FEC">
              <w:rPr>
                <w:rFonts w:ascii="Times New Roman" w:hAnsi="Times New Roman"/>
                <w:color w:val="000000"/>
                <w:sz w:val="24"/>
                <w:szCs w:val="24"/>
              </w:rPr>
              <w:t>0.044718</w:t>
            </w:r>
          </w:p>
        </w:tc>
        <w:tc>
          <w:tcPr>
            <w:tcW w:w="2397" w:type="dxa"/>
            <w:tcBorders>
              <w:top w:val="nil"/>
              <w:bottom w:val="nil"/>
            </w:tcBorders>
            <w:noWrap/>
            <w:vAlign w:val="bottom"/>
            <w:hideMark/>
          </w:tcPr>
          <w:p w14:paraId="3475DD6B" w14:textId="77777777" w:rsidR="00D31621" w:rsidRPr="00FF1FEC" w:rsidRDefault="00D31621" w:rsidP="00C45F51">
            <w:pPr>
              <w:spacing w:after="0" w:line="240" w:lineRule="auto"/>
              <w:rPr>
                <w:rFonts w:ascii="Times New Roman" w:hAnsi="Times New Roman"/>
                <w:color w:val="000000"/>
                <w:sz w:val="24"/>
                <w:szCs w:val="24"/>
              </w:rPr>
            </w:pPr>
            <w:r w:rsidRPr="00FF1FEC">
              <w:rPr>
                <w:rFonts w:ascii="Times New Roman" w:hAnsi="Times New Roman"/>
                <w:color w:val="000000"/>
                <w:sz w:val="24"/>
                <w:szCs w:val="24"/>
              </w:rPr>
              <w:t>0.01004</w:t>
            </w:r>
          </w:p>
        </w:tc>
        <w:tc>
          <w:tcPr>
            <w:tcW w:w="1940" w:type="dxa"/>
            <w:tcBorders>
              <w:top w:val="nil"/>
              <w:bottom w:val="nil"/>
            </w:tcBorders>
            <w:noWrap/>
            <w:vAlign w:val="bottom"/>
            <w:hideMark/>
          </w:tcPr>
          <w:p w14:paraId="28BC3155" w14:textId="77777777" w:rsidR="00D31621" w:rsidRPr="00FF1FEC" w:rsidRDefault="00D31621" w:rsidP="00C45F51">
            <w:pPr>
              <w:spacing w:after="0" w:line="240" w:lineRule="auto"/>
              <w:rPr>
                <w:rFonts w:ascii="Times New Roman" w:hAnsi="Times New Roman"/>
                <w:color w:val="000000"/>
                <w:sz w:val="24"/>
                <w:szCs w:val="24"/>
              </w:rPr>
            </w:pPr>
            <w:r w:rsidRPr="00FF1FEC">
              <w:rPr>
                <w:rFonts w:ascii="Times New Roman" w:hAnsi="Times New Roman"/>
                <w:color w:val="000000"/>
                <w:sz w:val="24"/>
                <w:szCs w:val="24"/>
              </w:rPr>
              <w:t>4.45398</w:t>
            </w:r>
          </w:p>
        </w:tc>
      </w:tr>
      <w:tr w:rsidR="00D31621" w:rsidRPr="00D70D91" w14:paraId="5659789A" w14:textId="77777777" w:rsidTr="005E1237">
        <w:trPr>
          <w:trHeight w:val="417"/>
        </w:trPr>
        <w:tc>
          <w:tcPr>
            <w:tcW w:w="2500" w:type="dxa"/>
            <w:tcBorders>
              <w:top w:val="nil"/>
              <w:bottom w:val="single" w:sz="4" w:space="0" w:color="auto"/>
            </w:tcBorders>
            <w:noWrap/>
            <w:vAlign w:val="bottom"/>
          </w:tcPr>
          <w:p w14:paraId="37434293" w14:textId="77777777" w:rsidR="00D31621" w:rsidRPr="00FF1FEC" w:rsidRDefault="00D31621" w:rsidP="00C45F51">
            <w:pPr>
              <w:spacing w:after="0" w:line="240" w:lineRule="auto"/>
              <w:rPr>
                <w:rFonts w:ascii="Times New Roman" w:hAnsi="Times New Roman"/>
                <w:color w:val="000000"/>
                <w:position w:val="-4"/>
                <w:sz w:val="24"/>
                <w:szCs w:val="24"/>
              </w:rPr>
            </w:pPr>
            <w:r w:rsidRPr="00FF1FEC">
              <w:rPr>
                <w:rFonts w:ascii="Times New Roman" w:hAnsi="Times New Roman"/>
                <w:color w:val="000000"/>
                <w:position w:val="-4"/>
                <w:sz w:val="24"/>
                <w:szCs w:val="24"/>
              </w:rPr>
              <w:t xml:space="preserve">    ECM(-1)</w:t>
            </w:r>
          </w:p>
        </w:tc>
        <w:tc>
          <w:tcPr>
            <w:tcW w:w="2131" w:type="dxa"/>
            <w:tcBorders>
              <w:top w:val="nil"/>
              <w:bottom w:val="single" w:sz="4" w:space="0" w:color="auto"/>
            </w:tcBorders>
            <w:noWrap/>
            <w:vAlign w:val="bottom"/>
          </w:tcPr>
          <w:p w14:paraId="2A5DC55D" w14:textId="77777777" w:rsidR="00D31621" w:rsidRPr="00FF1FEC" w:rsidRDefault="00D31621" w:rsidP="00C45F51">
            <w:pPr>
              <w:spacing w:after="0" w:line="240" w:lineRule="auto"/>
              <w:rPr>
                <w:rFonts w:ascii="Times New Roman" w:hAnsi="Times New Roman"/>
                <w:color w:val="000000"/>
                <w:sz w:val="24"/>
                <w:szCs w:val="24"/>
              </w:rPr>
            </w:pPr>
            <w:r>
              <w:rPr>
                <w:rFonts w:ascii="Times New Roman" w:hAnsi="Times New Roman"/>
                <w:color w:val="000000"/>
                <w:sz w:val="24"/>
                <w:szCs w:val="24"/>
              </w:rPr>
              <w:t xml:space="preserve">     </w:t>
            </w:r>
            <w:r w:rsidRPr="00FF1FEC">
              <w:rPr>
                <w:rFonts w:ascii="Times New Roman" w:hAnsi="Times New Roman"/>
                <w:color w:val="000000"/>
                <w:sz w:val="24"/>
                <w:szCs w:val="24"/>
              </w:rPr>
              <w:t>-0.516121</w:t>
            </w:r>
          </w:p>
        </w:tc>
        <w:tc>
          <w:tcPr>
            <w:tcW w:w="2397" w:type="dxa"/>
            <w:tcBorders>
              <w:top w:val="nil"/>
              <w:bottom w:val="single" w:sz="4" w:space="0" w:color="auto"/>
            </w:tcBorders>
            <w:noWrap/>
            <w:vAlign w:val="bottom"/>
          </w:tcPr>
          <w:p w14:paraId="6A6950F5" w14:textId="77777777" w:rsidR="00D31621" w:rsidRPr="00FF1FEC" w:rsidRDefault="00D31621" w:rsidP="00C45F51">
            <w:pPr>
              <w:spacing w:after="0" w:line="240" w:lineRule="auto"/>
              <w:rPr>
                <w:rFonts w:ascii="Times New Roman" w:hAnsi="Times New Roman"/>
                <w:color w:val="000000"/>
                <w:sz w:val="24"/>
                <w:szCs w:val="24"/>
              </w:rPr>
            </w:pPr>
            <w:r w:rsidRPr="00FF1FEC">
              <w:rPr>
                <w:rFonts w:ascii="Times New Roman" w:hAnsi="Times New Roman"/>
                <w:color w:val="000000"/>
                <w:sz w:val="24"/>
                <w:szCs w:val="24"/>
              </w:rPr>
              <w:t>0.10044</w:t>
            </w:r>
          </w:p>
        </w:tc>
        <w:tc>
          <w:tcPr>
            <w:tcW w:w="1940" w:type="dxa"/>
            <w:tcBorders>
              <w:top w:val="nil"/>
              <w:bottom w:val="single" w:sz="4" w:space="0" w:color="auto"/>
            </w:tcBorders>
            <w:noWrap/>
            <w:vAlign w:val="bottom"/>
          </w:tcPr>
          <w:p w14:paraId="6553AE7A" w14:textId="77777777" w:rsidR="00D31621" w:rsidRPr="00FF1FEC" w:rsidRDefault="00D31621" w:rsidP="00C45F51">
            <w:pPr>
              <w:spacing w:after="0" w:line="240" w:lineRule="auto"/>
              <w:rPr>
                <w:rFonts w:ascii="Times New Roman" w:hAnsi="Times New Roman"/>
                <w:color w:val="000000"/>
                <w:sz w:val="24"/>
                <w:szCs w:val="24"/>
              </w:rPr>
            </w:pPr>
            <w:r>
              <w:rPr>
                <w:rFonts w:ascii="Times New Roman" w:hAnsi="Times New Roman"/>
                <w:color w:val="000000"/>
                <w:sz w:val="24"/>
                <w:szCs w:val="24"/>
              </w:rPr>
              <w:t xml:space="preserve">     </w:t>
            </w:r>
            <w:r w:rsidRPr="00FF1FEC">
              <w:rPr>
                <w:rFonts w:ascii="Times New Roman" w:hAnsi="Times New Roman"/>
                <w:color w:val="000000"/>
                <w:sz w:val="24"/>
                <w:szCs w:val="24"/>
              </w:rPr>
              <w:t>-5.13860</w:t>
            </w:r>
          </w:p>
        </w:tc>
      </w:tr>
    </w:tbl>
    <w:p w14:paraId="41749692" w14:textId="77777777" w:rsidR="00D31621" w:rsidRPr="005E1237" w:rsidRDefault="00D31621" w:rsidP="00C45F51">
      <w:pPr>
        <w:spacing w:line="240" w:lineRule="auto"/>
        <w:jc w:val="both"/>
        <w:rPr>
          <w:rFonts w:ascii="Times New Roman" w:hAnsi="Times New Roman"/>
          <w:b/>
          <w:bCs/>
          <w:i/>
          <w:color w:val="000000"/>
          <w:sz w:val="20"/>
          <w:szCs w:val="20"/>
          <w:lang w:val="en-GB"/>
        </w:rPr>
      </w:pPr>
      <w:r>
        <w:rPr>
          <w:rFonts w:ascii="Times New Roman" w:hAnsi="Times New Roman"/>
          <w:b/>
          <w:color w:val="000000"/>
          <w:sz w:val="24"/>
          <w:szCs w:val="24"/>
          <w:lang w:val="en-GB"/>
        </w:rPr>
        <w:t xml:space="preserve">     </w:t>
      </w:r>
      <w:r>
        <w:rPr>
          <w:rFonts w:ascii="Times New Roman" w:hAnsi="Times New Roman"/>
          <w:b/>
          <w:color w:val="000000"/>
          <w:sz w:val="24"/>
          <w:szCs w:val="24"/>
          <w:lang w:val="en-GB"/>
        </w:rPr>
        <w:tab/>
      </w:r>
      <w:r w:rsidRPr="005E1237">
        <w:rPr>
          <w:rFonts w:ascii="Times New Roman" w:hAnsi="Times New Roman"/>
          <w:b/>
          <w:bCs/>
          <w:i/>
          <w:color w:val="000000"/>
          <w:sz w:val="20"/>
          <w:szCs w:val="20"/>
          <w:lang w:val="en-GB"/>
        </w:rPr>
        <w:t>Adjusted R-squared = 0.756300        F-Statistic = 25.05135</w:t>
      </w:r>
    </w:p>
    <w:p w14:paraId="197ACD63" w14:textId="77777777" w:rsidR="007C0724" w:rsidRDefault="007C0724" w:rsidP="00C45F51">
      <w:pPr>
        <w:pStyle w:val="NoSpacing"/>
        <w:spacing w:after="240"/>
        <w:jc w:val="both"/>
        <w:rPr>
          <w:rFonts w:ascii="Times New Roman" w:hAnsi="Times New Roman"/>
          <w:sz w:val="24"/>
          <w:szCs w:val="24"/>
        </w:rPr>
      </w:pPr>
    </w:p>
    <w:p w14:paraId="2D9C8D2E" w14:textId="77777777" w:rsidR="005E1237" w:rsidRDefault="005E1237" w:rsidP="005E1237">
      <w:pPr>
        <w:pStyle w:val="NoSpacing"/>
        <w:spacing w:after="240"/>
        <w:rPr>
          <w:rFonts w:ascii="Times New Roman" w:hAnsi="Times New Roman"/>
          <w:sz w:val="24"/>
          <w:szCs w:val="24"/>
        </w:rPr>
        <w:sectPr w:rsidR="005E1237" w:rsidSect="004267E7">
          <w:type w:val="continuous"/>
          <w:pgSz w:w="12240" w:h="15840"/>
          <w:pgMar w:top="1135" w:right="1440" w:bottom="1440" w:left="1440" w:header="720" w:footer="720" w:gutter="0"/>
          <w:cols w:space="720"/>
          <w:docGrid w:linePitch="360"/>
        </w:sectPr>
      </w:pPr>
    </w:p>
    <w:p w14:paraId="30C124B9" w14:textId="1726052E" w:rsidR="003910A5" w:rsidRDefault="00D31621" w:rsidP="005E1237">
      <w:pPr>
        <w:pStyle w:val="NoSpacing"/>
        <w:spacing w:after="240"/>
        <w:rPr>
          <w:rFonts w:ascii="Times New Roman" w:hAnsi="Times New Roman"/>
          <w:sz w:val="24"/>
          <w:szCs w:val="24"/>
        </w:rPr>
      </w:pPr>
      <w:r>
        <w:rPr>
          <w:rFonts w:ascii="Times New Roman" w:hAnsi="Times New Roman"/>
          <w:sz w:val="24"/>
          <w:szCs w:val="24"/>
        </w:rPr>
        <w:lastRenderedPageBreak/>
        <w:t xml:space="preserve">The result from Table </w:t>
      </w:r>
      <w:r w:rsidR="007C0724">
        <w:rPr>
          <w:rFonts w:ascii="Times New Roman" w:hAnsi="Times New Roman"/>
          <w:sz w:val="24"/>
          <w:szCs w:val="24"/>
        </w:rPr>
        <w:t>13</w:t>
      </w:r>
      <w:r>
        <w:rPr>
          <w:rFonts w:ascii="Times New Roman" w:hAnsi="Times New Roman"/>
          <w:sz w:val="24"/>
          <w:szCs w:val="24"/>
        </w:rPr>
        <w:t xml:space="preserve"> shows that M2/GDP</w:t>
      </w:r>
      <w:r w:rsidRPr="00700A04">
        <w:rPr>
          <w:rFonts w:ascii="Times New Roman" w:hAnsi="Times New Roman"/>
          <w:sz w:val="24"/>
          <w:szCs w:val="24"/>
        </w:rPr>
        <w:t xml:space="preserve"> </w:t>
      </w:r>
      <w:r>
        <w:rPr>
          <w:rFonts w:ascii="Times New Roman" w:hAnsi="Times New Roman"/>
          <w:sz w:val="24"/>
          <w:szCs w:val="24"/>
        </w:rPr>
        <w:t>(financial depth), P/TDS</w:t>
      </w:r>
      <w:r w:rsidRPr="00700A04">
        <w:rPr>
          <w:rFonts w:ascii="Times New Roman" w:hAnsi="Times New Roman"/>
          <w:sz w:val="24"/>
          <w:szCs w:val="24"/>
        </w:rPr>
        <w:t xml:space="preserve"> </w:t>
      </w:r>
      <w:r>
        <w:rPr>
          <w:rFonts w:ascii="Times New Roman" w:hAnsi="Times New Roman"/>
          <w:sz w:val="24"/>
          <w:szCs w:val="24"/>
        </w:rPr>
        <w:t xml:space="preserve">(financial access) and LDS (financial efficiency) are positive and statistically related to short-run RGDP (economic growth) in Nigeria while LR (financial stability) is negative and statistically significant to RGDP (economic growth) in Nigeria. A one per cent increase in M2/GDP (financial depth), P/TDS (financial access) and LDS (financial efficiency) lead to positive change in economic growth by 0.012036 percent, 0.067004 percent and </w:t>
      </w:r>
      <w:r w:rsidRPr="008B7E5B">
        <w:rPr>
          <w:rFonts w:ascii="Times New Roman" w:hAnsi="Times New Roman"/>
          <w:sz w:val="24"/>
          <w:szCs w:val="24"/>
        </w:rPr>
        <w:t>0.040115</w:t>
      </w:r>
      <w:r>
        <w:rPr>
          <w:rFonts w:ascii="Times New Roman" w:hAnsi="Times New Roman"/>
          <w:sz w:val="24"/>
          <w:szCs w:val="24"/>
        </w:rPr>
        <w:t xml:space="preserve"> percent respectively. On the other hand, one percent increase in LR</w:t>
      </w:r>
      <w:r w:rsidRPr="003D0B04">
        <w:rPr>
          <w:rFonts w:ascii="Times New Roman" w:hAnsi="Times New Roman"/>
          <w:sz w:val="24"/>
          <w:szCs w:val="24"/>
        </w:rPr>
        <w:t xml:space="preserve"> </w:t>
      </w:r>
      <w:r>
        <w:rPr>
          <w:rFonts w:ascii="Times New Roman" w:hAnsi="Times New Roman"/>
          <w:sz w:val="24"/>
          <w:szCs w:val="24"/>
        </w:rPr>
        <w:t xml:space="preserve">financial stability) leads to negative effect on short-run economic growth by 0.191505.   </w:t>
      </w:r>
    </w:p>
    <w:p w14:paraId="7CAAA432" w14:textId="61E678F5" w:rsidR="00D31621" w:rsidRPr="003910A5" w:rsidRDefault="00D31621" w:rsidP="005E1237">
      <w:pPr>
        <w:pStyle w:val="NoSpacing"/>
        <w:spacing w:after="240"/>
        <w:rPr>
          <w:rFonts w:ascii="Times New Roman" w:hAnsi="Times New Roman"/>
          <w:sz w:val="24"/>
          <w:szCs w:val="24"/>
        </w:rPr>
      </w:pPr>
      <w:r>
        <w:rPr>
          <w:rFonts w:ascii="Times New Roman" w:hAnsi="Times New Roman"/>
          <w:color w:val="000000"/>
          <w:sz w:val="24"/>
          <w:szCs w:val="24"/>
        </w:rPr>
        <w:t>Also, the result shows that SMR (stock market returns) have positive and significant relationship with RGDP (economic growth) in the short-run in Nigeria. A one percent increase in SMR (stock market returns) leads to 0.227105 percent increase in RGDP (economic growth) in the short-run economic in Nigeria. The res</w:t>
      </w:r>
      <w:r w:rsidRPr="005E1237">
        <w:rPr>
          <w:rFonts w:ascii="Times New Roman" w:hAnsi="Times New Roman"/>
          <w:sz w:val="24"/>
          <w:szCs w:val="24"/>
        </w:rPr>
        <w:t>ult show</w:t>
      </w:r>
      <w:r w:rsidR="007C0724" w:rsidRPr="005E1237">
        <w:rPr>
          <w:rFonts w:ascii="Times New Roman" w:hAnsi="Times New Roman"/>
          <w:sz w:val="24"/>
          <w:szCs w:val="24"/>
        </w:rPr>
        <w:t>ed</w:t>
      </w:r>
      <w:r>
        <w:rPr>
          <w:rFonts w:ascii="Times New Roman" w:hAnsi="Times New Roman"/>
          <w:color w:val="000000"/>
          <w:sz w:val="24"/>
          <w:szCs w:val="24"/>
        </w:rPr>
        <w:t xml:space="preserve"> negative relationship between inflation and economic growth in Nigeria. One percent increase in inflation decreases economic growth by 0.024136 percent. Contrary to expectations, the results reveal a positive relationship between exchange rate and short-run economic growth in Nigeria.</w:t>
      </w:r>
    </w:p>
    <w:p w14:paraId="396A0DF2" w14:textId="26C566A9" w:rsidR="00D31621" w:rsidRDefault="00D31621" w:rsidP="005E1237">
      <w:pPr>
        <w:pStyle w:val="NoSpacing"/>
        <w:rPr>
          <w:rFonts w:ascii="Times New Roman" w:hAnsi="Times New Roman"/>
          <w:sz w:val="24"/>
          <w:szCs w:val="24"/>
        </w:rPr>
      </w:pPr>
      <w:r w:rsidRPr="00CB4275">
        <w:rPr>
          <w:rFonts w:ascii="Times New Roman" w:hAnsi="Times New Roman"/>
          <w:sz w:val="24"/>
          <w:szCs w:val="24"/>
        </w:rPr>
        <w:t xml:space="preserve">The magnitude of the error-correction term reveals the change in </w:t>
      </w:r>
      <w:r>
        <w:rPr>
          <w:rFonts w:ascii="Times New Roman" w:hAnsi="Times New Roman"/>
          <w:sz w:val="24"/>
          <w:szCs w:val="24"/>
        </w:rPr>
        <w:t>economic growth</w:t>
      </w:r>
      <w:r w:rsidRPr="00CB4275">
        <w:rPr>
          <w:rFonts w:ascii="Times New Roman" w:hAnsi="Times New Roman"/>
          <w:sz w:val="24"/>
          <w:szCs w:val="24"/>
        </w:rPr>
        <w:t xml:space="preserve"> per period that is attributable to the disequilibrium between the actual and equilibrium levels. The reported speed of adjustment is </w:t>
      </w:r>
      <w:r>
        <w:rPr>
          <w:rFonts w:ascii="Times New Roman" w:hAnsi="Times New Roman"/>
          <w:sz w:val="24"/>
          <w:szCs w:val="24"/>
        </w:rPr>
        <w:t xml:space="preserve">negative and statistically significant with a coefficient of </w:t>
      </w:r>
      <w:r w:rsidRPr="00BD0230">
        <w:rPr>
          <w:rFonts w:ascii="Times New Roman" w:hAnsi="Times New Roman"/>
          <w:sz w:val="24"/>
          <w:szCs w:val="24"/>
        </w:rPr>
        <w:t>-0.516121</w:t>
      </w:r>
      <w:r>
        <w:rPr>
          <w:rFonts w:ascii="Times New Roman" w:hAnsi="Times New Roman"/>
          <w:sz w:val="24"/>
          <w:szCs w:val="24"/>
        </w:rPr>
        <w:t xml:space="preserve"> indicating that about 51.6</w:t>
      </w:r>
      <w:r w:rsidRPr="00CB4275">
        <w:rPr>
          <w:rFonts w:ascii="Times New Roman" w:hAnsi="Times New Roman"/>
          <w:sz w:val="24"/>
          <w:szCs w:val="24"/>
        </w:rPr>
        <w:t xml:space="preserve">% of adjustment to the equilibrium level of </w:t>
      </w:r>
      <w:r>
        <w:rPr>
          <w:rFonts w:ascii="Times New Roman" w:hAnsi="Times New Roman"/>
          <w:sz w:val="24"/>
          <w:szCs w:val="24"/>
        </w:rPr>
        <w:t>real gross domestic product</w:t>
      </w:r>
      <w:r w:rsidRPr="00CB4275">
        <w:rPr>
          <w:rFonts w:ascii="Times New Roman" w:hAnsi="Times New Roman"/>
          <w:sz w:val="24"/>
          <w:szCs w:val="24"/>
        </w:rPr>
        <w:t xml:space="preserve"> occurs </w:t>
      </w:r>
      <w:r>
        <w:rPr>
          <w:rFonts w:ascii="Times New Roman" w:hAnsi="Times New Roman"/>
          <w:sz w:val="24"/>
          <w:szCs w:val="24"/>
        </w:rPr>
        <w:t>annually</w:t>
      </w:r>
      <w:r w:rsidRPr="00CB4275">
        <w:rPr>
          <w:rFonts w:ascii="Times New Roman" w:hAnsi="Times New Roman"/>
          <w:sz w:val="24"/>
          <w:szCs w:val="24"/>
        </w:rPr>
        <w:t xml:space="preserve"> in Nigeria. </w:t>
      </w:r>
      <w:r>
        <w:rPr>
          <w:rFonts w:ascii="Times New Roman" w:hAnsi="Times New Roman"/>
          <w:sz w:val="24"/>
          <w:szCs w:val="24"/>
        </w:rPr>
        <w:t>In other words, the speed of adjustment implies that, about 51.6% of the disequilibrium in real gross domestic product will be corrected annually for the long-run relationship to be established.</w:t>
      </w:r>
      <w:r w:rsidR="007C0724">
        <w:rPr>
          <w:rFonts w:ascii="Times New Roman" w:hAnsi="Times New Roman"/>
          <w:sz w:val="24"/>
          <w:szCs w:val="24"/>
        </w:rPr>
        <w:t xml:space="preserve"> </w:t>
      </w:r>
      <w:r>
        <w:rPr>
          <w:rFonts w:ascii="Times New Roman" w:hAnsi="Times New Roman"/>
          <w:sz w:val="24"/>
          <w:szCs w:val="24"/>
        </w:rPr>
        <w:t>The dynamics of the short run coefficients are better explained by the impulse response function in figure 3.</w:t>
      </w:r>
    </w:p>
    <w:p w14:paraId="34A5D974" w14:textId="77777777" w:rsidR="003910A5" w:rsidRPr="003910A5" w:rsidRDefault="003910A5" w:rsidP="005E1237">
      <w:pPr>
        <w:pStyle w:val="NoSpacing"/>
        <w:rPr>
          <w:rFonts w:ascii="Times New Roman" w:hAnsi="Times New Roman"/>
          <w:sz w:val="20"/>
          <w:szCs w:val="24"/>
        </w:rPr>
      </w:pPr>
    </w:p>
    <w:p w14:paraId="5993F721" w14:textId="7E21DF5E" w:rsidR="003910A5" w:rsidRPr="005E1237" w:rsidRDefault="00D31621" w:rsidP="005E1237">
      <w:pPr>
        <w:pStyle w:val="ListParagraph"/>
        <w:numPr>
          <w:ilvl w:val="0"/>
          <w:numId w:val="34"/>
        </w:numPr>
        <w:spacing w:after="0" w:line="240" w:lineRule="auto"/>
        <w:ind w:left="284"/>
        <w:rPr>
          <w:rFonts w:ascii="Times New Roman" w:hAnsi="Times New Roman"/>
          <w:b/>
          <w:sz w:val="24"/>
          <w:szCs w:val="24"/>
        </w:rPr>
      </w:pPr>
      <w:r w:rsidRPr="005E1237">
        <w:rPr>
          <w:rFonts w:ascii="Times New Roman" w:hAnsi="Times New Roman"/>
          <w:b/>
          <w:sz w:val="24"/>
          <w:szCs w:val="24"/>
        </w:rPr>
        <w:t xml:space="preserve">Diagnostic and Stability Tests </w:t>
      </w:r>
    </w:p>
    <w:p w14:paraId="1C7C8B7A" w14:textId="77777777" w:rsidR="00F9478C" w:rsidRDefault="00D31621" w:rsidP="005E1237">
      <w:pPr>
        <w:spacing w:after="0" w:line="240" w:lineRule="auto"/>
        <w:rPr>
          <w:rFonts w:ascii="Times New Roman" w:hAnsi="Times New Roman"/>
          <w:b/>
          <w:sz w:val="24"/>
          <w:szCs w:val="24"/>
        </w:rPr>
      </w:pPr>
      <w:r w:rsidRPr="008F7440">
        <w:rPr>
          <w:rFonts w:ascii="Times New Roman" w:hAnsi="Times New Roman"/>
          <w:sz w:val="24"/>
          <w:szCs w:val="24"/>
        </w:rPr>
        <w:t>Before drawing conclusions/policy inference from the estimated regression, it is</w:t>
      </w:r>
      <w:r>
        <w:rPr>
          <w:rFonts w:ascii="Times New Roman" w:hAnsi="Times New Roman"/>
          <w:sz w:val="24"/>
          <w:szCs w:val="24"/>
        </w:rPr>
        <w:t xml:space="preserve"> </w:t>
      </w:r>
      <w:r w:rsidRPr="008F7440">
        <w:rPr>
          <w:rFonts w:ascii="Times New Roman" w:hAnsi="Times New Roman"/>
          <w:sz w:val="24"/>
          <w:szCs w:val="24"/>
        </w:rPr>
        <w:t xml:space="preserve">important to perform residual diagnostic </w:t>
      </w:r>
      <w:r>
        <w:rPr>
          <w:rFonts w:ascii="Times New Roman" w:hAnsi="Times New Roman"/>
          <w:sz w:val="24"/>
          <w:szCs w:val="24"/>
        </w:rPr>
        <w:t xml:space="preserve">and stability </w:t>
      </w:r>
      <w:r w:rsidRPr="008F7440">
        <w:rPr>
          <w:rFonts w:ascii="Times New Roman" w:hAnsi="Times New Roman"/>
          <w:sz w:val="24"/>
          <w:szCs w:val="24"/>
        </w:rPr>
        <w:t>tests to ascertain the validity of the</w:t>
      </w:r>
      <w:r>
        <w:rPr>
          <w:rFonts w:ascii="Times New Roman" w:hAnsi="Times New Roman"/>
          <w:sz w:val="24"/>
          <w:szCs w:val="24"/>
        </w:rPr>
        <w:t xml:space="preserve"> underlying </w:t>
      </w:r>
      <w:r w:rsidRPr="008F7440">
        <w:rPr>
          <w:rFonts w:ascii="Times New Roman" w:hAnsi="Times New Roman"/>
          <w:sz w:val="24"/>
          <w:szCs w:val="24"/>
        </w:rPr>
        <w:t>assumptions</w:t>
      </w:r>
      <w:r>
        <w:rPr>
          <w:rFonts w:ascii="Times New Roman" w:hAnsi="Times New Roman"/>
          <w:sz w:val="24"/>
          <w:szCs w:val="24"/>
        </w:rPr>
        <w:t xml:space="preserve">. The diagnostic tests of </w:t>
      </w:r>
      <w:r w:rsidRPr="008F7440">
        <w:rPr>
          <w:rFonts w:ascii="Times New Roman" w:hAnsi="Times New Roman"/>
          <w:sz w:val="24"/>
          <w:szCs w:val="24"/>
        </w:rPr>
        <w:t>VEC Residual Serial Correlation LM Tests</w:t>
      </w:r>
      <w:r>
        <w:rPr>
          <w:rFonts w:ascii="Times New Roman" w:hAnsi="Times New Roman"/>
          <w:sz w:val="24"/>
          <w:szCs w:val="24"/>
        </w:rPr>
        <w:t xml:space="preserve"> and </w:t>
      </w:r>
      <w:r w:rsidRPr="008F7440">
        <w:rPr>
          <w:rFonts w:ascii="Times New Roman" w:hAnsi="Times New Roman"/>
          <w:sz w:val="24"/>
          <w:szCs w:val="24"/>
        </w:rPr>
        <w:t>VEC Residual Heteroskedasticity Tests</w:t>
      </w:r>
      <w:r>
        <w:rPr>
          <w:rFonts w:ascii="Times New Roman" w:hAnsi="Times New Roman"/>
          <w:sz w:val="24"/>
          <w:szCs w:val="24"/>
        </w:rPr>
        <w:t xml:space="preserve"> were conducted while the stability test of </w:t>
      </w:r>
      <w:r w:rsidRPr="008F7440">
        <w:rPr>
          <w:rFonts w:ascii="Times New Roman" w:hAnsi="Times New Roman"/>
          <w:sz w:val="24"/>
          <w:szCs w:val="24"/>
        </w:rPr>
        <w:t>inverse roots of AR characteristic polynomial was estimated</w:t>
      </w:r>
      <w:r>
        <w:rPr>
          <w:rFonts w:ascii="Times New Roman" w:hAnsi="Times New Roman"/>
          <w:sz w:val="24"/>
          <w:szCs w:val="24"/>
        </w:rPr>
        <w:t>.</w:t>
      </w:r>
    </w:p>
    <w:p w14:paraId="70FF7CAB" w14:textId="77777777" w:rsidR="00F9478C" w:rsidRPr="00F9478C" w:rsidRDefault="00F9478C" w:rsidP="005E1237">
      <w:pPr>
        <w:spacing w:after="0" w:line="240" w:lineRule="auto"/>
        <w:rPr>
          <w:rFonts w:ascii="Times New Roman" w:hAnsi="Times New Roman"/>
          <w:b/>
          <w:sz w:val="14"/>
          <w:szCs w:val="24"/>
        </w:rPr>
      </w:pPr>
    </w:p>
    <w:p w14:paraId="145E928D" w14:textId="191CEC02" w:rsidR="00F9478C" w:rsidRDefault="00D31621" w:rsidP="005E1237">
      <w:pPr>
        <w:spacing w:after="0" w:line="240" w:lineRule="auto"/>
        <w:rPr>
          <w:rFonts w:ascii="Times New Roman" w:hAnsi="Times New Roman"/>
          <w:b/>
          <w:sz w:val="24"/>
          <w:szCs w:val="24"/>
        </w:rPr>
      </w:pPr>
      <w:r w:rsidRPr="00D53F28">
        <w:rPr>
          <w:rFonts w:ascii="Times New Roman" w:hAnsi="Times New Roman"/>
          <w:b/>
          <w:sz w:val="24"/>
          <w:szCs w:val="24"/>
        </w:rPr>
        <w:t>VEC Residual Serial Correlation LM Tests</w:t>
      </w:r>
    </w:p>
    <w:p w14:paraId="69E0EC9C" w14:textId="77777777" w:rsidR="005E1237" w:rsidRDefault="00D31621" w:rsidP="005E1237">
      <w:pPr>
        <w:spacing w:after="0" w:line="240" w:lineRule="auto"/>
        <w:rPr>
          <w:rFonts w:ascii="Times New Roman" w:hAnsi="Times New Roman"/>
          <w:sz w:val="24"/>
          <w:szCs w:val="24"/>
        </w:rPr>
        <w:sectPr w:rsidR="005E1237" w:rsidSect="005E1237">
          <w:type w:val="continuous"/>
          <w:pgSz w:w="12240" w:h="15840"/>
          <w:pgMar w:top="1135" w:right="1440" w:bottom="1440" w:left="1440" w:header="720" w:footer="720" w:gutter="0"/>
          <w:cols w:num="2" w:space="720"/>
          <w:docGrid w:linePitch="360"/>
        </w:sectPr>
      </w:pPr>
      <w:r w:rsidRPr="00D53F28">
        <w:rPr>
          <w:rFonts w:ascii="Times New Roman" w:hAnsi="Times New Roman"/>
          <w:sz w:val="24"/>
          <w:szCs w:val="24"/>
        </w:rPr>
        <w:t>To test for serial correlation a</w:t>
      </w:r>
      <w:r>
        <w:rPr>
          <w:rFonts w:ascii="Times New Roman" w:hAnsi="Times New Roman"/>
          <w:sz w:val="24"/>
          <w:szCs w:val="24"/>
        </w:rPr>
        <w:t>mong the residuals, the LM test</w:t>
      </w:r>
      <w:r w:rsidRPr="00D53F28">
        <w:rPr>
          <w:rFonts w:ascii="Times New Roman" w:hAnsi="Times New Roman"/>
          <w:sz w:val="24"/>
          <w:szCs w:val="24"/>
        </w:rPr>
        <w:t xml:space="preserve"> was conducted and the results are shown </w:t>
      </w:r>
      <w:r>
        <w:rPr>
          <w:rFonts w:ascii="Times New Roman" w:hAnsi="Times New Roman"/>
          <w:sz w:val="24"/>
          <w:szCs w:val="24"/>
        </w:rPr>
        <w:t xml:space="preserve">Table </w:t>
      </w:r>
      <w:r w:rsidR="007C0724">
        <w:rPr>
          <w:rFonts w:ascii="Times New Roman" w:hAnsi="Times New Roman"/>
          <w:sz w:val="24"/>
          <w:szCs w:val="24"/>
        </w:rPr>
        <w:t>14</w:t>
      </w:r>
    </w:p>
    <w:p w14:paraId="0B28EA64" w14:textId="61E49019" w:rsidR="00D31621" w:rsidRPr="00F9478C" w:rsidRDefault="00D31621" w:rsidP="005E1237">
      <w:pPr>
        <w:spacing w:after="0" w:line="240" w:lineRule="auto"/>
        <w:rPr>
          <w:rFonts w:ascii="Times New Roman" w:hAnsi="Times New Roman"/>
          <w:b/>
          <w:sz w:val="24"/>
          <w:szCs w:val="24"/>
        </w:rPr>
      </w:pPr>
    </w:p>
    <w:tbl>
      <w:tblPr>
        <w:tblW w:w="0" w:type="auto"/>
        <w:tblInd w:w="630" w:type="dxa"/>
        <w:tblLayout w:type="fixed"/>
        <w:tblCellMar>
          <w:left w:w="0" w:type="dxa"/>
          <w:right w:w="0" w:type="dxa"/>
        </w:tblCellMar>
        <w:tblLook w:val="0000" w:firstRow="0" w:lastRow="0" w:firstColumn="0" w:lastColumn="0" w:noHBand="0" w:noVBand="0"/>
      </w:tblPr>
      <w:tblGrid>
        <w:gridCol w:w="1868"/>
        <w:gridCol w:w="1156"/>
        <w:gridCol w:w="771"/>
        <w:gridCol w:w="881"/>
        <w:gridCol w:w="1632"/>
        <w:gridCol w:w="1322"/>
        <w:gridCol w:w="881"/>
      </w:tblGrid>
      <w:tr w:rsidR="00D31621" w:rsidRPr="00B720C7" w14:paraId="302F6166" w14:textId="77777777" w:rsidTr="005E1237">
        <w:trPr>
          <w:trHeight w:val="170"/>
        </w:trPr>
        <w:tc>
          <w:tcPr>
            <w:tcW w:w="6308" w:type="dxa"/>
            <w:gridSpan w:val="5"/>
            <w:tcBorders>
              <w:top w:val="nil"/>
              <w:left w:val="nil"/>
              <w:bottom w:val="nil"/>
              <w:right w:val="nil"/>
            </w:tcBorders>
            <w:vAlign w:val="bottom"/>
          </w:tcPr>
          <w:p w14:paraId="3BB4B686" w14:textId="4B36F03D" w:rsidR="00D31621" w:rsidRPr="00D53F28" w:rsidRDefault="00D31621" w:rsidP="005E1237">
            <w:pPr>
              <w:autoSpaceDE w:val="0"/>
              <w:autoSpaceDN w:val="0"/>
              <w:adjustRightInd w:val="0"/>
              <w:spacing w:after="0" w:line="240" w:lineRule="auto"/>
              <w:rPr>
                <w:rFonts w:ascii="Times New Roman" w:hAnsi="Times New Roman"/>
                <w:b/>
                <w:color w:val="000000"/>
                <w:sz w:val="24"/>
                <w:szCs w:val="24"/>
              </w:rPr>
            </w:pPr>
            <w:r>
              <w:rPr>
                <w:rFonts w:ascii="Times New Roman" w:hAnsi="Times New Roman"/>
                <w:b/>
                <w:color w:val="000000"/>
                <w:sz w:val="24"/>
                <w:szCs w:val="24"/>
              </w:rPr>
              <w:t xml:space="preserve">Table </w:t>
            </w:r>
            <w:r w:rsidR="007C0724">
              <w:rPr>
                <w:rFonts w:ascii="Times New Roman" w:hAnsi="Times New Roman"/>
                <w:b/>
                <w:color w:val="000000"/>
                <w:sz w:val="24"/>
                <w:szCs w:val="24"/>
              </w:rPr>
              <w:t>14</w:t>
            </w:r>
            <w:r w:rsidR="005E1237">
              <w:rPr>
                <w:rFonts w:ascii="Times New Roman" w:hAnsi="Times New Roman"/>
                <w:b/>
                <w:color w:val="000000"/>
                <w:sz w:val="24"/>
                <w:szCs w:val="24"/>
              </w:rPr>
              <w:t xml:space="preserve">: </w:t>
            </w:r>
            <w:r w:rsidRPr="00D53F28">
              <w:rPr>
                <w:rFonts w:ascii="Times New Roman" w:hAnsi="Times New Roman"/>
                <w:b/>
                <w:color w:val="000000"/>
                <w:sz w:val="24"/>
                <w:szCs w:val="24"/>
              </w:rPr>
              <w:t>VEC Residual Serial Correlation LM Tests</w:t>
            </w:r>
          </w:p>
        </w:tc>
        <w:tc>
          <w:tcPr>
            <w:tcW w:w="1322" w:type="dxa"/>
            <w:tcBorders>
              <w:top w:val="nil"/>
              <w:left w:val="nil"/>
              <w:bottom w:val="nil"/>
              <w:right w:val="nil"/>
            </w:tcBorders>
            <w:vAlign w:val="bottom"/>
          </w:tcPr>
          <w:p w14:paraId="1ECB155D"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881" w:type="dxa"/>
            <w:tcBorders>
              <w:top w:val="nil"/>
              <w:left w:val="nil"/>
              <w:bottom w:val="nil"/>
              <w:right w:val="nil"/>
            </w:tcBorders>
            <w:vAlign w:val="bottom"/>
          </w:tcPr>
          <w:p w14:paraId="6FFF4CBA"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r>
      <w:tr w:rsidR="00D31621" w:rsidRPr="00B720C7" w14:paraId="1980600A" w14:textId="77777777" w:rsidTr="005E1237">
        <w:trPr>
          <w:trHeight w:hRule="exact" w:val="59"/>
        </w:trPr>
        <w:tc>
          <w:tcPr>
            <w:tcW w:w="1868" w:type="dxa"/>
            <w:tcBorders>
              <w:top w:val="nil"/>
              <w:left w:val="nil"/>
              <w:bottom w:val="double" w:sz="6" w:space="2" w:color="auto"/>
              <w:right w:val="nil"/>
            </w:tcBorders>
            <w:vAlign w:val="bottom"/>
          </w:tcPr>
          <w:p w14:paraId="24B85A33"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56" w:type="dxa"/>
            <w:tcBorders>
              <w:top w:val="nil"/>
              <w:left w:val="nil"/>
              <w:bottom w:val="double" w:sz="6" w:space="2" w:color="auto"/>
              <w:right w:val="nil"/>
            </w:tcBorders>
            <w:vAlign w:val="bottom"/>
          </w:tcPr>
          <w:p w14:paraId="4F692FB1"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771" w:type="dxa"/>
            <w:tcBorders>
              <w:top w:val="nil"/>
              <w:left w:val="nil"/>
              <w:bottom w:val="double" w:sz="6" w:space="2" w:color="auto"/>
              <w:right w:val="nil"/>
            </w:tcBorders>
            <w:vAlign w:val="bottom"/>
          </w:tcPr>
          <w:p w14:paraId="115778FD"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881" w:type="dxa"/>
            <w:tcBorders>
              <w:top w:val="nil"/>
              <w:left w:val="nil"/>
              <w:bottom w:val="double" w:sz="6" w:space="2" w:color="auto"/>
              <w:right w:val="nil"/>
            </w:tcBorders>
            <w:vAlign w:val="bottom"/>
          </w:tcPr>
          <w:p w14:paraId="63C933A9"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630" w:type="dxa"/>
            <w:tcBorders>
              <w:top w:val="nil"/>
              <w:left w:val="nil"/>
              <w:bottom w:val="double" w:sz="6" w:space="2" w:color="auto"/>
              <w:right w:val="nil"/>
            </w:tcBorders>
            <w:vAlign w:val="bottom"/>
          </w:tcPr>
          <w:p w14:paraId="38CFCB9D"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322" w:type="dxa"/>
            <w:tcBorders>
              <w:top w:val="nil"/>
              <w:left w:val="nil"/>
              <w:bottom w:val="double" w:sz="6" w:space="2" w:color="auto"/>
              <w:right w:val="nil"/>
            </w:tcBorders>
            <w:vAlign w:val="bottom"/>
          </w:tcPr>
          <w:p w14:paraId="16C30B1F"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881" w:type="dxa"/>
            <w:tcBorders>
              <w:top w:val="nil"/>
              <w:left w:val="nil"/>
              <w:bottom w:val="double" w:sz="6" w:space="2" w:color="auto"/>
              <w:right w:val="nil"/>
            </w:tcBorders>
            <w:vAlign w:val="bottom"/>
          </w:tcPr>
          <w:p w14:paraId="538E69DF"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r>
      <w:tr w:rsidR="00D31621" w:rsidRPr="00B720C7" w14:paraId="27175C66" w14:textId="77777777" w:rsidTr="005E1237">
        <w:trPr>
          <w:trHeight w:hRule="exact" w:val="102"/>
        </w:trPr>
        <w:tc>
          <w:tcPr>
            <w:tcW w:w="1868" w:type="dxa"/>
            <w:tcBorders>
              <w:top w:val="nil"/>
              <w:left w:val="nil"/>
              <w:bottom w:val="nil"/>
              <w:right w:val="nil"/>
            </w:tcBorders>
            <w:vAlign w:val="bottom"/>
          </w:tcPr>
          <w:p w14:paraId="6CF112CE"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56" w:type="dxa"/>
            <w:tcBorders>
              <w:top w:val="nil"/>
              <w:left w:val="nil"/>
              <w:bottom w:val="nil"/>
              <w:right w:val="nil"/>
            </w:tcBorders>
            <w:vAlign w:val="bottom"/>
          </w:tcPr>
          <w:p w14:paraId="776B6B5C"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771" w:type="dxa"/>
            <w:tcBorders>
              <w:top w:val="nil"/>
              <w:left w:val="nil"/>
              <w:bottom w:val="nil"/>
              <w:right w:val="nil"/>
            </w:tcBorders>
            <w:vAlign w:val="bottom"/>
          </w:tcPr>
          <w:p w14:paraId="6F029271"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881" w:type="dxa"/>
            <w:tcBorders>
              <w:top w:val="nil"/>
              <w:left w:val="nil"/>
              <w:bottom w:val="nil"/>
              <w:right w:val="nil"/>
            </w:tcBorders>
            <w:vAlign w:val="bottom"/>
          </w:tcPr>
          <w:p w14:paraId="50B8FA27"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630" w:type="dxa"/>
            <w:tcBorders>
              <w:top w:val="nil"/>
              <w:left w:val="nil"/>
              <w:bottom w:val="nil"/>
              <w:right w:val="nil"/>
            </w:tcBorders>
            <w:vAlign w:val="bottom"/>
          </w:tcPr>
          <w:p w14:paraId="636182CE"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322" w:type="dxa"/>
            <w:tcBorders>
              <w:top w:val="nil"/>
              <w:left w:val="nil"/>
              <w:bottom w:val="nil"/>
              <w:right w:val="nil"/>
            </w:tcBorders>
            <w:vAlign w:val="bottom"/>
          </w:tcPr>
          <w:p w14:paraId="2EE41478"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881" w:type="dxa"/>
            <w:tcBorders>
              <w:top w:val="nil"/>
              <w:left w:val="nil"/>
              <w:bottom w:val="nil"/>
              <w:right w:val="nil"/>
            </w:tcBorders>
            <w:vAlign w:val="bottom"/>
          </w:tcPr>
          <w:p w14:paraId="7EF20E31"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r>
      <w:tr w:rsidR="00D31621" w:rsidRPr="00B720C7" w14:paraId="48A9D8A3" w14:textId="77777777" w:rsidTr="005E1237">
        <w:trPr>
          <w:trHeight w:val="170"/>
        </w:trPr>
        <w:tc>
          <w:tcPr>
            <w:tcW w:w="1868" w:type="dxa"/>
            <w:tcBorders>
              <w:top w:val="nil"/>
              <w:left w:val="nil"/>
              <w:bottom w:val="nil"/>
              <w:right w:val="nil"/>
            </w:tcBorders>
            <w:vAlign w:val="bottom"/>
          </w:tcPr>
          <w:p w14:paraId="46406C6D"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Null hypothesis: No serial correlation at lag h</w:t>
            </w:r>
          </w:p>
        </w:tc>
        <w:tc>
          <w:tcPr>
            <w:tcW w:w="1156" w:type="dxa"/>
            <w:tcBorders>
              <w:top w:val="nil"/>
              <w:left w:val="nil"/>
              <w:bottom w:val="nil"/>
              <w:right w:val="nil"/>
            </w:tcBorders>
            <w:vAlign w:val="bottom"/>
          </w:tcPr>
          <w:p w14:paraId="308C745B"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771" w:type="dxa"/>
            <w:tcBorders>
              <w:top w:val="nil"/>
              <w:left w:val="nil"/>
              <w:bottom w:val="nil"/>
              <w:right w:val="nil"/>
            </w:tcBorders>
            <w:vAlign w:val="bottom"/>
          </w:tcPr>
          <w:p w14:paraId="175889F9"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881" w:type="dxa"/>
            <w:tcBorders>
              <w:top w:val="nil"/>
              <w:left w:val="nil"/>
              <w:bottom w:val="nil"/>
              <w:right w:val="nil"/>
            </w:tcBorders>
            <w:vAlign w:val="bottom"/>
          </w:tcPr>
          <w:p w14:paraId="3AB1D0CD"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630" w:type="dxa"/>
            <w:tcBorders>
              <w:top w:val="nil"/>
              <w:left w:val="nil"/>
              <w:bottom w:val="nil"/>
              <w:right w:val="nil"/>
            </w:tcBorders>
            <w:vAlign w:val="bottom"/>
          </w:tcPr>
          <w:p w14:paraId="52A41CEB"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322" w:type="dxa"/>
            <w:tcBorders>
              <w:top w:val="nil"/>
              <w:left w:val="nil"/>
              <w:bottom w:val="nil"/>
              <w:right w:val="nil"/>
            </w:tcBorders>
            <w:vAlign w:val="bottom"/>
          </w:tcPr>
          <w:p w14:paraId="7CF6320B"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881" w:type="dxa"/>
            <w:tcBorders>
              <w:top w:val="nil"/>
              <w:left w:val="nil"/>
              <w:bottom w:val="nil"/>
              <w:right w:val="nil"/>
            </w:tcBorders>
            <w:vAlign w:val="bottom"/>
          </w:tcPr>
          <w:p w14:paraId="0BEAC590"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r>
      <w:tr w:rsidR="00D31621" w:rsidRPr="00B720C7" w14:paraId="13499FBE" w14:textId="77777777" w:rsidTr="005E1237">
        <w:trPr>
          <w:trHeight w:hRule="exact" w:val="68"/>
        </w:trPr>
        <w:tc>
          <w:tcPr>
            <w:tcW w:w="1868" w:type="dxa"/>
            <w:tcBorders>
              <w:top w:val="nil"/>
              <w:left w:val="nil"/>
              <w:bottom w:val="double" w:sz="6" w:space="2" w:color="auto"/>
              <w:right w:val="nil"/>
            </w:tcBorders>
            <w:vAlign w:val="bottom"/>
          </w:tcPr>
          <w:p w14:paraId="36E8CF50"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56" w:type="dxa"/>
            <w:tcBorders>
              <w:top w:val="nil"/>
              <w:left w:val="nil"/>
              <w:bottom w:val="double" w:sz="6" w:space="2" w:color="auto"/>
              <w:right w:val="nil"/>
            </w:tcBorders>
            <w:vAlign w:val="bottom"/>
          </w:tcPr>
          <w:p w14:paraId="1C6611B2"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771" w:type="dxa"/>
            <w:tcBorders>
              <w:top w:val="nil"/>
              <w:left w:val="nil"/>
              <w:bottom w:val="double" w:sz="6" w:space="2" w:color="auto"/>
              <w:right w:val="nil"/>
            </w:tcBorders>
            <w:vAlign w:val="bottom"/>
          </w:tcPr>
          <w:p w14:paraId="12C1A725"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881" w:type="dxa"/>
            <w:tcBorders>
              <w:top w:val="nil"/>
              <w:left w:val="nil"/>
              <w:bottom w:val="double" w:sz="6" w:space="2" w:color="auto"/>
              <w:right w:val="nil"/>
            </w:tcBorders>
            <w:vAlign w:val="bottom"/>
          </w:tcPr>
          <w:p w14:paraId="2A35E2E0"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630" w:type="dxa"/>
            <w:tcBorders>
              <w:top w:val="nil"/>
              <w:left w:val="nil"/>
              <w:bottom w:val="double" w:sz="6" w:space="2" w:color="auto"/>
              <w:right w:val="nil"/>
            </w:tcBorders>
            <w:vAlign w:val="bottom"/>
          </w:tcPr>
          <w:p w14:paraId="704D7A32"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322" w:type="dxa"/>
            <w:tcBorders>
              <w:top w:val="nil"/>
              <w:left w:val="nil"/>
              <w:bottom w:val="double" w:sz="6" w:space="2" w:color="auto"/>
              <w:right w:val="nil"/>
            </w:tcBorders>
            <w:vAlign w:val="bottom"/>
          </w:tcPr>
          <w:p w14:paraId="6755D3A9"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881" w:type="dxa"/>
            <w:tcBorders>
              <w:top w:val="nil"/>
              <w:left w:val="nil"/>
              <w:bottom w:val="double" w:sz="6" w:space="2" w:color="auto"/>
              <w:right w:val="nil"/>
            </w:tcBorders>
            <w:vAlign w:val="bottom"/>
          </w:tcPr>
          <w:p w14:paraId="62A5F234"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r>
      <w:tr w:rsidR="00D31621" w:rsidRPr="00B720C7" w14:paraId="3C91F071" w14:textId="77777777" w:rsidTr="005E1237">
        <w:trPr>
          <w:trHeight w:hRule="exact" w:val="102"/>
        </w:trPr>
        <w:tc>
          <w:tcPr>
            <w:tcW w:w="1868" w:type="dxa"/>
            <w:tcBorders>
              <w:top w:val="nil"/>
              <w:left w:val="nil"/>
              <w:bottom w:val="nil"/>
              <w:right w:val="nil"/>
            </w:tcBorders>
            <w:vAlign w:val="bottom"/>
          </w:tcPr>
          <w:p w14:paraId="0A81F041"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56" w:type="dxa"/>
            <w:tcBorders>
              <w:top w:val="nil"/>
              <w:left w:val="nil"/>
              <w:bottom w:val="nil"/>
              <w:right w:val="nil"/>
            </w:tcBorders>
            <w:vAlign w:val="bottom"/>
          </w:tcPr>
          <w:p w14:paraId="35EA91E1"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771" w:type="dxa"/>
            <w:tcBorders>
              <w:top w:val="nil"/>
              <w:left w:val="nil"/>
              <w:bottom w:val="nil"/>
              <w:right w:val="nil"/>
            </w:tcBorders>
            <w:vAlign w:val="bottom"/>
          </w:tcPr>
          <w:p w14:paraId="02EB3B49"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881" w:type="dxa"/>
            <w:tcBorders>
              <w:top w:val="nil"/>
              <w:left w:val="nil"/>
              <w:bottom w:val="nil"/>
              <w:right w:val="nil"/>
            </w:tcBorders>
            <w:vAlign w:val="bottom"/>
          </w:tcPr>
          <w:p w14:paraId="154E0B21"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630" w:type="dxa"/>
            <w:tcBorders>
              <w:top w:val="nil"/>
              <w:left w:val="nil"/>
              <w:bottom w:val="nil"/>
              <w:right w:val="nil"/>
            </w:tcBorders>
            <w:vAlign w:val="bottom"/>
          </w:tcPr>
          <w:p w14:paraId="6E0DBFE3"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322" w:type="dxa"/>
            <w:tcBorders>
              <w:top w:val="nil"/>
              <w:left w:val="nil"/>
              <w:bottom w:val="nil"/>
              <w:right w:val="nil"/>
            </w:tcBorders>
            <w:vAlign w:val="bottom"/>
          </w:tcPr>
          <w:p w14:paraId="20876293"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881" w:type="dxa"/>
            <w:tcBorders>
              <w:top w:val="nil"/>
              <w:left w:val="nil"/>
              <w:bottom w:val="nil"/>
              <w:right w:val="nil"/>
            </w:tcBorders>
            <w:vAlign w:val="bottom"/>
          </w:tcPr>
          <w:p w14:paraId="04DD65AA"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r>
      <w:tr w:rsidR="00D31621" w:rsidRPr="00B720C7" w14:paraId="40544908" w14:textId="77777777" w:rsidTr="005E1237">
        <w:trPr>
          <w:trHeight w:val="170"/>
        </w:trPr>
        <w:tc>
          <w:tcPr>
            <w:tcW w:w="1868" w:type="dxa"/>
            <w:tcBorders>
              <w:top w:val="nil"/>
              <w:left w:val="nil"/>
              <w:bottom w:val="nil"/>
              <w:right w:val="nil"/>
            </w:tcBorders>
            <w:vAlign w:val="bottom"/>
          </w:tcPr>
          <w:p w14:paraId="45C1F60B"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Lag</w:t>
            </w:r>
          </w:p>
        </w:tc>
        <w:tc>
          <w:tcPr>
            <w:tcW w:w="1156" w:type="dxa"/>
            <w:tcBorders>
              <w:top w:val="nil"/>
              <w:left w:val="nil"/>
              <w:bottom w:val="nil"/>
              <w:right w:val="nil"/>
            </w:tcBorders>
            <w:vAlign w:val="bottom"/>
          </w:tcPr>
          <w:p w14:paraId="3D08D96A"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LRE* stat</w:t>
            </w:r>
          </w:p>
        </w:tc>
        <w:tc>
          <w:tcPr>
            <w:tcW w:w="771" w:type="dxa"/>
            <w:tcBorders>
              <w:top w:val="nil"/>
              <w:left w:val="nil"/>
              <w:bottom w:val="nil"/>
              <w:right w:val="nil"/>
            </w:tcBorders>
            <w:vAlign w:val="bottom"/>
          </w:tcPr>
          <w:p w14:paraId="1789940C"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Df</w:t>
            </w:r>
          </w:p>
        </w:tc>
        <w:tc>
          <w:tcPr>
            <w:tcW w:w="881" w:type="dxa"/>
            <w:tcBorders>
              <w:top w:val="nil"/>
              <w:left w:val="nil"/>
              <w:bottom w:val="nil"/>
              <w:right w:val="nil"/>
            </w:tcBorders>
            <w:vAlign w:val="bottom"/>
          </w:tcPr>
          <w:p w14:paraId="1401505A"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Prob.</w:t>
            </w:r>
          </w:p>
        </w:tc>
        <w:tc>
          <w:tcPr>
            <w:tcW w:w="1630" w:type="dxa"/>
            <w:tcBorders>
              <w:top w:val="nil"/>
              <w:left w:val="nil"/>
              <w:bottom w:val="nil"/>
              <w:right w:val="nil"/>
            </w:tcBorders>
            <w:vAlign w:val="bottom"/>
          </w:tcPr>
          <w:p w14:paraId="117444D2"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Rao F-stat</w:t>
            </w:r>
          </w:p>
        </w:tc>
        <w:tc>
          <w:tcPr>
            <w:tcW w:w="1322" w:type="dxa"/>
            <w:tcBorders>
              <w:top w:val="nil"/>
              <w:left w:val="nil"/>
              <w:bottom w:val="nil"/>
              <w:right w:val="nil"/>
            </w:tcBorders>
            <w:vAlign w:val="bottom"/>
          </w:tcPr>
          <w:p w14:paraId="3480E1A4"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df</w:t>
            </w:r>
          </w:p>
        </w:tc>
        <w:tc>
          <w:tcPr>
            <w:tcW w:w="881" w:type="dxa"/>
            <w:tcBorders>
              <w:top w:val="nil"/>
              <w:left w:val="nil"/>
              <w:bottom w:val="nil"/>
              <w:right w:val="nil"/>
            </w:tcBorders>
            <w:vAlign w:val="bottom"/>
          </w:tcPr>
          <w:p w14:paraId="4F5D10A4"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Prob.</w:t>
            </w:r>
          </w:p>
        </w:tc>
      </w:tr>
      <w:tr w:rsidR="00D31621" w:rsidRPr="00B720C7" w14:paraId="74903945" w14:textId="77777777" w:rsidTr="005E1237">
        <w:trPr>
          <w:trHeight w:hRule="exact" w:val="68"/>
        </w:trPr>
        <w:tc>
          <w:tcPr>
            <w:tcW w:w="1868" w:type="dxa"/>
            <w:tcBorders>
              <w:top w:val="nil"/>
              <w:left w:val="nil"/>
              <w:bottom w:val="double" w:sz="6" w:space="2" w:color="auto"/>
              <w:right w:val="nil"/>
            </w:tcBorders>
            <w:vAlign w:val="bottom"/>
          </w:tcPr>
          <w:p w14:paraId="7C828F7E"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56" w:type="dxa"/>
            <w:tcBorders>
              <w:top w:val="nil"/>
              <w:left w:val="nil"/>
              <w:bottom w:val="double" w:sz="6" w:space="2" w:color="auto"/>
              <w:right w:val="nil"/>
            </w:tcBorders>
            <w:vAlign w:val="bottom"/>
          </w:tcPr>
          <w:p w14:paraId="37C7E1F0"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771" w:type="dxa"/>
            <w:tcBorders>
              <w:top w:val="nil"/>
              <w:left w:val="nil"/>
              <w:bottom w:val="double" w:sz="6" w:space="2" w:color="auto"/>
              <w:right w:val="nil"/>
            </w:tcBorders>
            <w:vAlign w:val="bottom"/>
          </w:tcPr>
          <w:p w14:paraId="0A33961F"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881" w:type="dxa"/>
            <w:tcBorders>
              <w:top w:val="nil"/>
              <w:left w:val="nil"/>
              <w:bottom w:val="double" w:sz="6" w:space="2" w:color="auto"/>
              <w:right w:val="nil"/>
            </w:tcBorders>
            <w:vAlign w:val="bottom"/>
          </w:tcPr>
          <w:p w14:paraId="7812E63F"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630" w:type="dxa"/>
            <w:tcBorders>
              <w:top w:val="nil"/>
              <w:left w:val="nil"/>
              <w:bottom w:val="double" w:sz="6" w:space="2" w:color="auto"/>
              <w:right w:val="nil"/>
            </w:tcBorders>
            <w:vAlign w:val="bottom"/>
          </w:tcPr>
          <w:p w14:paraId="0817E791"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322" w:type="dxa"/>
            <w:tcBorders>
              <w:top w:val="nil"/>
              <w:left w:val="nil"/>
              <w:bottom w:val="double" w:sz="6" w:space="2" w:color="auto"/>
              <w:right w:val="nil"/>
            </w:tcBorders>
            <w:vAlign w:val="bottom"/>
          </w:tcPr>
          <w:p w14:paraId="181B4FB7"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881" w:type="dxa"/>
            <w:tcBorders>
              <w:top w:val="nil"/>
              <w:left w:val="nil"/>
              <w:bottom w:val="double" w:sz="6" w:space="2" w:color="auto"/>
              <w:right w:val="nil"/>
            </w:tcBorders>
            <w:vAlign w:val="bottom"/>
          </w:tcPr>
          <w:p w14:paraId="6ACDCF22"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r>
      <w:tr w:rsidR="00D31621" w:rsidRPr="00B720C7" w14:paraId="0F7C6A07" w14:textId="77777777" w:rsidTr="005E1237">
        <w:trPr>
          <w:trHeight w:hRule="exact" w:val="102"/>
        </w:trPr>
        <w:tc>
          <w:tcPr>
            <w:tcW w:w="1868" w:type="dxa"/>
            <w:tcBorders>
              <w:top w:val="nil"/>
              <w:left w:val="nil"/>
              <w:bottom w:val="nil"/>
              <w:right w:val="nil"/>
            </w:tcBorders>
            <w:vAlign w:val="bottom"/>
          </w:tcPr>
          <w:p w14:paraId="5BF1F7E3"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56" w:type="dxa"/>
            <w:tcBorders>
              <w:top w:val="nil"/>
              <w:left w:val="nil"/>
              <w:bottom w:val="nil"/>
              <w:right w:val="nil"/>
            </w:tcBorders>
            <w:vAlign w:val="bottom"/>
          </w:tcPr>
          <w:p w14:paraId="6CBFA7FD"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771" w:type="dxa"/>
            <w:tcBorders>
              <w:top w:val="nil"/>
              <w:left w:val="nil"/>
              <w:bottom w:val="nil"/>
              <w:right w:val="nil"/>
            </w:tcBorders>
            <w:vAlign w:val="bottom"/>
          </w:tcPr>
          <w:p w14:paraId="0F9C7DAA"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881" w:type="dxa"/>
            <w:tcBorders>
              <w:top w:val="nil"/>
              <w:left w:val="nil"/>
              <w:bottom w:val="nil"/>
              <w:right w:val="nil"/>
            </w:tcBorders>
            <w:vAlign w:val="bottom"/>
          </w:tcPr>
          <w:p w14:paraId="018D93D7"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630" w:type="dxa"/>
            <w:tcBorders>
              <w:top w:val="nil"/>
              <w:left w:val="nil"/>
              <w:bottom w:val="nil"/>
              <w:right w:val="nil"/>
            </w:tcBorders>
            <w:vAlign w:val="bottom"/>
          </w:tcPr>
          <w:p w14:paraId="2F6D519C"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322" w:type="dxa"/>
            <w:tcBorders>
              <w:top w:val="nil"/>
              <w:left w:val="nil"/>
              <w:bottom w:val="nil"/>
              <w:right w:val="nil"/>
            </w:tcBorders>
            <w:vAlign w:val="bottom"/>
          </w:tcPr>
          <w:p w14:paraId="0FE0917D"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881" w:type="dxa"/>
            <w:tcBorders>
              <w:top w:val="nil"/>
              <w:left w:val="nil"/>
              <w:bottom w:val="nil"/>
              <w:right w:val="nil"/>
            </w:tcBorders>
            <w:vAlign w:val="bottom"/>
          </w:tcPr>
          <w:p w14:paraId="353A0FC9"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r>
      <w:tr w:rsidR="00D31621" w:rsidRPr="00B720C7" w14:paraId="39D6B40B" w14:textId="77777777" w:rsidTr="005E1237">
        <w:trPr>
          <w:trHeight w:val="170"/>
        </w:trPr>
        <w:tc>
          <w:tcPr>
            <w:tcW w:w="1868" w:type="dxa"/>
            <w:tcBorders>
              <w:top w:val="nil"/>
              <w:left w:val="nil"/>
              <w:bottom w:val="nil"/>
              <w:right w:val="nil"/>
            </w:tcBorders>
            <w:vAlign w:val="bottom"/>
          </w:tcPr>
          <w:p w14:paraId="32FC3BC3"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1</w:t>
            </w:r>
          </w:p>
        </w:tc>
        <w:tc>
          <w:tcPr>
            <w:tcW w:w="1156" w:type="dxa"/>
            <w:tcBorders>
              <w:top w:val="nil"/>
              <w:left w:val="nil"/>
              <w:bottom w:val="nil"/>
              <w:right w:val="nil"/>
            </w:tcBorders>
            <w:vAlign w:val="bottom"/>
          </w:tcPr>
          <w:p w14:paraId="118D864A"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 66.67312</w:t>
            </w:r>
          </w:p>
        </w:tc>
        <w:tc>
          <w:tcPr>
            <w:tcW w:w="771" w:type="dxa"/>
            <w:tcBorders>
              <w:top w:val="nil"/>
              <w:left w:val="nil"/>
              <w:bottom w:val="nil"/>
              <w:right w:val="nil"/>
            </w:tcBorders>
            <w:vAlign w:val="bottom"/>
          </w:tcPr>
          <w:p w14:paraId="7D6589ED"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 64</w:t>
            </w:r>
          </w:p>
        </w:tc>
        <w:tc>
          <w:tcPr>
            <w:tcW w:w="881" w:type="dxa"/>
            <w:tcBorders>
              <w:top w:val="nil"/>
              <w:left w:val="nil"/>
              <w:bottom w:val="nil"/>
              <w:right w:val="nil"/>
            </w:tcBorders>
            <w:vAlign w:val="bottom"/>
          </w:tcPr>
          <w:p w14:paraId="3B6944C4"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 0.3852</w:t>
            </w:r>
          </w:p>
        </w:tc>
        <w:tc>
          <w:tcPr>
            <w:tcW w:w="1630" w:type="dxa"/>
            <w:tcBorders>
              <w:top w:val="nil"/>
              <w:left w:val="nil"/>
              <w:bottom w:val="nil"/>
              <w:right w:val="nil"/>
            </w:tcBorders>
            <w:vAlign w:val="bottom"/>
          </w:tcPr>
          <w:p w14:paraId="507FF895"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 1.045045</w:t>
            </w:r>
          </w:p>
        </w:tc>
        <w:tc>
          <w:tcPr>
            <w:tcW w:w="1322" w:type="dxa"/>
            <w:tcBorders>
              <w:top w:val="nil"/>
              <w:left w:val="nil"/>
              <w:bottom w:val="nil"/>
              <w:right w:val="nil"/>
            </w:tcBorders>
            <w:vAlign w:val="bottom"/>
          </w:tcPr>
          <w:p w14:paraId="58703CC0"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(64, 537.1)</w:t>
            </w:r>
          </w:p>
        </w:tc>
        <w:tc>
          <w:tcPr>
            <w:tcW w:w="881" w:type="dxa"/>
            <w:tcBorders>
              <w:top w:val="nil"/>
              <w:left w:val="nil"/>
              <w:bottom w:val="nil"/>
              <w:right w:val="nil"/>
            </w:tcBorders>
            <w:vAlign w:val="bottom"/>
          </w:tcPr>
          <w:p w14:paraId="64D77CAC"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 0.3875</w:t>
            </w:r>
          </w:p>
        </w:tc>
      </w:tr>
      <w:tr w:rsidR="00D31621" w:rsidRPr="00B720C7" w14:paraId="39474248" w14:textId="77777777" w:rsidTr="005E1237">
        <w:trPr>
          <w:trHeight w:val="170"/>
        </w:trPr>
        <w:tc>
          <w:tcPr>
            <w:tcW w:w="1868" w:type="dxa"/>
            <w:tcBorders>
              <w:top w:val="nil"/>
              <w:left w:val="nil"/>
              <w:bottom w:val="nil"/>
              <w:right w:val="nil"/>
            </w:tcBorders>
            <w:vAlign w:val="bottom"/>
          </w:tcPr>
          <w:p w14:paraId="7CC5D080"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2</w:t>
            </w:r>
          </w:p>
        </w:tc>
        <w:tc>
          <w:tcPr>
            <w:tcW w:w="1156" w:type="dxa"/>
            <w:tcBorders>
              <w:top w:val="nil"/>
              <w:left w:val="nil"/>
              <w:bottom w:val="nil"/>
              <w:right w:val="nil"/>
            </w:tcBorders>
            <w:vAlign w:val="bottom"/>
          </w:tcPr>
          <w:p w14:paraId="4BDCBBC8"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 80.37237</w:t>
            </w:r>
          </w:p>
        </w:tc>
        <w:tc>
          <w:tcPr>
            <w:tcW w:w="771" w:type="dxa"/>
            <w:tcBorders>
              <w:top w:val="nil"/>
              <w:left w:val="nil"/>
              <w:bottom w:val="nil"/>
              <w:right w:val="nil"/>
            </w:tcBorders>
            <w:vAlign w:val="bottom"/>
          </w:tcPr>
          <w:p w14:paraId="6E1CB61B"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 64</w:t>
            </w:r>
          </w:p>
        </w:tc>
        <w:tc>
          <w:tcPr>
            <w:tcW w:w="881" w:type="dxa"/>
            <w:tcBorders>
              <w:top w:val="nil"/>
              <w:left w:val="nil"/>
              <w:bottom w:val="nil"/>
              <w:right w:val="nil"/>
            </w:tcBorders>
            <w:vAlign w:val="bottom"/>
          </w:tcPr>
          <w:p w14:paraId="5E830A77"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 0.0812</w:t>
            </w:r>
          </w:p>
        </w:tc>
        <w:tc>
          <w:tcPr>
            <w:tcW w:w="1630" w:type="dxa"/>
            <w:tcBorders>
              <w:top w:val="nil"/>
              <w:left w:val="nil"/>
              <w:bottom w:val="nil"/>
              <w:right w:val="nil"/>
            </w:tcBorders>
            <w:vAlign w:val="bottom"/>
          </w:tcPr>
          <w:p w14:paraId="64355D5B"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 1.275381</w:t>
            </w:r>
          </w:p>
        </w:tc>
        <w:tc>
          <w:tcPr>
            <w:tcW w:w="1322" w:type="dxa"/>
            <w:tcBorders>
              <w:top w:val="nil"/>
              <w:left w:val="nil"/>
              <w:bottom w:val="nil"/>
              <w:right w:val="nil"/>
            </w:tcBorders>
            <w:vAlign w:val="bottom"/>
          </w:tcPr>
          <w:p w14:paraId="6E4B5C00"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(64, 537.1)</w:t>
            </w:r>
          </w:p>
        </w:tc>
        <w:tc>
          <w:tcPr>
            <w:tcW w:w="881" w:type="dxa"/>
            <w:tcBorders>
              <w:top w:val="nil"/>
              <w:left w:val="nil"/>
              <w:bottom w:val="nil"/>
              <w:right w:val="nil"/>
            </w:tcBorders>
            <w:vAlign w:val="bottom"/>
          </w:tcPr>
          <w:p w14:paraId="5C155413"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 0.0823</w:t>
            </w:r>
          </w:p>
        </w:tc>
      </w:tr>
      <w:tr w:rsidR="00D31621" w:rsidRPr="00B720C7" w14:paraId="045B01B1" w14:textId="77777777" w:rsidTr="005E1237">
        <w:trPr>
          <w:trHeight w:hRule="exact" w:val="68"/>
        </w:trPr>
        <w:tc>
          <w:tcPr>
            <w:tcW w:w="1868" w:type="dxa"/>
            <w:tcBorders>
              <w:top w:val="nil"/>
              <w:left w:val="nil"/>
              <w:bottom w:val="double" w:sz="6" w:space="2" w:color="auto"/>
              <w:right w:val="nil"/>
            </w:tcBorders>
            <w:vAlign w:val="bottom"/>
          </w:tcPr>
          <w:p w14:paraId="7DC694C7"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56" w:type="dxa"/>
            <w:tcBorders>
              <w:top w:val="nil"/>
              <w:left w:val="nil"/>
              <w:bottom w:val="double" w:sz="6" w:space="2" w:color="auto"/>
              <w:right w:val="nil"/>
            </w:tcBorders>
            <w:vAlign w:val="bottom"/>
          </w:tcPr>
          <w:p w14:paraId="46468137"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771" w:type="dxa"/>
            <w:tcBorders>
              <w:top w:val="nil"/>
              <w:left w:val="nil"/>
              <w:bottom w:val="double" w:sz="6" w:space="2" w:color="auto"/>
              <w:right w:val="nil"/>
            </w:tcBorders>
            <w:vAlign w:val="bottom"/>
          </w:tcPr>
          <w:p w14:paraId="19D7FC9D"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881" w:type="dxa"/>
            <w:tcBorders>
              <w:top w:val="nil"/>
              <w:left w:val="nil"/>
              <w:bottom w:val="double" w:sz="6" w:space="2" w:color="auto"/>
              <w:right w:val="nil"/>
            </w:tcBorders>
            <w:vAlign w:val="bottom"/>
          </w:tcPr>
          <w:p w14:paraId="0E02E084"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630" w:type="dxa"/>
            <w:tcBorders>
              <w:top w:val="nil"/>
              <w:left w:val="nil"/>
              <w:bottom w:val="double" w:sz="6" w:space="2" w:color="auto"/>
              <w:right w:val="nil"/>
            </w:tcBorders>
            <w:vAlign w:val="bottom"/>
          </w:tcPr>
          <w:p w14:paraId="1F6BD463"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322" w:type="dxa"/>
            <w:tcBorders>
              <w:top w:val="nil"/>
              <w:left w:val="nil"/>
              <w:bottom w:val="double" w:sz="6" w:space="2" w:color="auto"/>
              <w:right w:val="nil"/>
            </w:tcBorders>
            <w:vAlign w:val="bottom"/>
          </w:tcPr>
          <w:p w14:paraId="06BFA8CB"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881" w:type="dxa"/>
            <w:tcBorders>
              <w:top w:val="nil"/>
              <w:left w:val="nil"/>
              <w:bottom w:val="double" w:sz="6" w:space="2" w:color="auto"/>
              <w:right w:val="nil"/>
            </w:tcBorders>
            <w:vAlign w:val="bottom"/>
          </w:tcPr>
          <w:p w14:paraId="01BB2A86"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r>
      <w:tr w:rsidR="00D31621" w:rsidRPr="00B720C7" w14:paraId="4CAAF016" w14:textId="77777777" w:rsidTr="005E1237">
        <w:trPr>
          <w:trHeight w:hRule="exact" w:val="102"/>
        </w:trPr>
        <w:tc>
          <w:tcPr>
            <w:tcW w:w="1868" w:type="dxa"/>
            <w:tcBorders>
              <w:top w:val="nil"/>
              <w:left w:val="nil"/>
              <w:bottom w:val="nil"/>
              <w:right w:val="nil"/>
            </w:tcBorders>
            <w:vAlign w:val="bottom"/>
          </w:tcPr>
          <w:p w14:paraId="325CA0D2"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56" w:type="dxa"/>
            <w:tcBorders>
              <w:top w:val="nil"/>
              <w:left w:val="nil"/>
              <w:bottom w:val="nil"/>
              <w:right w:val="nil"/>
            </w:tcBorders>
            <w:vAlign w:val="bottom"/>
          </w:tcPr>
          <w:p w14:paraId="269267A1"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771" w:type="dxa"/>
            <w:tcBorders>
              <w:top w:val="nil"/>
              <w:left w:val="nil"/>
              <w:bottom w:val="nil"/>
              <w:right w:val="nil"/>
            </w:tcBorders>
            <w:vAlign w:val="bottom"/>
          </w:tcPr>
          <w:p w14:paraId="599E63CA"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881" w:type="dxa"/>
            <w:tcBorders>
              <w:top w:val="nil"/>
              <w:left w:val="nil"/>
              <w:bottom w:val="nil"/>
              <w:right w:val="nil"/>
            </w:tcBorders>
            <w:vAlign w:val="bottom"/>
          </w:tcPr>
          <w:p w14:paraId="2C672BD7"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630" w:type="dxa"/>
            <w:tcBorders>
              <w:top w:val="nil"/>
              <w:left w:val="nil"/>
              <w:bottom w:val="nil"/>
              <w:right w:val="nil"/>
            </w:tcBorders>
            <w:vAlign w:val="bottom"/>
          </w:tcPr>
          <w:p w14:paraId="0D09A509"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322" w:type="dxa"/>
            <w:tcBorders>
              <w:top w:val="nil"/>
              <w:left w:val="nil"/>
              <w:bottom w:val="nil"/>
              <w:right w:val="nil"/>
            </w:tcBorders>
            <w:vAlign w:val="bottom"/>
          </w:tcPr>
          <w:p w14:paraId="460CFA26"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881" w:type="dxa"/>
            <w:tcBorders>
              <w:top w:val="nil"/>
              <w:left w:val="nil"/>
              <w:bottom w:val="nil"/>
              <w:right w:val="nil"/>
            </w:tcBorders>
            <w:vAlign w:val="bottom"/>
          </w:tcPr>
          <w:p w14:paraId="7AE56043"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r>
      <w:tr w:rsidR="00D31621" w:rsidRPr="00B720C7" w14:paraId="10AAA7CF" w14:textId="77777777" w:rsidTr="005E1237">
        <w:trPr>
          <w:trHeight w:val="170"/>
        </w:trPr>
        <w:tc>
          <w:tcPr>
            <w:tcW w:w="1868" w:type="dxa"/>
            <w:tcBorders>
              <w:top w:val="nil"/>
              <w:left w:val="nil"/>
              <w:bottom w:val="nil"/>
              <w:right w:val="nil"/>
            </w:tcBorders>
            <w:vAlign w:val="bottom"/>
          </w:tcPr>
          <w:p w14:paraId="54C95EAC"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56" w:type="dxa"/>
            <w:tcBorders>
              <w:top w:val="nil"/>
              <w:left w:val="nil"/>
              <w:bottom w:val="nil"/>
              <w:right w:val="nil"/>
            </w:tcBorders>
            <w:vAlign w:val="bottom"/>
          </w:tcPr>
          <w:p w14:paraId="4C41CECA"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771" w:type="dxa"/>
            <w:tcBorders>
              <w:top w:val="nil"/>
              <w:left w:val="nil"/>
              <w:bottom w:val="nil"/>
              <w:right w:val="nil"/>
            </w:tcBorders>
            <w:vAlign w:val="bottom"/>
          </w:tcPr>
          <w:p w14:paraId="13A70137"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881" w:type="dxa"/>
            <w:tcBorders>
              <w:top w:val="nil"/>
              <w:left w:val="nil"/>
              <w:bottom w:val="nil"/>
              <w:right w:val="nil"/>
            </w:tcBorders>
            <w:vAlign w:val="bottom"/>
          </w:tcPr>
          <w:p w14:paraId="08E648B1"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630" w:type="dxa"/>
            <w:tcBorders>
              <w:top w:val="nil"/>
              <w:left w:val="nil"/>
              <w:bottom w:val="nil"/>
              <w:right w:val="nil"/>
            </w:tcBorders>
            <w:vAlign w:val="bottom"/>
          </w:tcPr>
          <w:p w14:paraId="057F5A23"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322" w:type="dxa"/>
            <w:tcBorders>
              <w:top w:val="nil"/>
              <w:left w:val="nil"/>
              <w:bottom w:val="nil"/>
              <w:right w:val="nil"/>
            </w:tcBorders>
            <w:vAlign w:val="bottom"/>
          </w:tcPr>
          <w:p w14:paraId="01B1AE29"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881" w:type="dxa"/>
            <w:tcBorders>
              <w:top w:val="nil"/>
              <w:left w:val="nil"/>
              <w:bottom w:val="nil"/>
              <w:right w:val="nil"/>
            </w:tcBorders>
            <w:vAlign w:val="bottom"/>
          </w:tcPr>
          <w:p w14:paraId="18730C46"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r>
      <w:tr w:rsidR="00D31621" w:rsidRPr="00B720C7" w14:paraId="780B44EB" w14:textId="77777777" w:rsidTr="005E1237">
        <w:trPr>
          <w:trHeight w:val="170"/>
        </w:trPr>
        <w:tc>
          <w:tcPr>
            <w:tcW w:w="1868" w:type="dxa"/>
            <w:tcBorders>
              <w:top w:val="nil"/>
              <w:left w:val="nil"/>
              <w:bottom w:val="nil"/>
              <w:right w:val="nil"/>
            </w:tcBorders>
            <w:vAlign w:val="bottom"/>
          </w:tcPr>
          <w:p w14:paraId="7DF47A86" w14:textId="77777777" w:rsidR="00D31621" w:rsidRDefault="00D31621" w:rsidP="00C45F51">
            <w:pPr>
              <w:autoSpaceDE w:val="0"/>
              <w:autoSpaceDN w:val="0"/>
              <w:adjustRightInd w:val="0"/>
              <w:spacing w:after="0" w:line="240" w:lineRule="auto"/>
              <w:rPr>
                <w:rFonts w:ascii="Arial" w:hAnsi="Arial" w:cs="Arial"/>
                <w:color w:val="000000"/>
                <w:sz w:val="18"/>
                <w:szCs w:val="18"/>
              </w:rPr>
            </w:pPr>
          </w:p>
          <w:p w14:paraId="0E3E0A6E" w14:textId="77777777" w:rsidR="007C0724" w:rsidRDefault="007C0724" w:rsidP="00C45F51">
            <w:pPr>
              <w:autoSpaceDE w:val="0"/>
              <w:autoSpaceDN w:val="0"/>
              <w:adjustRightInd w:val="0"/>
              <w:spacing w:after="0" w:line="240" w:lineRule="auto"/>
              <w:rPr>
                <w:rFonts w:ascii="Arial" w:hAnsi="Arial" w:cs="Arial"/>
                <w:color w:val="000000"/>
                <w:sz w:val="18"/>
                <w:szCs w:val="18"/>
              </w:rPr>
            </w:pPr>
          </w:p>
          <w:p w14:paraId="3B6D8B80" w14:textId="77777777" w:rsidR="007C0724" w:rsidRDefault="007C0724" w:rsidP="00C45F51">
            <w:pPr>
              <w:autoSpaceDE w:val="0"/>
              <w:autoSpaceDN w:val="0"/>
              <w:adjustRightInd w:val="0"/>
              <w:spacing w:after="0" w:line="240" w:lineRule="auto"/>
              <w:rPr>
                <w:rFonts w:ascii="Arial" w:hAnsi="Arial" w:cs="Arial"/>
                <w:color w:val="000000"/>
                <w:sz w:val="18"/>
                <w:szCs w:val="18"/>
              </w:rPr>
            </w:pPr>
          </w:p>
          <w:p w14:paraId="71468C0A" w14:textId="77777777" w:rsidR="007C0724" w:rsidRDefault="007C0724" w:rsidP="00C45F51">
            <w:pPr>
              <w:autoSpaceDE w:val="0"/>
              <w:autoSpaceDN w:val="0"/>
              <w:adjustRightInd w:val="0"/>
              <w:spacing w:after="0" w:line="240" w:lineRule="auto"/>
              <w:rPr>
                <w:rFonts w:ascii="Arial" w:hAnsi="Arial" w:cs="Arial"/>
                <w:color w:val="000000"/>
                <w:sz w:val="18"/>
                <w:szCs w:val="18"/>
              </w:rPr>
            </w:pPr>
          </w:p>
          <w:p w14:paraId="49BF2BD5" w14:textId="77777777" w:rsidR="005E1237" w:rsidRDefault="005E1237" w:rsidP="00C45F51">
            <w:pPr>
              <w:autoSpaceDE w:val="0"/>
              <w:autoSpaceDN w:val="0"/>
              <w:adjustRightInd w:val="0"/>
              <w:spacing w:after="0" w:line="240" w:lineRule="auto"/>
              <w:rPr>
                <w:rFonts w:ascii="Arial" w:hAnsi="Arial" w:cs="Arial"/>
                <w:color w:val="000000"/>
                <w:sz w:val="18"/>
                <w:szCs w:val="18"/>
              </w:rPr>
            </w:pPr>
          </w:p>
          <w:p w14:paraId="270D6E14" w14:textId="389BBD6F"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lastRenderedPageBreak/>
              <w:t>Null hypothesis: No</w:t>
            </w:r>
            <w:r w:rsidR="007C0724">
              <w:rPr>
                <w:rFonts w:ascii="Arial" w:hAnsi="Arial" w:cs="Arial"/>
                <w:color w:val="000000"/>
                <w:sz w:val="18"/>
                <w:szCs w:val="18"/>
              </w:rPr>
              <w:t xml:space="preserve"> </w:t>
            </w:r>
            <w:r w:rsidRPr="00B720C7">
              <w:rPr>
                <w:rFonts w:ascii="Arial" w:hAnsi="Arial" w:cs="Arial"/>
                <w:color w:val="000000"/>
                <w:sz w:val="18"/>
                <w:szCs w:val="18"/>
              </w:rPr>
              <w:t>serial correlation at lags 1 to h</w:t>
            </w:r>
          </w:p>
        </w:tc>
        <w:tc>
          <w:tcPr>
            <w:tcW w:w="1156" w:type="dxa"/>
            <w:tcBorders>
              <w:top w:val="nil"/>
              <w:left w:val="nil"/>
              <w:bottom w:val="nil"/>
              <w:right w:val="nil"/>
            </w:tcBorders>
            <w:vAlign w:val="bottom"/>
          </w:tcPr>
          <w:p w14:paraId="4944B16F"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771" w:type="dxa"/>
            <w:tcBorders>
              <w:top w:val="nil"/>
              <w:left w:val="nil"/>
              <w:bottom w:val="nil"/>
              <w:right w:val="nil"/>
            </w:tcBorders>
            <w:vAlign w:val="bottom"/>
          </w:tcPr>
          <w:p w14:paraId="6B57C3B1"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881" w:type="dxa"/>
            <w:tcBorders>
              <w:top w:val="nil"/>
              <w:left w:val="nil"/>
              <w:bottom w:val="nil"/>
              <w:right w:val="nil"/>
            </w:tcBorders>
            <w:vAlign w:val="bottom"/>
          </w:tcPr>
          <w:p w14:paraId="20FB4B5F"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630" w:type="dxa"/>
            <w:tcBorders>
              <w:top w:val="nil"/>
              <w:left w:val="nil"/>
              <w:bottom w:val="nil"/>
              <w:right w:val="nil"/>
            </w:tcBorders>
            <w:vAlign w:val="bottom"/>
          </w:tcPr>
          <w:p w14:paraId="63874EE8"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322" w:type="dxa"/>
            <w:tcBorders>
              <w:top w:val="nil"/>
              <w:left w:val="nil"/>
              <w:bottom w:val="nil"/>
              <w:right w:val="nil"/>
            </w:tcBorders>
            <w:vAlign w:val="bottom"/>
          </w:tcPr>
          <w:p w14:paraId="58EAFA7D"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881" w:type="dxa"/>
            <w:tcBorders>
              <w:top w:val="nil"/>
              <w:left w:val="nil"/>
              <w:bottom w:val="nil"/>
              <w:right w:val="nil"/>
            </w:tcBorders>
            <w:vAlign w:val="bottom"/>
          </w:tcPr>
          <w:p w14:paraId="49986FF1"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r>
      <w:tr w:rsidR="00D31621" w:rsidRPr="00B720C7" w14:paraId="7544263A" w14:textId="77777777" w:rsidTr="005E1237">
        <w:trPr>
          <w:trHeight w:hRule="exact" w:val="68"/>
        </w:trPr>
        <w:tc>
          <w:tcPr>
            <w:tcW w:w="1868" w:type="dxa"/>
            <w:tcBorders>
              <w:top w:val="nil"/>
              <w:left w:val="nil"/>
              <w:bottom w:val="double" w:sz="6" w:space="2" w:color="auto"/>
              <w:right w:val="nil"/>
            </w:tcBorders>
            <w:vAlign w:val="bottom"/>
          </w:tcPr>
          <w:p w14:paraId="635FD970"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56" w:type="dxa"/>
            <w:tcBorders>
              <w:top w:val="nil"/>
              <w:left w:val="nil"/>
              <w:bottom w:val="double" w:sz="6" w:space="2" w:color="auto"/>
              <w:right w:val="nil"/>
            </w:tcBorders>
            <w:vAlign w:val="bottom"/>
          </w:tcPr>
          <w:p w14:paraId="6F259772"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771" w:type="dxa"/>
            <w:tcBorders>
              <w:top w:val="nil"/>
              <w:left w:val="nil"/>
              <w:bottom w:val="double" w:sz="6" w:space="2" w:color="auto"/>
              <w:right w:val="nil"/>
            </w:tcBorders>
            <w:vAlign w:val="bottom"/>
          </w:tcPr>
          <w:p w14:paraId="102FD0A0"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881" w:type="dxa"/>
            <w:tcBorders>
              <w:top w:val="nil"/>
              <w:left w:val="nil"/>
              <w:bottom w:val="double" w:sz="6" w:space="2" w:color="auto"/>
              <w:right w:val="nil"/>
            </w:tcBorders>
            <w:vAlign w:val="bottom"/>
          </w:tcPr>
          <w:p w14:paraId="1563464C"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630" w:type="dxa"/>
            <w:tcBorders>
              <w:top w:val="nil"/>
              <w:left w:val="nil"/>
              <w:bottom w:val="double" w:sz="6" w:space="2" w:color="auto"/>
              <w:right w:val="nil"/>
            </w:tcBorders>
            <w:vAlign w:val="bottom"/>
          </w:tcPr>
          <w:p w14:paraId="1C8C7F9E"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322" w:type="dxa"/>
            <w:tcBorders>
              <w:top w:val="nil"/>
              <w:left w:val="nil"/>
              <w:bottom w:val="double" w:sz="6" w:space="2" w:color="auto"/>
              <w:right w:val="nil"/>
            </w:tcBorders>
            <w:vAlign w:val="bottom"/>
          </w:tcPr>
          <w:p w14:paraId="5508981B"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881" w:type="dxa"/>
            <w:tcBorders>
              <w:top w:val="nil"/>
              <w:left w:val="nil"/>
              <w:bottom w:val="double" w:sz="6" w:space="2" w:color="auto"/>
              <w:right w:val="nil"/>
            </w:tcBorders>
            <w:vAlign w:val="bottom"/>
          </w:tcPr>
          <w:p w14:paraId="45C01721"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r>
      <w:tr w:rsidR="00D31621" w:rsidRPr="00B720C7" w14:paraId="0DA3418E" w14:textId="77777777" w:rsidTr="005E1237">
        <w:trPr>
          <w:trHeight w:hRule="exact" w:val="102"/>
        </w:trPr>
        <w:tc>
          <w:tcPr>
            <w:tcW w:w="1868" w:type="dxa"/>
            <w:tcBorders>
              <w:top w:val="nil"/>
              <w:left w:val="nil"/>
              <w:bottom w:val="nil"/>
              <w:right w:val="nil"/>
            </w:tcBorders>
            <w:vAlign w:val="bottom"/>
          </w:tcPr>
          <w:p w14:paraId="527B65B9"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56" w:type="dxa"/>
            <w:tcBorders>
              <w:top w:val="nil"/>
              <w:left w:val="nil"/>
              <w:bottom w:val="nil"/>
              <w:right w:val="nil"/>
            </w:tcBorders>
            <w:vAlign w:val="bottom"/>
          </w:tcPr>
          <w:p w14:paraId="62FA3E5A"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771" w:type="dxa"/>
            <w:tcBorders>
              <w:top w:val="nil"/>
              <w:left w:val="nil"/>
              <w:bottom w:val="nil"/>
              <w:right w:val="nil"/>
            </w:tcBorders>
            <w:vAlign w:val="bottom"/>
          </w:tcPr>
          <w:p w14:paraId="3536DBDC"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881" w:type="dxa"/>
            <w:tcBorders>
              <w:top w:val="nil"/>
              <w:left w:val="nil"/>
              <w:bottom w:val="nil"/>
              <w:right w:val="nil"/>
            </w:tcBorders>
            <w:vAlign w:val="bottom"/>
          </w:tcPr>
          <w:p w14:paraId="149D669C"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630" w:type="dxa"/>
            <w:tcBorders>
              <w:top w:val="nil"/>
              <w:left w:val="nil"/>
              <w:bottom w:val="nil"/>
              <w:right w:val="nil"/>
            </w:tcBorders>
            <w:vAlign w:val="bottom"/>
          </w:tcPr>
          <w:p w14:paraId="7576206C"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322" w:type="dxa"/>
            <w:tcBorders>
              <w:top w:val="nil"/>
              <w:left w:val="nil"/>
              <w:bottom w:val="nil"/>
              <w:right w:val="nil"/>
            </w:tcBorders>
            <w:vAlign w:val="bottom"/>
          </w:tcPr>
          <w:p w14:paraId="4FC6C073"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881" w:type="dxa"/>
            <w:tcBorders>
              <w:top w:val="nil"/>
              <w:left w:val="nil"/>
              <w:bottom w:val="nil"/>
              <w:right w:val="nil"/>
            </w:tcBorders>
            <w:vAlign w:val="bottom"/>
          </w:tcPr>
          <w:p w14:paraId="16D1E74D"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r>
      <w:tr w:rsidR="00D31621" w:rsidRPr="00B720C7" w14:paraId="0A53F306" w14:textId="77777777" w:rsidTr="005E1237">
        <w:trPr>
          <w:trHeight w:val="170"/>
        </w:trPr>
        <w:tc>
          <w:tcPr>
            <w:tcW w:w="1868" w:type="dxa"/>
            <w:tcBorders>
              <w:top w:val="nil"/>
              <w:left w:val="nil"/>
              <w:bottom w:val="nil"/>
              <w:right w:val="nil"/>
            </w:tcBorders>
            <w:vAlign w:val="bottom"/>
          </w:tcPr>
          <w:p w14:paraId="4B168A20"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Lag</w:t>
            </w:r>
          </w:p>
        </w:tc>
        <w:tc>
          <w:tcPr>
            <w:tcW w:w="1156" w:type="dxa"/>
            <w:tcBorders>
              <w:top w:val="nil"/>
              <w:left w:val="nil"/>
              <w:bottom w:val="nil"/>
              <w:right w:val="nil"/>
            </w:tcBorders>
            <w:vAlign w:val="bottom"/>
          </w:tcPr>
          <w:p w14:paraId="3ABDC78A"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LRE* stat</w:t>
            </w:r>
          </w:p>
        </w:tc>
        <w:tc>
          <w:tcPr>
            <w:tcW w:w="771" w:type="dxa"/>
            <w:tcBorders>
              <w:top w:val="nil"/>
              <w:left w:val="nil"/>
              <w:bottom w:val="nil"/>
              <w:right w:val="nil"/>
            </w:tcBorders>
            <w:vAlign w:val="bottom"/>
          </w:tcPr>
          <w:p w14:paraId="1D9CD1C7"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Df</w:t>
            </w:r>
          </w:p>
        </w:tc>
        <w:tc>
          <w:tcPr>
            <w:tcW w:w="881" w:type="dxa"/>
            <w:tcBorders>
              <w:top w:val="nil"/>
              <w:left w:val="nil"/>
              <w:bottom w:val="nil"/>
              <w:right w:val="nil"/>
            </w:tcBorders>
            <w:vAlign w:val="bottom"/>
          </w:tcPr>
          <w:p w14:paraId="24286E33"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Prob.</w:t>
            </w:r>
          </w:p>
        </w:tc>
        <w:tc>
          <w:tcPr>
            <w:tcW w:w="1630" w:type="dxa"/>
            <w:tcBorders>
              <w:top w:val="nil"/>
              <w:left w:val="nil"/>
              <w:bottom w:val="nil"/>
              <w:right w:val="nil"/>
            </w:tcBorders>
            <w:vAlign w:val="bottom"/>
          </w:tcPr>
          <w:p w14:paraId="3E186921"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Rao F-stat</w:t>
            </w:r>
          </w:p>
        </w:tc>
        <w:tc>
          <w:tcPr>
            <w:tcW w:w="1322" w:type="dxa"/>
            <w:tcBorders>
              <w:top w:val="nil"/>
              <w:left w:val="nil"/>
              <w:bottom w:val="nil"/>
              <w:right w:val="nil"/>
            </w:tcBorders>
            <w:vAlign w:val="bottom"/>
          </w:tcPr>
          <w:p w14:paraId="4985DF38"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df</w:t>
            </w:r>
          </w:p>
        </w:tc>
        <w:tc>
          <w:tcPr>
            <w:tcW w:w="881" w:type="dxa"/>
            <w:tcBorders>
              <w:top w:val="nil"/>
              <w:left w:val="nil"/>
              <w:bottom w:val="nil"/>
              <w:right w:val="nil"/>
            </w:tcBorders>
            <w:vAlign w:val="bottom"/>
          </w:tcPr>
          <w:p w14:paraId="2FD14515"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Prob.</w:t>
            </w:r>
          </w:p>
        </w:tc>
      </w:tr>
      <w:tr w:rsidR="00D31621" w:rsidRPr="00B720C7" w14:paraId="35E99959" w14:textId="77777777" w:rsidTr="005E1237">
        <w:trPr>
          <w:trHeight w:hRule="exact" w:val="68"/>
        </w:trPr>
        <w:tc>
          <w:tcPr>
            <w:tcW w:w="1868" w:type="dxa"/>
            <w:tcBorders>
              <w:top w:val="nil"/>
              <w:left w:val="nil"/>
              <w:bottom w:val="double" w:sz="6" w:space="2" w:color="auto"/>
              <w:right w:val="nil"/>
            </w:tcBorders>
            <w:vAlign w:val="bottom"/>
          </w:tcPr>
          <w:p w14:paraId="519EF017"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56" w:type="dxa"/>
            <w:tcBorders>
              <w:top w:val="nil"/>
              <w:left w:val="nil"/>
              <w:bottom w:val="double" w:sz="6" w:space="2" w:color="auto"/>
              <w:right w:val="nil"/>
            </w:tcBorders>
            <w:vAlign w:val="bottom"/>
          </w:tcPr>
          <w:p w14:paraId="596D8410"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771" w:type="dxa"/>
            <w:tcBorders>
              <w:top w:val="nil"/>
              <w:left w:val="nil"/>
              <w:bottom w:val="double" w:sz="6" w:space="2" w:color="auto"/>
              <w:right w:val="nil"/>
            </w:tcBorders>
            <w:vAlign w:val="bottom"/>
          </w:tcPr>
          <w:p w14:paraId="59702E41"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881" w:type="dxa"/>
            <w:tcBorders>
              <w:top w:val="nil"/>
              <w:left w:val="nil"/>
              <w:bottom w:val="double" w:sz="6" w:space="2" w:color="auto"/>
              <w:right w:val="nil"/>
            </w:tcBorders>
            <w:vAlign w:val="bottom"/>
          </w:tcPr>
          <w:p w14:paraId="3FAB68A7"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630" w:type="dxa"/>
            <w:tcBorders>
              <w:top w:val="nil"/>
              <w:left w:val="nil"/>
              <w:bottom w:val="double" w:sz="6" w:space="2" w:color="auto"/>
              <w:right w:val="nil"/>
            </w:tcBorders>
            <w:vAlign w:val="bottom"/>
          </w:tcPr>
          <w:p w14:paraId="2DDA9DDE"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322" w:type="dxa"/>
            <w:tcBorders>
              <w:top w:val="nil"/>
              <w:left w:val="nil"/>
              <w:bottom w:val="double" w:sz="6" w:space="2" w:color="auto"/>
              <w:right w:val="nil"/>
            </w:tcBorders>
            <w:vAlign w:val="bottom"/>
          </w:tcPr>
          <w:p w14:paraId="36E72743"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881" w:type="dxa"/>
            <w:tcBorders>
              <w:top w:val="nil"/>
              <w:left w:val="nil"/>
              <w:bottom w:val="double" w:sz="6" w:space="2" w:color="auto"/>
              <w:right w:val="nil"/>
            </w:tcBorders>
            <w:vAlign w:val="bottom"/>
          </w:tcPr>
          <w:p w14:paraId="5CDA1878"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r>
      <w:tr w:rsidR="00D31621" w:rsidRPr="00B720C7" w14:paraId="238C1917" w14:textId="77777777" w:rsidTr="005E1237">
        <w:trPr>
          <w:trHeight w:hRule="exact" w:val="102"/>
        </w:trPr>
        <w:tc>
          <w:tcPr>
            <w:tcW w:w="1868" w:type="dxa"/>
            <w:tcBorders>
              <w:top w:val="nil"/>
              <w:left w:val="nil"/>
              <w:bottom w:val="nil"/>
              <w:right w:val="nil"/>
            </w:tcBorders>
            <w:vAlign w:val="bottom"/>
          </w:tcPr>
          <w:p w14:paraId="5DACB86F"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56" w:type="dxa"/>
            <w:tcBorders>
              <w:top w:val="nil"/>
              <w:left w:val="nil"/>
              <w:bottom w:val="nil"/>
              <w:right w:val="nil"/>
            </w:tcBorders>
            <w:vAlign w:val="bottom"/>
          </w:tcPr>
          <w:p w14:paraId="462C50A4"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771" w:type="dxa"/>
            <w:tcBorders>
              <w:top w:val="nil"/>
              <w:left w:val="nil"/>
              <w:bottom w:val="nil"/>
              <w:right w:val="nil"/>
            </w:tcBorders>
            <w:vAlign w:val="bottom"/>
          </w:tcPr>
          <w:p w14:paraId="2D1E8702"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881" w:type="dxa"/>
            <w:tcBorders>
              <w:top w:val="nil"/>
              <w:left w:val="nil"/>
              <w:bottom w:val="nil"/>
              <w:right w:val="nil"/>
            </w:tcBorders>
            <w:vAlign w:val="bottom"/>
          </w:tcPr>
          <w:p w14:paraId="072E32FE"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630" w:type="dxa"/>
            <w:tcBorders>
              <w:top w:val="nil"/>
              <w:left w:val="nil"/>
              <w:bottom w:val="nil"/>
              <w:right w:val="nil"/>
            </w:tcBorders>
            <w:vAlign w:val="bottom"/>
          </w:tcPr>
          <w:p w14:paraId="1266F6E5"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322" w:type="dxa"/>
            <w:tcBorders>
              <w:top w:val="nil"/>
              <w:left w:val="nil"/>
              <w:bottom w:val="nil"/>
              <w:right w:val="nil"/>
            </w:tcBorders>
            <w:vAlign w:val="bottom"/>
          </w:tcPr>
          <w:p w14:paraId="131A60A6"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881" w:type="dxa"/>
            <w:tcBorders>
              <w:top w:val="nil"/>
              <w:left w:val="nil"/>
              <w:bottom w:val="nil"/>
              <w:right w:val="nil"/>
            </w:tcBorders>
            <w:vAlign w:val="bottom"/>
          </w:tcPr>
          <w:p w14:paraId="75FA6F48"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r>
      <w:tr w:rsidR="00D31621" w:rsidRPr="00B720C7" w14:paraId="045B0AA8" w14:textId="77777777" w:rsidTr="005E1237">
        <w:trPr>
          <w:trHeight w:val="170"/>
        </w:trPr>
        <w:tc>
          <w:tcPr>
            <w:tcW w:w="1868" w:type="dxa"/>
            <w:tcBorders>
              <w:top w:val="nil"/>
              <w:left w:val="nil"/>
              <w:bottom w:val="nil"/>
              <w:right w:val="nil"/>
            </w:tcBorders>
            <w:vAlign w:val="bottom"/>
          </w:tcPr>
          <w:p w14:paraId="50AB4B9D"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1</w:t>
            </w:r>
          </w:p>
        </w:tc>
        <w:tc>
          <w:tcPr>
            <w:tcW w:w="1156" w:type="dxa"/>
            <w:tcBorders>
              <w:top w:val="nil"/>
              <w:left w:val="nil"/>
              <w:bottom w:val="nil"/>
              <w:right w:val="nil"/>
            </w:tcBorders>
            <w:vAlign w:val="bottom"/>
          </w:tcPr>
          <w:p w14:paraId="5680B215"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 66.67312</w:t>
            </w:r>
          </w:p>
        </w:tc>
        <w:tc>
          <w:tcPr>
            <w:tcW w:w="771" w:type="dxa"/>
            <w:tcBorders>
              <w:top w:val="nil"/>
              <w:left w:val="nil"/>
              <w:bottom w:val="nil"/>
              <w:right w:val="nil"/>
            </w:tcBorders>
            <w:vAlign w:val="bottom"/>
          </w:tcPr>
          <w:p w14:paraId="223CA69F"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 64</w:t>
            </w:r>
          </w:p>
        </w:tc>
        <w:tc>
          <w:tcPr>
            <w:tcW w:w="881" w:type="dxa"/>
            <w:tcBorders>
              <w:top w:val="nil"/>
              <w:left w:val="nil"/>
              <w:bottom w:val="nil"/>
              <w:right w:val="nil"/>
            </w:tcBorders>
            <w:vAlign w:val="bottom"/>
          </w:tcPr>
          <w:p w14:paraId="0BD0F72F"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 0.3852</w:t>
            </w:r>
          </w:p>
        </w:tc>
        <w:tc>
          <w:tcPr>
            <w:tcW w:w="1630" w:type="dxa"/>
            <w:tcBorders>
              <w:top w:val="nil"/>
              <w:left w:val="nil"/>
              <w:bottom w:val="nil"/>
              <w:right w:val="nil"/>
            </w:tcBorders>
            <w:vAlign w:val="bottom"/>
          </w:tcPr>
          <w:p w14:paraId="6AA77C3F"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 1.045045</w:t>
            </w:r>
          </w:p>
        </w:tc>
        <w:tc>
          <w:tcPr>
            <w:tcW w:w="1322" w:type="dxa"/>
            <w:tcBorders>
              <w:top w:val="nil"/>
              <w:left w:val="nil"/>
              <w:bottom w:val="nil"/>
              <w:right w:val="nil"/>
            </w:tcBorders>
            <w:vAlign w:val="bottom"/>
          </w:tcPr>
          <w:p w14:paraId="3656633D"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(64, 537.1)</w:t>
            </w:r>
          </w:p>
        </w:tc>
        <w:tc>
          <w:tcPr>
            <w:tcW w:w="881" w:type="dxa"/>
            <w:tcBorders>
              <w:top w:val="nil"/>
              <w:left w:val="nil"/>
              <w:bottom w:val="nil"/>
              <w:right w:val="nil"/>
            </w:tcBorders>
            <w:vAlign w:val="bottom"/>
          </w:tcPr>
          <w:p w14:paraId="2B29F9A5"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 0.3875</w:t>
            </w:r>
          </w:p>
        </w:tc>
      </w:tr>
      <w:tr w:rsidR="00D31621" w:rsidRPr="00B720C7" w14:paraId="214E7B27" w14:textId="77777777" w:rsidTr="005E1237">
        <w:trPr>
          <w:trHeight w:val="170"/>
        </w:trPr>
        <w:tc>
          <w:tcPr>
            <w:tcW w:w="1868" w:type="dxa"/>
            <w:tcBorders>
              <w:top w:val="nil"/>
              <w:left w:val="nil"/>
              <w:bottom w:val="nil"/>
              <w:right w:val="nil"/>
            </w:tcBorders>
            <w:vAlign w:val="bottom"/>
          </w:tcPr>
          <w:p w14:paraId="33B48F19"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2</w:t>
            </w:r>
          </w:p>
        </w:tc>
        <w:tc>
          <w:tcPr>
            <w:tcW w:w="1156" w:type="dxa"/>
            <w:tcBorders>
              <w:top w:val="nil"/>
              <w:left w:val="nil"/>
              <w:bottom w:val="nil"/>
              <w:right w:val="nil"/>
            </w:tcBorders>
            <w:vAlign w:val="bottom"/>
          </w:tcPr>
          <w:p w14:paraId="30E2712C"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 148.2671</w:t>
            </w:r>
          </w:p>
        </w:tc>
        <w:tc>
          <w:tcPr>
            <w:tcW w:w="771" w:type="dxa"/>
            <w:tcBorders>
              <w:top w:val="nil"/>
              <w:left w:val="nil"/>
              <w:bottom w:val="nil"/>
              <w:right w:val="nil"/>
            </w:tcBorders>
            <w:vAlign w:val="bottom"/>
          </w:tcPr>
          <w:p w14:paraId="7A1C7C93"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 128</w:t>
            </w:r>
          </w:p>
        </w:tc>
        <w:tc>
          <w:tcPr>
            <w:tcW w:w="881" w:type="dxa"/>
            <w:tcBorders>
              <w:top w:val="nil"/>
              <w:left w:val="nil"/>
              <w:bottom w:val="nil"/>
              <w:right w:val="nil"/>
            </w:tcBorders>
            <w:vAlign w:val="bottom"/>
          </w:tcPr>
          <w:p w14:paraId="31E3FA35"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 0.1063</w:t>
            </w:r>
          </w:p>
        </w:tc>
        <w:tc>
          <w:tcPr>
            <w:tcW w:w="1630" w:type="dxa"/>
            <w:tcBorders>
              <w:top w:val="nil"/>
              <w:left w:val="nil"/>
              <w:bottom w:val="nil"/>
              <w:right w:val="nil"/>
            </w:tcBorders>
            <w:vAlign w:val="bottom"/>
          </w:tcPr>
          <w:p w14:paraId="12027ED3"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 1.174378</w:t>
            </w:r>
          </w:p>
        </w:tc>
        <w:tc>
          <w:tcPr>
            <w:tcW w:w="1322" w:type="dxa"/>
            <w:tcBorders>
              <w:top w:val="nil"/>
              <w:left w:val="nil"/>
              <w:bottom w:val="nil"/>
              <w:right w:val="nil"/>
            </w:tcBorders>
            <w:vAlign w:val="bottom"/>
          </w:tcPr>
          <w:p w14:paraId="04C827A4"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(128, 618.4)</w:t>
            </w:r>
          </w:p>
        </w:tc>
        <w:tc>
          <w:tcPr>
            <w:tcW w:w="881" w:type="dxa"/>
            <w:tcBorders>
              <w:top w:val="nil"/>
              <w:left w:val="nil"/>
              <w:bottom w:val="nil"/>
              <w:right w:val="nil"/>
            </w:tcBorders>
            <w:vAlign w:val="bottom"/>
          </w:tcPr>
          <w:p w14:paraId="0DA580E5"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 0.1112</w:t>
            </w:r>
          </w:p>
        </w:tc>
      </w:tr>
      <w:tr w:rsidR="00D31621" w:rsidRPr="00B720C7" w14:paraId="5EB97BA4" w14:textId="77777777" w:rsidTr="005E1237">
        <w:trPr>
          <w:trHeight w:hRule="exact" w:val="68"/>
        </w:trPr>
        <w:tc>
          <w:tcPr>
            <w:tcW w:w="1868" w:type="dxa"/>
            <w:tcBorders>
              <w:top w:val="nil"/>
              <w:left w:val="nil"/>
              <w:bottom w:val="double" w:sz="6" w:space="0" w:color="auto"/>
              <w:right w:val="nil"/>
            </w:tcBorders>
            <w:vAlign w:val="bottom"/>
          </w:tcPr>
          <w:p w14:paraId="5AD75637"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56" w:type="dxa"/>
            <w:tcBorders>
              <w:top w:val="nil"/>
              <w:left w:val="nil"/>
              <w:bottom w:val="double" w:sz="6" w:space="0" w:color="auto"/>
              <w:right w:val="nil"/>
            </w:tcBorders>
            <w:vAlign w:val="bottom"/>
          </w:tcPr>
          <w:p w14:paraId="12136E06"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771" w:type="dxa"/>
            <w:tcBorders>
              <w:top w:val="nil"/>
              <w:left w:val="nil"/>
              <w:bottom w:val="double" w:sz="6" w:space="0" w:color="auto"/>
              <w:right w:val="nil"/>
            </w:tcBorders>
            <w:vAlign w:val="bottom"/>
          </w:tcPr>
          <w:p w14:paraId="0E70A131"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881" w:type="dxa"/>
            <w:tcBorders>
              <w:top w:val="nil"/>
              <w:left w:val="nil"/>
              <w:bottom w:val="double" w:sz="6" w:space="0" w:color="auto"/>
              <w:right w:val="nil"/>
            </w:tcBorders>
            <w:vAlign w:val="bottom"/>
          </w:tcPr>
          <w:p w14:paraId="11E49372"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630" w:type="dxa"/>
            <w:tcBorders>
              <w:top w:val="nil"/>
              <w:left w:val="nil"/>
              <w:bottom w:val="double" w:sz="6" w:space="0" w:color="auto"/>
              <w:right w:val="nil"/>
            </w:tcBorders>
            <w:vAlign w:val="bottom"/>
          </w:tcPr>
          <w:p w14:paraId="08F92A33"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322" w:type="dxa"/>
            <w:tcBorders>
              <w:top w:val="nil"/>
              <w:left w:val="nil"/>
              <w:bottom w:val="double" w:sz="6" w:space="0" w:color="auto"/>
              <w:right w:val="nil"/>
            </w:tcBorders>
            <w:vAlign w:val="bottom"/>
          </w:tcPr>
          <w:p w14:paraId="59D49954"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881" w:type="dxa"/>
            <w:tcBorders>
              <w:top w:val="nil"/>
              <w:left w:val="nil"/>
              <w:bottom w:val="double" w:sz="6" w:space="0" w:color="auto"/>
              <w:right w:val="nil"/>
            </w:tcBorders>
            <w:vAlign w:val="bottom"/>
          </w:tcPr>
          <w:p w14:paraId="4C0B0B33"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r>
      <w:tr w:rsidR="00D31621" w:rsidRPr="00B720C7" w14:paraId="49CF4731" w14:textId="77777777" w:rsidTr="005E1237">
        <w:trPr>
          <w:trHeight w:hRule="exact" w:val="102"/>
        </w:trPr>
        <w:tc>
          <w:tcPr>
            <w:tcW w:w="1868" w:type="dxa"/>
            <w:tcBorders>
              <w:top w:val="nil"/>
              <w:left w:val="nil"/>
              <w:bottom w:val="nil"/>
              <w:right w:val="nil"/>
            </w:tcBorders>
            <w:vAlign w:val="bottom"/>
          </w:tcPr>
          <w:p w14:paraId="0CC933CC"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56" w:type="dxa"/>
            <w:tcBorders>
              <w:top w:val="nil"/>
              <w:left w:val="nil"/>
              <w:bottom w:val="nil"/>
              <w:right w:val="nil"/>
            </w:tcBorders>
            <w:vAlign w:val="bottom"/>
          </w:tcPr>
          <w:p w14:paraId="1DD4DE32" w14:textId="77777777" w:rsidR="00D31621" w:rsidRPr="005E1237" w:rsidRDefault="00D31621" w:rsidP="00C45F51">
            <w:pPr>
              <w:autoSpaceDE w:val="0"/>
              <w:autoSpaceDN w:val="0"/>
              <w:adjustRightInd w:val="0"/>
              <w:spacing w:after="0" w:line="240" w:lineRule="auto"/>
              <w:rPr>
                <w:rFonts w:ascii="Arial" w:hAnsi="Arial" w:cs="Arial"/>
                <w:b/>
                <w:bCs/>
                <w:i/>
                <w:iCs/>
                <w:color w:val="000000"/>
                <w:sz w:val="20"/>
                <w:szCs w:val="20"/>
              </w:rPr>
            </w:pPr>
          </w:p>
        </w:tc>
        <w:tc>
          <w:tcPr>
            <w:tcW w:w="771" w:type="dxa"/>
            <w:tcBorders>
              <w:top w:val="nil"/>
              <w:left w:val="nil"/>
              <w:bottom w:val="nil"/>
              <w:right w:val="nil"/>
            </w:tcBorders>
            <w:vAlign w:val="bottom"/>
          </w:tcPr>
          <w:p w14:paraId="0A5CE9C7" w14:textId="77777777" w:rsidR="00D31621" w:rsidRPr="005E1237" w:rsidRDefault="00D31621" w:rsidP="00C45F51">
            <w:pPr>
              <w:autoSpaceDE w:val="0"/>
              <w:autoSpaceDN w:val="0"/>
              <w:adjustRightInd w:val="0"/>
              <w:spacing w:after="0" w:line="240" w:lineRule="auto"/>
              <w:rPr>
                <w:rFonts w:ascii="Arial" w:hAnsi="Arial" w:cs="Arial"/>
                <w:b/>
                <w:bCs/>
                <w:i/>
                <w:iCs/>
                <w:color w:val="000000"/>
                <w:sz w:val="20"/>
                <w:szCs w:val="20"/>
              </w:rPr>
            </w:pPr>
          </w:p>
        </w:tc>
        <w:tc>
          <w:tcPr>
            <w:tcW w:w="881" w:type="dxa"/>
            <w:tcBorders>
              <w:top w:val="nil"/>
              <w:left w:val="nil"/>
              <w:bottom w:val="nil"/>
              <w:right w:val="nil"/>
            </w:tcBorders>
            <w:vAlign w:val="bottom"/>
          </w:tcPr>
          <w:p w14:paraId="298120F4"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630" w:type="dxa"/>
            <w:tcBorders>
              <w:top w:val="nil"/>
              <w:left w:val="nil"/>
              <w:bottom w:val="nil"/>
              <w:right w:val="nil"/>
            </w:tcBorders>
            <w:vAlign w:val="bottom"/>
          </w:tcPr>
          <w:p w14:paraId="59DA0A2E"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322" w:type="dxa"/>
            <w:tcBorders>
              <w:top w:val="nil"/>
              <w:left w:val="nil"/>
              <w:bottom w:val="nil"/>
              <w:right w:val="nil"/>
            </w:tcBorders>
            <w:vAlign w:val="bottom"/>
          </w:tcPr>
          <w:p w14:paraId="1CC562E0"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881" w:type="dxa"/>
            <w:tcBorders>
              <w:top w:val="nil"/>
              <w:left w:val="nil"/>
              <w:bottom w:val="nil"/>
              <w:right w:val="nil"/>
            </w:tcBorders>
            <w:vAlign w:val="bottom"/>
          </w:tcPr>
          <w:p w14:paraId="5B6EEEE2"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r>
      <w:tr w:rsidR="00D31621" w:rsidRPr="00B720C7" w14:paraId="46504ACE" w14:textId="77777777" w:rsidTr="005E1237">
        <w:trPr>
          <w:trHeight w:val="170"/>
        </w:trPr>
        <w:tc>
          <w:tcPr>
            <w:tcW w:w="7630" w:type="dxa"/>
            <w:gridSpan w:val="6"/>
            <w:tcBorders>
              <w:top w:val="nil"/>
              <w:left w:val="nil"/>
              <w:bottom w:val="nil"/>
              <w:right w:val="nil"/>
            </w:tcBorders>
            <w:vAlign w:val="bottom"/>
          </w:tcPr>
          <w:p w14:paraId="2FEAFCA4" w14:textId="77777777" w:rsidR="00D31621" w:rsidRPr="005E1237" w:rsidRDefault="00D31621" w:rsidP="00C45F51">
            <w:pPr>
              <w:autoSpaceDE w:val="0"/>
              <w:autoSpaceDN w:val="0"/>
              <w:adjustRightInd w:val="0"/>
              <w:spacing w:after="0" w:line="240" w:lineRule="auto"/>
              <w:rPr>
                <w:rFonts w:ascii="Arial" w:hAnsi="Arial" w:cs="Arial"/>
                <w:b/>
                <w:bCs/>
                <w:i/>
                <w:iCs/>
                <w:color w:val="000000"/>
                <w:sz w:val="20"/>
                <w:szCs w:val="20"/>
              </w:rPr>
            </w:pPr>
            <w:r w:rsidRPr="005E1237">
              <w:rPr>
                <w:rFonts w:ascii="Arial" w:hAnsi="Arial" w:cs="Arial"/>
                <w:b/>
                <w:bCs/>
                <w:i/>
                <w:iCs/>
                <w:color w:val="000000"/>
                <w:sz w:val="20"/>
                <w:szCs w:val="20"/>
              </w:rPr>
              <w:t>*Edgeworth expansion corrected likelihood ratio statistic.</w:t>
            </w:r>
          </w:p>
          <w:p w14:paraId="64EAF13F" w14:textId="77777777" w:rsidR="00A70DA0" w:rsidRPr="005E1237" w:rsidRDefault="00A70DA0" w:rsidP="00C45F51">
            <w:pPr>
              <w:autoSpaceDE w:val="0"/>
              <w:autoSpaceDN w:val="0"/>
              <w:adjustRightInd w:val="0"/>
              <w:spacing w:after="0" w:line="240" w:lineRule="auto"/>
              <w:rPr>
                <w:rFonts w:ascii="Arial" w:hAnsi="Arial" w:cs="Arial"/>
                <w:b/>
                <w:bCs/>
                <w:i/>
                <w:iCs/>
                <w:color w:val="000000"/>
                <w:sz w:val="20"/>
                <w:szCs w:val="20"/>
              </w:rPr>
            </w:pPr>
          </w:p>
        </w:tc>
        <w:tc>
          <w:tcPr>
            <w:tcW w:w="881" w:type="dxa"/>
            <w:tcBorders>
              <w:top w:val="nil"/>
              <w:left w:val="nil"/>
              <w:bottom w:val="nil"/>
              <w:right w:val="nil"/>
            </w:tcBorders>
            <w:vAlign w:val="bottom"/>
          </w:tcPr>
          <w:p w14:paraId="2435FDA4"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r>
    </w:tbl>
    <w:p w14:paraId="74A7BE70" w14:textId="77777777" w:rsidR="00706764" w:rsidRDefault="00706764" w:rsidP="005E1237">
      <w:pPr>
        <w:spacing w:line="240" w:lineRule="auto"/>
        <w:rPr>
          <w:rFonts w:ascii="Times New Roman" w:hAnsi="Times New Roman"/>
          <w:sz w:val="24"/>
          <w:szCs w:val="24"/>
        </w:rPr>
        <w:sectPr w:rsidR="00706764" w:rsidSect="004267E7">
          <w:type w:val="continuous"/>
          <w:pgSz w:w="12240" w:h="15840"/>
          <w:pgMar w:top="1135" w:right="1440" w:bottom="1440" w:left="1440" w:header="720" w:footer="720" w:gutter="0"/>
          <w:cols w:space="720"/>
          <w:docGrid w:linePitch="360"/>
        </w:sectPr>
      </w:pPr>
    </w:p>
    <w:p w14:paraId="11528C97" w14:textId="77777777" w:rsidR="00D31621" w:rsidRDefault="00D31621" w:rsidP="005E1237">
      <w:pPr>
        <w:spacing w:line="240" w:lineRule="auto"/>
        <w:rPr>
          <w:rFonts w:ascii="Times New Roman" w:hAnsi="Times New Roman"/>
          <w:sz w:val="24"/>
          <w:szCs w:val="24"/>
        </w:rPr>
      </w:pPr>
      <w:r w:rsidRPr="00D53F28">
        <w:rPr>
          <w:rFonts w:ascii="Times New Roman" w:hAnsi="Times New Roman"/>
          <w:sz w:val="24"/>
          <w:szCs w:val="24"/>
        </w:rPr>
        <w:t xml:space="preserve">The result showed that there is absence of </w:t>
      </w:r>
      <w:r>
        <w:rPr>
          <w:rFonts w:ascii="Times New Roman" w:hAnsi="Times New Roman"/>
          <w:sz w:val="24"/>
          <w:szCs w:val="24"/>
        </w:rPr>
        <w:t>serial/</w:t>
      </w:r>
      <w:r w:rsidRPr="00D53F28">
        <w:rPr>
          <w:rFonts w:ascii="Times New Roman" w:hAnsi="Times New Roman"/>
          <w:sz w:val="24"/>
          <w:szCs w:val="24"/>
        </w:rPr>
        <w:t xml:space="preserve">autocorrelation among the residuals since the null hypothesis of no </w:t>
      </w:r>
      <w:r>
        <w:rPr>
          <w:rFonts w:ascii="Times New Roman" w:hAnsi="Times New Roman"/>
          <w:sz w:val="24"/>
          <w:szCs w:val="24"/>
        </w:rPr>
        <w:t>serial or autocorrelation</w:t>
      </w:r>
      <w:r w:rsidRPr="00D53F28">
        <w:rPr>
          <w:rFonts w:ascii="Times New Roman" w:hAnsi="Times New Roman"/>
          <w:sz w:val="24"/>
          <w:szCs w:val="24"/>
        </w:rPr>
        <w:t xml:space="preserve"> is accepted </w:t>
      </w:r>
      <w:r>
        <w:rPr>
          <w:rFonts w:ascii="Times New Roman" w:hAnsi="Times New Roman"/>
          <w:sz w:val="24"/>
          <w:szCs w:val="24"/>
        </w:rPr>
        <w:t xml:space="preserve">at 0.05 level of significance for both </w:t>
      </w:r>
      <w:r w:rsidRPr="00D53F28">
        <w:rPr>
          <w:rFonts w:ascii="Times New Roman" w:hAnsi="Times New Roman"/>
          <w:sz w:val="24"/>
          <w:szCs w:val="24"/>
        </w:rPr>
        <w:t>lags 1 and 2</w:t>
      </w:r>
      <w:r>
        <w:rPr>
          <w:rFonts w:ascii="Times New Roman" w:hAnsi="Times New Roman"/>
          <w:sz w:val="24"/>
          <w:szCs w:val="24"/>
        </w:rPr>
        <w:t>. That is, the LM</w:t>
      </w:r>
      <w:r w:rsidRPr="00D53F28">
        <w:rPr>
          <w:rFonts w:ascii="Times New Roman" w:hAnsi="Times New Roman"/>
          <w:sz w:val="24"/>
          <w:szCs w:val="24"/>
        </w:rPr>
        <w:t>-stat</w:t>
      </w:r>
      <w:r>
        <w:rPr>
          <w:rFonts w:ascii="Times New Roman" w:hAnsi="Times New Roman"/>
          <w:sz w:val="24"/>
          <w:szCs w:val="24"/>
        </w:rPr>
        <w:t>istics (LRE*stat and Rao F-stat)</w:t>
      </w:r>
      <w:r w:rsidRPr="00D53F28">
        <w:rPr>
          <w:rFonts w:ascii="Times New Roman" w:hAnsi="Times New Roman"/>
          <w:sz w:val="24"/>
          <w:szCs w:val="24"/>
        </w:rPr>
        <w:t xml:space="preserve"> </w:t>
      </w:r>
      <w:r w:rsidRPr="00D53F28">
        <w:rPr>
          <w:rFonts w:ascii="Times New Roman" w:hAnsi="Times New Roman"/>
          <w:sz w:val="24"/>
          <w:szCs w:val="24"/>
        </w:rPr>
        <w:t>are not statistically significant</w:t>
      </w:r>
      <w:r>
        <w:rPr>
          <w:rFonts w:ascii="Times New Roman" w:hAnsi="Times New Roman"/>
          <w:sz w:val="24"/>
          <w:szCs w:val="24"/>
        </w:rPr>
        <w:t xml:space="preserve"> (probability values are more than 0.05)</w:t>
      </w:r>
      <w:r w:rsidRPr="00D53F28">
        <w:rPr>
          <w:rFonts w:ascii="Times New Roman" w:hAnsi="Times New Roman"/>
          <w:sz w:val="24"/>
          <w:szCs w:val="24"/>
        </w:rPr>
        <w:t>.</w:t>
      </w:r>
    </w:p>
    <w:p w14:paraId="26E848D6" w14:textId="0EE5DA13" w:rsidR="00D31621" w:rsidRPr="006922E5" w:rsidRDefault="00D31621" w:rsidP="005E1237">
      <w:pPr>
        <w:spacing w:after="0" w:line="240" w:lineRule="auto"/>
        <w:rPr>
          <w:rFonts w:ascii="Times New Roman" w:hAnsi="Times New Roman"/>
          <w:sz w:val="24"/>
          <w:szCs w:val="24"/>
        </w:rPr>
      </w:pPr>
      <w:r w:rsidRPr="006922E5">
        <w:rPr>
          <w:rFonts w:ascii="Times New Roman" w:hAnsi="Times New Roman"/>
          <w:b/>
          <w:sz w:val="24"/>
          <w:szCs w:val="24"/>
        </w:rPr>
        <w:t>VEC Residual Heteroskedasticity Tests</w:t>
      </w:r>
    </w:p>
    <w:p w14:paraId="383EF443" w14:textId="3CF0D667" w:rsidR="00D31621" w:rsidRDefault="00D31621" w:rsidP="005E1237">
      <w:pPr>
        <w:spacing w:after="0" w:line="240" w:lineRule="auto"/>
        <w:rPr>
          <w:rFonts w:ascii="Times New Roman" w:hAnsi="Times New Roman"/>
          <w:sz w:val="24"/>
          <w:szCs w:val="24"/>
        </w:rPr>
      </w:pPr>
      <w:r w:rsidRPr="00D53F28">
        <w:rPr>
          <w:rFonts w:ascii="Times New Roman" w:hAnsi="Times New Roman"/>
          <w:sz w:val="24"/>
          <w:szCs w:val="24"/>
        </w:rPr>
        <w:t xml:space="preserve">To test for </w:t>
      </w:r>
      <w:r>
        <w:rPr>
          <w:rFonts w:ascii="Times New Roman" w:hAnsi="Times New Roman"/>
          <w:sz w:val="24"/>
          <w:szCs w:val="24"/>
        </w:rPr>
        <w:t>heteroskedasticity</w:t>
      </w:r>
      <w:r w:rsidRPr="00D53F28">
        <w:rPr>
          <w:rFonts w:ascii="Times New Roman" w:hAnsi="Times New Roman"/>
          <w:sz w:val="24"/>
          <w:szCs w:val="24"/>
        </w:rPr>
        <w:t xml:space="preserve"> a</w:t>
      </w:r>
      <w:r>
        <w:rPr>
          <w:rFonts w:ascii="Times New Roman" w:hAnsi="Times New Roman"/>
          <w:sz w:val="24"/>
          <w:szCs w:val="24"/>
        </w:rPr>
        <w:t xml:space="preserve">mong the residuals, the </w:t>
      </w:r>
      <w:r w:rsidRPr="006922E5">
        <w:rPr>
          <w:rFonts w:ascii="Times New Roman" w:hAnsi="Times New Roman"/>
          <w:sz w:val="24"/>
          <w:szCs w:val="24"/>
        </w:rPr>
        <w:t>Levels and Squares</w:t>
      </w:r>
      <w:r>
        <w:rPr>
          <w:rFonts w:ascii="Times New Roman" w:hAnsi="Times New Roman"/>
          <w:sz w:val="24"/>
          <w:szCs w:val="24"/>
        </w:rPr>
        <w:t xml:space="preserve"> joint test was conducted and the results is presented in table </w:t>
      </w:r>
      <w:r w:rsidR="005E1237">
        <w:rPr>
          <w:rFonts w:ascii="Times New Roman" w:hAnsi="Times New Roman"/>
          <w:sz w:val="24"/>
          <w:szCs w:val="24"/>
        </w:rPr>
        <w:t>15</w:t>
      </w:r>
    </w:p>
    <w:p w14:paraId="6241B723" w14:textId="77777777" w:rsidR="00706764" w:rsidRDefault="00706764" w:rsidP="00C45F51">
      <w:pPr>
        <w:spacing w:after="0" w:line="240" w:lineRule="auto"/>
        <w:ind w:firstLine="720"/>
        <w:contextualSpacing/>
        <w:jc w:val="both"/>
        <w:rPr>
          <w:rFonts w:ascii="Times New Roman" w:hAnsi="Times New Roman"/>
          <w:b/>
          <w:color w:val="000000"/>
          <w:sz w:val="10"/>
          <w:szCs w:val="24"/>
        </w:rPr>
        <w:sectPr w:rsidR="00706764" w:rsidSect="00706764">
          <w:type w:val="continuous"/>
          <w:pgSz w:w="12240" w:h="15840"/>
          <w:pgMar w:top="1135" w:right="1440" w:bottom="1440" w:left="1440" w:header="720" w:footer="720" w:gutter="0"/>
          <w:cols w:num="2" w:space="720"/>
          <w:docGrid w:linePitch="360"/>
        </w:sectPr>
      </w:pPr>
    </w:p>
    <w:p w14:paraId="622D82DB" w14:textId="77777777" w:rsidR="00F9478C" w:rsidRPr="00F9478C" w:rsidRDefault="00F9478C" w:rsidP="00C45F51">
      <w:pPr>
        <w:spacing w:after="0" w:line="240" w:lineRule="auto"/>
        <w:ind w:firstLine="720"/>
        <w:contextualSpacing/>
        <w:jc w:val="both"/>
        <w:rPr>
          <w:rFonts w:ascii="Times New Roman" w:hAnsi="Times New Roman"/>
          <w:b/>
          <w:color w:val="000000"/>
          <w:sz w:val="10"/>
          <w:szCs w:val="24"/>
        </w:rPr>
      </w:pPr>
    </w:p>
    <w:p w14:paraId="07020792" w14:textId="6780D381" w:rsidR="00D31621" w:rsidRPr="006922E5" w:rsidRDefault="00D31621" w:rsidP="00C45F51">
      <w:pPr>
        <w:spacing w:after="0" w:line="240" w:lineRule="auto"/>
        <w:ind w:firstLine="720"/>
        <w:contextualSpacing/>
        <w:jc w:val="both"/>
        <w:rPr>
          <w:rFonts w:ascii="Times New Roman" w:hAnsi="Times New Roman"/>
          <w:b/>
          <w:sz w:val="24"/>
          <w:szCs w:val="24"/>
        </w:rPr>
      </w:pPr>
      <w:r>
        <w:rPr>
          <w:rFonts w:ascii="Times New Roman" w:hAnsi="Times New Roman"/>
          <w:b/>
          <w:color w:val="000000"/>
          <w:sz w:val="24"/>
          <w:szCs w:val="24"/>
        </w:rPr>
        <w:t xml:space="preserve">Table </w:t>
      </w:r>
      <w:r w:rsidR="007C0724">
        <w:rPr>
          <w:rFonts w:ascii="Times New Roman" w:hAnsi="Times New Roman"/>
          <w:b/>
          <w:color w:val="000000"/>
          <w:sz w:val="24"/>
          <w:szCs w:val="24"/>
        </w:rPr>
        <w:t>15</w:t>
      </w:r>
      <w:r>
        <w:rPr>
          <w:rFonts w:ascii="Times New Roman" w:hAnsi="Times New Roman"/>
          <w:b/>
          <w:color w:val="000000"/>
          <w:sz w:val="24"/>
          <w:szCs w:val="24"/>
        </w:rPr>
        <w:t xml:space="preserve">: </w:t>
      </w:r>
      <w:r w:rsidRPr="006922E5">
        <w:rPr>
          <w:rFonts w:ascii="Times New Roman" w:hAnsi="Times New Roman"/>
          <w:b/>
          <w:color w:val="000000"/>
          <w:sz w:val="24"/>
          <w:szCs w:val="24"/>
        </w:rPr>
        <w:t>VEC Residual Heteroskedasticity Tests (Levels and Squares)</w:t>
      </w:r>
    </w:p>
    <w:tbl>
      <w:tblPr>
        <w:tblW w:w="0" w:type="auto"/>
        <w:tblInd w:w="773" w:type="dxa"/>
        <w:tblLayout w:type="fixed"/>
        <w:tblCellMar>
          <w:left w:w="0" w:type="dxa"/>
          <w:right w:w="0" w:type="dxa"/>
        </w:tblCellMar>
        <w:tblLook w:val="0000" w:firstRow="0" w:lastRow="0" w:firstColumn="0" w:lastColumn="0" w:noHBand="0" w:noVBand="0"/>
      </w:tblPr>
      <w:tblGrid>
        <w:gridCol w:w="1282"/>
        <w:gridCol w:w="1103"/>
        <w:gridCol w:w="1102"/>
        <w:gridCol w:w="998"/>
        <w:gridCol w:w="1102"/>
        <w:gridCol w:w="998"/>
      </w:tblGrid>
      <w:tr w:rsidR="00D31621" w:rsidRPr="00B720C7" w14:paraId="466F553A" w14:textId="77777777" w:rsidTr="00303B4A">
        <w:trPr>
          <w:trHeight w:hRule="exact" w:val="90"/>
        </w:trPr>
        <w:tc>
          <w:tcPr>
            <w:tcW w:w="1282" w:type="dxa"/>
            <w:tcBorders>
              <w:top w:val="nil"/>
              <w:left w:val="nil"/>
              <w:bottom w:val="double" w:sz="6" w:space="2" w:color="auto"/>
              <w:right w:val="nil"/>
            </w:tcBorders>
            <w:vAlign w:val="bottom"/>
          </w:tcPr>
          <w:p w14:paraId="73E910C0"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03" w:type="dxa"/>
            <w:tcBorders>
              <w:top w:val="nil"/>
              <w:left w:val="nil"/>
              <w:bottom w:val="double" w:sz="6" w:space="2" w:color="auto"/>
              <w:right w:val="nil"/>
            </w:tcBorders>
            <w:vAlign w:val="bottom"/>
          </w:tcPr>
          <w:p w14:paraId="4F34961A"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02" w:type="dxa"/>
            <w:tcBorders>
              <w:top w:val="nil"/>
              <w:left w:val="nil"/>
              <w:bottom w:val="double" w:sz="6" w:space="2" w:color="auto"/>
              <w:right w:val="nil"/>
            </w:tcBorders>
            <w:vAlign w:val="bottom"/>
          </w:tcPr>
          <w:p w14:paraId="2F6F4321"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998" w:type="dxa"/>
            <w:tcBorders>
              <w:top w:val="nil"/>
              <w:left w:val="nil"/>
              <w:bottom w:val="double" w:sz="6" w:space="2" w:color="auto"/>
              <w:right w:val="nil"/>
            </w:tcBorders>
            <w:vAlign w:val="bottom"/>
          </w:tcPr>
          <w:p w14:paraId="5A6F211A"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02" w:type="dxa"/>
            <w:tcBorders>
              <w:top w:val="nil"/>
              <w:left w:val="nil"/>
              <w:bottom w:val="double" w:sz="6" w:space="2" w:color="auto"/>
              <w:right w:val="nil"/>
            </w:tcBorders>
            <w:vAlign w:val="bottom"/>
          </w:tcPr>
          <w:p w14:paraId="7455D3A9"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998" w:type="dxa"/>
            <w:tcBorders>
              <w:top w:val="nil"/>
              <w:left w:val="nil"/>
              <w:bottom w:val="double" w:sz="6" w:space="2" w:color="auto"/>
              <w:right w:val="nil"/>
            </w:tcBorders>
            <w:vAlign w:val="bottom"/>
          </w:tcPr>
          <w:p w14:paraId="1BA5E5D8"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r>
      <w:tr w:rsidR="00D31621" w:rsidRPr="00B720C7" w14:paraId="3CAA2A7F" w14:textId="77777777" w:rsidTr="00303B4A">
        <w:trPr>
          <w:trHeight w:hRule="exact" w:val="135"/>
        </w:trPr>
        <w:tc>
          <w:tcPr>
            <w:tcW w:w="1282" w:type="dxa"/>
            <w:tcBorders>
              <w:top w:val="nil"/>
              <w:left w:val="nil"/>
              <w:bottom w:val="nil"/>
              <w:right w:val="nil"/>
            </w:tcBorders>
            <w:vAlign w:val="bottom"/>
          </w:tcPr>
          <w:p w14:paraId="38257008"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03" w:type="dxa"/>
            <w:tcBorders>
              <w:top w:val="nil"/>
              <w:left w:val="nil"/>
              <w:bottom w:val="nil"/>
              <w:right w:val="nil"/>
            </w:tcBorders>
            <w:vAlign w:val="bottom"/>
          </w:tcPr>
          <w:p w14:paraId="0F47B435"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02" w:type="dxa"/>
            <w:tcBorders>
              <w:top w:val="nil"/>
              <w:left w:val="nil"/>
              <w:bottom w:val="nil"/>
              <w:right w:val="nil"/>
            </w:tcBorders>
            <w:vAlign w:val="bottom"/>
          </w:tcPr>
          <w:p w14:paraId="4CD90BCD"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998" w:type="dxa"/>
            <w:tcBorders>
              <w:top w:val="nil"/>
              <w:left w:val="nil"/>
              <w:bottom w:val="nil"/>
              <w:right w:val="nil"/>
            </w:tcBorders>
            <w:vAlign w:val="bottom"/>
          </w:tcPr>
          <w:p w14:paraId="3DA69A4E"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02" w:type="dxa"/>
            <w:tcBorders>
              <w:top w:val="nil"/>
              <w:left w:val="nil"/>
              <w:bottom w:val="nil"/>
              <w:right w:val="nil"/>
            </w:tcBorders>
            <w:vAlign w:val="bottom"/>
          </w:tcPr>
          <w:p w14:paraId="3B7A6C37"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998" w:type="dxa"/>
            <w:tcBorders>
              <w:top w:val="nil"/>
              <w:left w:val="nil"/>
              <w:bottom w:val="nil"/>
              <w:right w:val="nil"/>
            </w:tcBorders>
            <w:vAlign w:val="bottom"/>
          </w:tcPr>
          <w:p w14:paraId="62965790"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r>
      <w:tr w:rsidR="00D31621" w:rsidRPr="00B720C7" w14:paraId="19786D42" w14:textId="77777777" w:rsidTr="00303B4A">
        <w:trPr>
          <w:trHeight w:val="225"/>
        </w:trPr>
        <w:tc>
          <w:tcPr>
            <w:tcW w:w="1282" w:type="dxa"/>
            <w:tcBorders>
              <w:top w:val="nil"/>
              <w:left w:val="nil"/>
              <w:bottom w:val="nil"/>
              <w:right w:val="nil"/>
            </w:tcBorders>
            <w:vAlign w:val="bottom"/>
          </w:tcPr>
          <w:p w14:paraId="672D154A"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03" w:type="dxa"/>
            <w:tcBorders>
              <w:top w:val="nil"/>
              <w:left w:val="nil"/>
              <w:bottom w:val="nil"/>
              <w:right w:val="nil"/>
            </w:tcBorders>
            <w:vAlign w:val="bottom"/>
          </w:tcPr>
          <w:p w14:paraId="479698D7"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02" w:type="dxa"/>
            <w:tcBorders>
              <w:top w:val="nil"/>
              <w:left w:val="nil"/>
              <w:bottom w:val="nil"/>
              <w:right w:val="nil"/>
            </w:tcBorders>
            <w:vAlign w:val="bottom"/>
          </w:tcPr>
          <w:p w14:paraId="77724B97"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998" w:type="dxa"/>
            <w:tcBorders>
              <w:top w:val="nil"/>
              <w:left w:val="nil"/>
              <w:bottom w:val="nil"/>
              <w:right w:val="nil"/>
            </w:tcBorders>
            <w:vAlign w:val="bottom"/>
          </w:tcPr>
          <w:p w14:paraId="76CAD7BD"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02" w:type="dxa"/>
            <w:tcBorders>
              <w:top w:val="nil"/>
              <w:left w:val="nil"/>
              <w:bottom w:val="nil"/>
              <w:right w:val="nil"/>
            </w:tcBorders>
            <w:vAlign w:val="bottom"/>
          </w:tcPr>
          <w:p w14:paraId="5EC35F7A"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998" w:type="dxa"/>
            <w:tcBorders>
              <w:top w:val="nil"/>
              <w:left w:val="nil"/>
              <w:bottom w:val="nil"/>
              <w:right w:val="nil"/>
            </w:tcBorders>
            <w:vAlign w:val="bottom"/>
          </w:tcPr>
          <w:p w14:paraId="0832A1DE"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r>
      <w:tr w:rsidR="00D31621" w:rsidRPr="00B720C7" w14:paraId="65DDA827" w14:textId="77777777" w:rsidTr="00303B4A">
        <w:trPr>
          <w:trHeight w:val="225"/>
        </w:trPr>
        <w:tc>
          <w:tcPr>
            <w:tcW w:w="2385" w:type="dxa"/>
            <w:gridSpan w:val="2"/>
            <w:tcBorders>
              <w:top w:val="nil"/>
              <w:left w:val="nil"/>
              <w:bottom w:val="nil"/>
              <w:right w:val="nil"/>
            </w:tcBorders>
            <w:vAlign w:val="bottom"/>
          </w:tcPr>
          <w:p w14:paraId="3C044BE0"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   Joint test:</w:t>
            </w:r>
          </w:p>
        </w:tc>
        <w:tc>
          <w:tcPr>
            <w:tcW w:w="1102" w:type="dxa"/>
            <w:tcBorders>
              <w:top w:val="nil"/>
              <w:left w:val="nil"/>
              <w:bottom w:val="nil"/>
              <w:right w:val="nil"/>
            </w:tcBorders>
            <w:vAlign w:val="bottom"/>
          </w:tcPr>
          <w:p w14:paraId="0BDFB47C"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998" w:type="dxa"/>
            <w:tcBorders>
              <w:top w:val="nil"/>
              <w:left w:val="nil"/>
              <w:bottom w:val="nil"/>
              <w:right w:val="nil"/>
            </w:tcBorders>
            <w:vAlign w:val="bottom"/>
          </w:tcPr>
          <w:p w14:paraId="201B9FF0"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02" w:type="dxa"/>
            <w:tcBorders>
              <w:top w:val="nil"/>
              <w:left w:val="nil"/>
              <w:bottom w:val="nil"/>
              <w:right w:val="nil"/>
            </w:tcBorders>
            <w:vAlign w:val="bottom"/>
          </w:tcPr>
          <w:p w14:paraId="5ED37814"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998" w:type="dxa"/>
            <w:tcBorders>
              <w:top w:val="nil"/>
              <w:left w:val="nil"/>
              <w:bottom w:val="nil"/>
              <w:right w:val="nil"/>
            </w:tcBorders>
            <w:vAlign w:val="bottom"/>
          </w:tcPr>
          <w:p w14:paraId="71B27273"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r>
      <w:tr w:rsidR="00D31621" w:rsidRPr="00B720C7" w14:paraId="4CA0B6A3" w14:textId="77777777" w:rsidTr="00303B4A">
        <w:trPr>
          <w:trHeight w:hRule="exact" w:val="90"/>
        </w:trPr>
        <w:tc>
          <w:tcPr>
            <w:tcW w:w="1282" w:type="dxa"/>
            <w:tcBorders>
              <w:top w:val="nil"/>
              <w:left w:val="nil"/>
              <w:bottom w:val="double" w:sz="6" w:space="2" w:color="auto"/>
              <w:right w:val="nil"/>
            </w:tcBorders>
            <w:vAlign w:val="bottom"/>
          </w:tcPr>
          <w:p w14:paraId="0388BC1C"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03" w:type="dxa"/>
            <w:tcBorders>
              <w:top w:val="nil"/>
              <w:left w:val="nil"/>
              <w:bottom w:val="double" w:sz="6" w:space="2" w:color="auto"/>
              <w:right w:val="nil"/>
            </w:tcBorders>
            <w:vAlign w:val="bottom"/>
          </w:tcPr>
          <w:p w14:paraId="2FA52CC7"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02" w:type="dxa"/>
            <w:tcBorders>
              <w:top w:val="nil"/>
              <w:left w:val="nil"/>
              <w:bottom w:val="double" w:sz="6" w:space="2" w:color="auto"/>
              <w:right w:val="nil"/>
            </w:tcBorders>
            <w:vAlign w:val="bottom"/>
          </w:tcPr>
          <w:p w14:paraId="6EB3A761"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998" w:type="dxa"/>
            <w:tcBorders>
              <w:top w:val="nil"/>
              <w:left w:val="nil"/>
              <w:bottom w:val="nil"/>
              <w:right w:val="nil"/>
            </w:tcBorders>
            <w:vAlign w:val="bottom"/>
          </w:tcPr>
          <w:p w14:paraId="7D293350"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02" w:type="dxa"/>
            <w:tcBorders>
              <w:top w:val="nil"/>
              <w:left w:val="nil"/>
              <w:bottom w:val="nil"/>
              <w:right w:val="nil"/>
            </w:tcBorders>
            <w:vAlign w:val="bottom"/>
          </w:tcPr>
          <w:p w14:paraId="30A286AA"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998" w:type="dxa"/>
            <w:tcBorders>
              <w:top w:val="nil"/>
              <w:left w:val="nil"/>
              <w:bottom w:val="nil"/>
              <w:right w:val="nil"/>
            </w:tcBorders>
            <w:vAlign w:val="bottom"/>
          </w:tcPr>
          <w:p w14:paraId="6614F24F"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r>
      <w:tr w:rsidR="00D31621" w:rsidRPr="00B720C7" w14:paraId="625092AB" w14:textId="77777777" w:rsidTr="00303B4A">
        <w:trPr>
          <w:trHeight w:hRule="exact" w:val="135"/>
        </w:trPr>
        <w:tc>
          <w:tcPr>
            <w:tcW w:w="1282" w:type="dxa"/>
            <w:tcBorders>
              <w:top w:val="nil"/>
              <w:left w:val="nil"/>
              <w:bottom w:val="nil"/>
              <w:right w:val="nil"/>
            </w:tcBorders>
            <w:vAlign w:val="bottom"/>
          </w:tcPr>
          <w:p w14:paraId="4C8B614F"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03" w:type="dxa"/>
            <w:tcBorders>
              <w:top w:val="nil"/>
              <w:left w:val="nil"/>
              <w:bottom w:val="nil"/>
              <w:right w:val="nil"/>
            </w:tcBorders>
            <w:vAlign w:val="bottom"/>
          </w:tcPr>
          <w:p w14:paraId="1A20E23A"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02" w:type="dxa"/>
            <w:tcBorders>
              <w:top w:val="nil"/>
              <w:left w:val="nil"/>
              <w:bottom w:val="nil"/>
              <w:right w:val="nil"/>
            </w:tcBorders>
            <w:vAlign w:val="bottom"/>
          </w:tcPr>
          <w:p w14:paraId="7A938C54"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998" w:type="dxa"/>
            <w:tcBorders>
              <w:top w:val="nil"/>
              <w:left w:val="nil"/>
              <w:bottom w:val="nil"/>
              <w:right w:val="nil"/>
            </w:tcBorders>
            <w:vAlign w:val="bottom"/>
          </w:tcPr>
          <w:p w14:paraId="097B7ABD"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02" w:type="dxa"/>
            <w:tcBorders>
              <w:top w:val="nil"/>
              <w:left w:val="nil"/>
              <w:bottom w:val="nil"/>
              <w:right w:val="nil"/>
            </w:tcBorders>
            <w:vAlign w:val="bottom"/>
          </w:tcPr>
          <w:p w14:paraId="612060D3"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998" w:type="dxa"/>
            <w:tcBorders>
              <w:top w:val="nil"/>
              <w:left w:val="nil"/>
              <w:bottom w:val="nil"/>
              <w:right w:val="nil"/>
            </w:tcBorders>
            <w:vAlign w:val="bottom"/>
          </w:tcPr>
          <w:p w14:paraId="322F7963"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r>
      <w:tr w:rsidR="00D31621" w:rsidRPr="00B720C7" w14:paraId="3D97CCFD" w14:textId="77777777" w:rsidTr="00303B4A">
        <w:trPr>
          <w:trHeight w:val="225"/>
        </w:trPr>
        <w:tc>
          <w:tcPr>
            <w:tcW w:w="1282" w:type="dxa"/>
            <w:tcBorders>
              <w:top w:val="nil"/>
              <w:left w:val="nil"/>
              <w:bottom w:val="nil"/>
              <w:right w:val="nil"/>
            </w:tcBorders>
            <w:vAlign w:val="bottom"/>
          </w:tcPr>
          <w:p w14:paraId="4817A3CE"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Chi-sq</w:t>
            </w:r>
          </w:p>
        </w:tc>
        <w:tc>
          <w:tcPr>
            <w:tcW w:w="1103" w:type="dxa"/>
            <w:tcBorders>
              <w:top w:val="nil"/>
              <w:left w:val="nil"/>
              <w:bottom w:val="nil"/>
              <w:right w:val="nil"/>
            </w:tcBorders>
            <w:vAlign w:val="bottom"/>
          </w:tcPr>
          <w:p w14:paraId="4DF3EF13"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Df</w:t>
            </w:r>
          </w:p>
        </w:tc>
        <w:tc>
          <w:tcPr>
            <w:tcW w:w="1102" w:type="dxa"/>
            <w:tcBorders>
              <w:top w:val="nil"/>
              <w:left w:val="nil"/>
              <w:bottom w:val="nil"/>
              <w:right w:val="nil"/>
            </w:tcBorders>
            <w:vAlign w:val="bottom"/>
          </w:tcPr>
          <w:p w14:paraId="2227928E"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Prob.</w:t>
            </w:r>
          </w:p>
        </w:tc>
        <w:tc>
          <w:tcPr>
            <w:tcW w:w="998" w:type="dxa"/>
            <w:tcBorders>
              <w:top w:val="nil"/>
              <w:left w:val="nil"/>
              <w:bottom w:val="nil"/>
              <w:right w:val="nil"/>
            </w:tcBorders>
            <w:vAlign w:val="bottom"/>
          </w:tcPr>
          <w:p w14:paraId="632E2594"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02" w:type="dxa"/>
            <w:tcBorders>
              <w:top w:val="nil"/>
              <w:left w:val="nil"/>
              <w:bottom w:val="nil"/>
              <w:right w:val="nil"/>
            </w:tcBorders>
            <w:vAlign w:val="bottom"/>
          </w:tcPr>
          <w:p w14:paraId="7C64905B"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998" w:type="dxa"/>
            <w:tcBorders>
              <w:top w:val="nil"/>
              <w:left w:val="nil"/>
              <w:bottom w:val="nil"/>
              <w:right w:val="nil"/>
            </w:tcBorders>
            <w:vAlign w:val="bottom"/>
          </w:tcPr>
          <w:p w14:paraId="3902DAFC"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r>
      <w:tr w:rsidR="00D31621" w:rsidRPr="00B720C7" w14:paraId="6AEE1FFC" w14:textId="77777777" w:rsidTr="00303B4A">
        <w:trPr>
          <w:trHeight w:hRule="exact" w:val="90"/>
        </w:trPr>
        <w:tc>
          <w:tcPr>
            <w:tcW w:w="1282" w:type="dxa"/>
            <w:tcBorders>
              <w:top w:val="nil"/>
              <w:left w:val="nil"/>
              <w:bottom w:val="double" w:sz="6" w:space="2" w:color="auto"/>
              <w:right w:val="nil"/>
            </w:tcBorders>
            <w:vAlign w:val="bottom"/>
          </w:tcPr>
          <w:p w14:paraId="039FDEC7"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03" w:type="dxa"/>
            <w:tcBorders>
              <w:top w:val="nil"/>
              <w:left w:val="nil"/>
              <w:bottom w:val="double" w:sz="6" w:space="2" w:color="auto"/>
              <w:right w:val="nil"/>
            </w:tcBorders>
            <w:vAlign w:val="bottom"/>
          </w:tcPr>
          <w:p w14:paraId="27323C1B"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02" w:type="dxa"/>
            <w:tcBorders>
              <w:top w:val="nil"/>
              <w:left w:val="nil"/>
              <w:bottom w:val="double" w:sz="6" w:space="2" w:color="auto"/>
              <w:right w:val="nil"/>
            </w:tcBorders>
            <w:vAlign w:val="bottom"/>
          </w:tcPr>
          <w:p w14:paraId="4D389A0B"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998" w:type="dxa"/>
            <w:tcBorders>
              <w:top w:val="nil"/>
              <w:left w:val="nil"/>
              <w:bottom w:val="nil"/>
              <w:right w:val="nil"/>
            </w:tcBorders>
            <w:vAlign w:val="bottom"/>
          </w:tcPr>
          <w:p w14:paraId="0F7A87B8"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02" w:type="dxa"/>
            <w:tcBorders>
              <w:top w:val="nil"/>
              <w:left w:val="nil"/>
              <w:bottom w:val="nil"/>
              <w:right w:val="nil"/>
            </w:tcBorders>
            <w:vAlign w:val="bottom"/>
          </w:tcPr>
          <w:p w14:paraId="6AB54AA6"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998" w:type="dxa"/>
            <w:tcBorders>
              <w:top w:val="nil"/>
              <w:left w:val="nil"/>
              <w:bottom w:val="nil"/>
              <w:right w:val="nil"/>
            </w:tcBorders>
            <w:vAlign w:val="bottom"/>
          </w:tcPr>
          <w:p w14:paraId="47FDB3F9"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r>
      <w:tr w:rsidR="00D31621" w:rsidRPr="00B720C7" w14:paraId="7FF1E64E" w14:textId="77777777" w:rsidTr="00303B4A">
        <w:trPr>
          <w:trHeight w:hRule="exact" w:val="135"/>
        </w:trPr>
        <w:tc>
          <w:tcPr>
            <w:tcW w:w="1282" w:type="dxa"/>
            <w:tcBorders>
              <w:top w:val="nil"/>
              <w:left w:val="nil"/>
              <w:bottom w:val="nil"/>
              <w:right w:val="nil"/>
            </w:tcBorders>
            <w:vAlign w:val="bottom"/>
          </w:tcPr>
          <w:p w14:paraId="4C4E0028"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03" w:type="dxa"/>
            <w:tcBorders>
              <w:top w:val="nil"/>
              <w:left w:val="nil"/>
              <w:bottom w:val="nil"/>
              <w:right w:val="nil"/>
            </w:tcBorders>
            <w:vAlign w:val="bottom"/>
          </w:tcPr>
          <w:p w14:paraId="6768D0E0"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02" w:type="dxa"/>
            <w:tcBorders>
              <w:top w:val="nil"/>
              <w:left w:val="nil"/>
              <w:bottom w:val="nil"/>
              <w:right w:val="nil"/>
            </w:tcBorders>
            <w:vAlign w:val="bottom"/>
          </w:tcPr>
          <w:p w14:paraId="3B22131E"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998" w:type="dxa"/>
            <w:tcBorders>
              <w:top w:val="nil"/>
              <w:left w:val="nil"/>
              <w:bottom w:val="nil"/>
              <w:right w:val="nil"/>
            </w:tcBorders>
            <w:vAlign w:val="bottom"/>
          </w:tcPr>
          <w:p w14:paraId="25443566"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02" w:type="dxa"/>
            <w:tcBorders>
              <w:top w:val="nil"/>
              <w:left w:val="nil"/>
              <w:bottom w:val="nil"/>
              <w:right w:val="nil"/>
            </w:tcBorders>
            <w:vAlign w:val="bottom"/>
          </w:tcPr>
          <w:p w14:paraId="44C1592E"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998" w:type="dxa"/>
            <w:tcBorders>
              <w:top w:val="nil"/>
              <w:left w:val="nil"/>
              <w:bottom w:val="nil"/>
              <w:right w:val="nil"/>
            </w:tcBorders>
            <w:vAlign w:val="bottom"/>
          </w:tcPr>
          <w:p w14:paraId="48870C5B"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r>
      <w:tr w:rsidR="00D31621" w:rsidRPr="00B720C7" w14:paraId="0EB2F5CA" w14:textId="77777777" w:rsidTr="00303B4A">
        <w:trPr>
          <w:trHeight w:val="225"/>
        </w:trPr>
        <w:tc>
          <w:tcPr>
            <w:tcW w:w="1282" w:type="dxa"/>
            <w:tcBorders>
              <w:top w:val="nil"/>
              <w:left w:val="nil"/>
              <w:bottom w:val="nil"/>
              <w:right w:val="nil"/>
            </w:tcBorders>
            <w:vAlign w:val="bottom"/>
          </w:tcPr>
          <w:p w14:paraId="7E1D4A13"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 1369.709</w:t>
            </w:r>
          </w:p>
        </w:tc>
        <w:tc>
          <w:tcPr>
            <w:tcW w:w="1103" w:type="dxa"/>
            <w:tcBorders>
              <w:top w:val="nil"/>
              <w:left w:val="nil"/>
              <w:bottom w:val="nil"/>
              <w:right w:val="nil"/>
            </w:tcBorders>
            <w:vAlign w:val="bottom"/>
          </w:tcPr>
          <w:p w14:paraId="44AFB1F7"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sidRPr="00B720C7">
              <w:rPr>
                <w:rFonts w:ascii="Arial" w:hAnsi="Arial" w:cs="Arial"/>
                <w:color w:val="000000"/>
                <w:sz w:val="18"/>
                <w:szCs w:val="18"/>
              </w:rPr>
              <w:t>1224</w:t>
            </w:r>
          </w:p>
        </w:tc>
        <w:tc>
          <w:tcPr>
            <w:tcW w:w="1102" w:type="dxa"/>
            <w:tcBorders>
              <w:top w:val="nil"/>
              <w:left w:val="nil"/>
              <w:bottom w:val="nil"/>
              <w:right w:val="nil"/>
            </w:tcBorders>
            <w:vAlign w:val="bottom"/>
          </w:tcPr>
          <w:p w14:paraId="234B1C56"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 0.06</w:t>
            </w:r>
            <w:r w:rsidRPr="00B720C7">
              <w:rPr>
                <w:rFonts w:ascii="Arial" w:hAnsi="Arial" w:cs="Arial"/>
                <w:color w:val="000000"/>
                <w:sz w:val="18"/>
                <w:szCs w:val="18"/>
              </w:rPr>
              <w:t>22</w:t>
            </w:r>
          </w:p>
        </w:tc>
        <w:tc>
          <w:tcPr>
            <w:tcW w:w="998" w:type="dxa"/>
            <w:tcBorders>
              <w:top w:val="nil"/>
              <w:left w:val="nil"/>
              <w:bottom w:val="nil"/>
              <w:right w:val="nil"/>
            </w:tcBorders>
            <w:vAlign w:val="bottom"/>
          </w:tcPr>
          <w:p w14:paraId="138ACD49"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02" w:type="dxa"/>
            <w:tcBorders>
              <w:top w:val="nil"/>
              <w:left w:val="nil"/>
              <w:bottom w:val="nil"/>
              <w:right w:val="nil"/>
            </w:tcBorders>
            <w:vAlign w:val="bottom"/>
          </w:tcPr>
          <w:p w14:paraId="4EF22C48"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998" w:type="dxa"/>
            <w:tcBorders>
              <w:top w:val="nil"/>
              <w:left w:val="nil"/>
              <w:bottom w:val="nil"/>
              <w:right w:val="nil"/>
            </w:tcBorders>
            <w:vAlign w:val="bottom"/>
          </w:tcPr>
          <w:p w14:paraId="3B9999ED"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r>
      <w:tr w:rsidR="00D31621" w:rsidRPr="00B720C7" w14:paraId="4870E44B" w14:textId="77777777" w:rsidTr="00303B4A">
        <w:trPr>
          <w:trHeight w:hRule="exact" w:val="90"/>
        </w:trPr>
        <w:tc>
          <w:tcPr>
            <w:tcW w:w="1282" w:type="dxa"/>
            <w:tcBorders>
              <w:top w:val="nil"/>
              <w:left w:val="nil"/>
              <w:bottom w:val="double" w:sz="6" w:space="2" w:color="auto"/>
              <w:right w:val="nil"/>
            </w:tcBorders>
            <w:vAlign w:val="bottom"/>
          </w:tcPr>
          <w:p w14:paraId="028BEDF3"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03" w:type="dxa"/>
            <w:tcBorders>
              <w:top w:val="nil"/>
              <w:left w:val="nil"/>
              <w:bottom w:val="double" w:sz="6" w:space="2" w:color="auto"/>
              <w:right w:val="nil"/>
            </w:tcBorders>
            <w:vAlign w:val="bottom"/>
          </w:tcPr>
          <w:p w14:paraId="4D343328"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02" w:type="dxa"/>
            <w:tcBorders>
              <w:top w:val="nil"/>
              <w:left w:val="nil"/>
              <w:bottom w:val="double" w:sz="6" w:space="2" w:color="auto"/>
              <w:right w:val="nil"/>
            </w:tcBorders>
            <w:vAlign w:val="bottom"/>
          </w:tcPr>
          <w:p w14:paraId="669B61FE"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998" w:type="dxa"/>
            <w:tcBorders>
              <w:top w:val="nil"/>
              <w:left w:val="nil"/>
              <w:bottom w:val="nil"/>
              <w:right w:val="nil"/>
            </w:tcBorders>
            <w:vAlign w:val="bottom"/>
          </w:tcPr>
          <w:p w14:paraId="720B43A8"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02" w:type="dxa"/>
            <w:tcBorders>
              <w:top w:val="nil"/>
              <w:left w:val="nil"/>
              <w:bottom w:val="nil"/>
              <w:right w:val="nil"/>
            </w:tcBorders>
            <w:vAlign w:val="bottom"/>
          </w:tcPr>
          <w:p w14:paraId="352F83EF"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998" w:type="dxa"/>
            <w:tcBorders>
              <w:top w:val="nil"/>
              <w:left w:val="nil"/>
              <w:bottom w:val="nil"/>
              <w:right w:val="nil"/>
            </w:tcBorders>
            <w:vAlign w:val="bottom"/>
          </w:tcPr>
          <w:p w14:paraId="7AE5440F"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r>
      <w:tr w:rsidR="00D31621" w:rsidRPr="00B720C7" w14:paraId="1380BA55" w14:textId="77777777" w:rsidTr="00303B4A">
        <w:trPr>
          <w:trHeight w:hRule="exact" w:val="135"/>
        </w:trPr>
        <w:tc>
          <w:tcPr>
            <w:tcW w:w="1282" w:type="dxa"/>
            <w:tcBorders>
              <w:top w:val="nil"/>
              <w:left w:val="nil"/>
              <w:bottom w:val="nil"/>
              <w:right w:val="nil"/>
            </w:tcBorders>
            <w:vAlign w:val="bottom"/>
          </w:tcPr>
          <w:p w14:paraId="2DF2DA01"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03" w:type="dxa"/>
            <w:tcBorders>
              <w:top w:val="nil"/>
              <w:left w:val="nil"/>
              <w:bottom w:val="nil"/>
              <w:right w:val="nil"/>
            </w:tcBorders>
            <w:vAlign w:val="bottom"/>
          </w:tcPr>
          <w:p w14:paraId="58A21A26"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02" w:type="dxa"/>
            <w:tcBorders>
              <w:top w:val="nil"/>
              <w:left w:val="nil"/>
              <w:bottom w:val="nil"/>
              <w:right w:val="nil"/>
            </w:tcBorders>
            <w:vAlign w:val="bottom"/>
          </w:tcPr>
          <w:p w14:paraId="5DD21013"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998" w:type="dxa"/>
            <w:tcBorders>
              <w:top w:val="nil"/>
              <w:left w:val="nil"/>
              <w:bottom w:val="nil"/>
              <w:right w:val="nil"/>
            </w:tcBorders>
            <w:vAlign w:val="bottom"/>
          </w:tcPr>
          <w:p w14:paraId="5EBF94CC"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02" w:type="dxa"/>
            <w:tcBorders>
              <w:top w:val="nil"/>
              <w:left w:val="nil"/>
              <w:bottom w:val="nil"/>
              <w:right w:val="nil"/>
            </w:tcBorders>
            <w:vAlign w:val="bottom"/>
          </w:tcPr>
          <w:p w14:paraId="76BC4586"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998" w:type="dxa"/>
            <w:tcBorders>
              <w:top w:val="nil"/>
              <w:left w:val="nil"/>
              <w:bottom w:val="nil"/>
              <w:right w:val="nil"/>
            </w:tcBorders>
            <w:vAlign w:val="bottom"/>
          </w:tcPr>
          <w:p w14:paraId="2FC429B4"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r>
      <w:tr w:rsidR="00D31621" w:rsidRPr="00B720C7" w14:paraId="72906917" w14:textId="77777777" w:rsidTr="00303B4A">
        <w:trPr>
          <w:trHeight w:val="225"/>
        </w:trPr>
        <w:tc>
          <w:tcPr>
            <w:tcW w:w="1282" w:type="dxa"/>
            <w:tcBorders>
              <w:top w:val="nil"/>
              <w:left w:val="nil"/>
              <w:bottom w:val="nil"/>
              <w:right w:val="nil"/>
            </w:tcBorders>
            <w:vAlign w:val="bottom"/>
          </w:tcPr>
          <w:p w14:paraId="4C78FD7C"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03" w:type="dxa"/>
            <w:tcBorders>
              <w:top w:val="nil"/>
              <w:left w:val="nil"/>
              <w:bottom w:val="nil"/>
              <w:right w:val="nil"/>
            </w:tcBorders>
            <w:vAlign w:val="bottom"/>
          </w:tcPr>
          <w:p w14:paraId="58A15723"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02" w:type="dxa"/>
            <w:tcBorders>
              <w:top w:val="nil"/>
              <w:left w:val="nil"/>
              <w:bottom w:val="nil"/>
              <w:right w:val="nil"/>
            </w:tcBorders>
            <w:vAlign w:val="bottom"/>
          </w:tcPr>
          <w:p w14:paraId="4098B26E"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998" w:type="dxa"/>
            <w:tcBorders>
              <w:top w:val="nil"/>
              <w:left w:val="nil"/>
              <w:bottom w:val="nil"/>
              <w:right w:val="nil"/>
            </w:tcBorders>
            <w:vAlign w:val="bottom"/>
          </w:tcPr>
          <w:p w14:paraId="3D020233"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1102" w:type="dxa"/>
            <w:tcBorders>
              <w:top w:val="nil"/>
              <w:left w:val="nil"/>
              <w:bottom w:val="nil"/>
              <w:right w:val="nil"/>
            </w:tcBorders>
            <w:vAlign w:val="bottom"/>
          </w:tcPr>
          <w:p w14:paraId="111B2902"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c>
          <w:tcPr>
            <w:tcW w:w="998" w:type="dxa"/>
            <w:tcBorders>
              <w:top w:val="nil"/>
              <w:left w:val="nil"/>
              <w:bottom w:val="nil"/>
              <w:right w:val="nil"/>
            </w:tcBorders>
            <w:vAlign w:val="bottom"/>
          </w:tcPr>
          <w:p w14:paraId="5A00FA55" w14:textId="77777777" w:rsidR="00D31621" w:rsidRPr="00B720C7" w:rsidRDefault="00D31621" w:rsidP="00C45F51">
            <w:pPr>
              <w:autoSpaceDE w:val="0"/>
              <w:autoSpaceDN w:val="0"/>
              <w:adjustRightInd w:val="0"/>
              <w:spacing w:after="0" w:line="240" w:lineRule="auto"/>
              <w:rPr>
                <w:rFonts w:ascii="Arial" w:hAnsi="Arial" w:cs="Arial"/>
                <w:color w:val="000000"/>
                <w:sz w:val="18"/>
                <w:szCs w:val="18"/>
              </w:rPr>
            </w:pPr>
          </w:p>
        </w:tc>
      </w:tr>
    </w:tbl>
    <w:p w14:paraId="1F8128FF" w14:textId="77777777" w:rsidR="00706764" w:rsidRDefault="00706764" w:rsidP="00706764">
      <w:pPr>
        <w:spacing w:line="240" w:lineRule="auto"/>
        <w:rPr>
          <w:rFonts w:ascii="Times New Roman" w:hAnsi="Times New Roman"/>
          <w:sz w:val="24"/>
          <w:szCs w:val="24"/>
        </w:rPr>
        <w:sectPr w:rsidR="00706764" w:rsidSect="004267E7">
          <w:type w:val="continuous"/>
          <w:pgSz w:w="12240" w:h="15840"/>
          <w:pgMar w:top="1135" w:right="1440" w:bottom="1440" w:left="1440" w:header="720" w:footer="720" w:gutter="0"/>
          <w:cols w:space="720"/>
          <w:docGrid w:linePitch="360"/>
        </w:sectPr>
      </w:pPr>
    </w:p>
    <w:p w14:paraId="291C8BDF" w14:textId="77777777" w:rsidR="00D31621" w:rsidRDefault="00D31621" w:rsidP="00706764">
      <w:pPr>
        <w:spacing w:line="240" w:lineRule="auto"/>
        <w:rPr>
          <w:rFonts w:ascii="Times New Roman" w:hAnsi="Times New Roman"/>
          <w:sz w:val="24"/>
          <w:szCs w:val="24"/>
        </w:rPr>
      </w:pPr>
      <w:r w:rsidRPr="006922E5">
        <w:rPr>
          <w:rFonts w:ascii="Times New Roman" w:hAnsi="Times New Roman"/>
          <w:sz w:val="24"/>
          <w:szCs w:val="24"/>
        </w:rPr>
        <w:t>The joint test of the VEC residual hetero</w:t>
      </w:r>
      <w:r>
        <w:rPr>
          <w:rFonts w:ascii="Times New Roman" w:hAnsi="Times New Roman"/>
          <w:sz w:val="24"/>
          <w:szCs w:val="24"/>
        </w:rPr>
        <w:t>scedasticity test</w:t>
      </w:r>
      <w:r w:rsidRPr="006922E5">
        <w:rPr>
          <w:rFonts w:ascii="Times New Roman" w:hAnsi="Times New Roman"/>
          <w:sz w:val="24"/>
          <w:szCs w:val="24"/>
        </w:rPr>
        <w:t xml:space="preserve"> show that there are equal variances among</w:t>
      </w:r>
      <w:r>
        <w:rPr>
          <w:rFonts w:ascii="Times New Roman" w:hAnsi="Times New Roman"/>
          <w:sz w:val="24"/>
          <w:szCs w:val="24"/>
        </w:rPr>
        <w:t xml:space="preserve"> the residuals in the VAR model given that the probability value of the test statistic (Chi.sq) is greater than 0.05 which implied the acceptance of the null hypothesis of absence of heteroskedasticity.</w:t>
      </w:r>
    </w:p>
    <w:p w14:paraId="472EAEDF" w14:textId="1FBCC11F" w:rsidR="00D31621" w:rsidRPr="00706764" w:rsidRDefault="00D31621" w:rsidP="00706764">
      <w:pPr>
        <w:pStyle w:val="ListParagraph"/>
        <w:numPr>
          <w:ilvl w:val="0"/>
          <w:numId w:val="34"/>
        </w:numPr>
        <w:spacing w:line="240" w:lineRule="auto"/>
        <w:ind w:left="284"/>
        <w:rPr>
          <w:rFonts w:ascii="Times New Roman" w:hAnsi="Times New Roman"/>
          <w:b/>
          <w:sz w:val="24"/>
          <w:szCs w:val="24"/>
        </w:rPr>
      </w:pPr>
      <w:r w:rsidRPr="00706764">
        <w:rPr>
          <w:rFonts w:ascii="Times New Roman" w:hAnsi="Times New Roman"/>
          <w:b/>
          <w:sz w:val="24"/>
          <w:szCs w:val="24"/>
        </w:rPr>
        <w:t>Stability Test</w:t>
      </w:r>
    </w:p>
    <w:p w14:paraId="64F77814" w14:textId="542EF24A" w:rsidR="00D31621" w:rsidRDefault="00D31621" w:rsidP="00706764">
      <w:pPr>
        <w:spacing w:line="240" w:lineRule="auto"/>
        <w:rPr>
          <w:rFonts w:ascii="Times New Roman" w:hAnsi="Times New Roman"/>
          <w:sz w:val="24"/>
          <w:szCs w:val="24"/>
        </w:rPr>
      </w:pPr>
      <w:r>
        <w:rPr>
          <w:rFonts w:ascii="Times New Roman" w:hAnsi="Times New Roman"/>
          <w:sz w:val="24"/>
          <w:szCs w:val="24"/>
        </w:rPr>
        <w:t>The</w:t>
      </w:r>
      <w:r w:rsidRPr="00E34BA4">
        <w:rPr>
          <w:rFonts w:ascii="Times New Roman" w:hAnsi="Times New Roman"/>
          <w:sz w:val="24"/>
          <w:szCs w:val="24"/>
        </w:rPr>
        <w:t xml:space="preserve"> stability of the VAR model </w:t>
      </w:r>
      <w:r>
        <w:rPr>
          <w:rFonts w:ascii="Times New Roman" w:hAnsi="Times New Roman"/>
          <w:sz w:val="24"/>
          <w:szCs w:val="24"/>
        </w:rPr>
        <w:t xml:space="preserve">was investigated using </w:t>
      </w:r>
      <w:r w:rsidRPr="00E34BA4">
        <w:rPr>
          <w:rFonts w:ascii="Times New Roman" w:hAnsi="Times New Roman"/>
          <w:sz w:val="24"/>
          <w:szCs w:val="24"/>
        </w:rPr>
        <w:t>the inverse roots of AR charact</w:t>
      </w:r>
      <w:r>
        <w:rPr>
          <w:rFonts w:ascii="Times New Roman" w:hAnsi="Times New Roman"/>
          <w:sz w:val="24"/>
          <w:szCs w:val="24"/>
        </w:rPr>
        <w:t>eristic polynomial presented in figure 2</w:t>
      </w:r>
    </w:p>
    <w:p w14:paraId="390E7602" w14:textId="77777777" w:rsidR="00706764" w:rsidRDefault="00706764" w:rsidP="00C45F51">
      <w:pPr>
        <w:spacing w:after="0" w:line="240" w:lineRule="auto"/>
        <w:jc w:val="both"/>
        <w:rPr>
          <w:rFonts w:ascii="Times New Roman" w:hAnsi="Times New Roman"/>
          <w:sz w:val="24"/>
          <w:szCs w:val="24"/>
        </w:rPr>
        <w:sectPr w:rsidR="00706764" w:rsidSect="00706764">
          <w:type w:val="continuous"/>
          <w:pgSz w:w="12240" w:h="15840"/>
          <w:pgMar w:top="1135" w:right="1440" w:bottom="1440" w:left="1440" w:header="720" w:footer="720" w:gutter="0"/>
          <w:cols w:num="2" w:space="720"/>
          <w:docGrid w:linePitch="360"/>
        </w:sectPr>
      </w:pPr>
    </w:p>
    <w:p w14:paraId="04C673A8" w14:textId="77777777" w:rsidR="00D31621" w:rsidRPr="00215220" w:rsidRDefault="00D31621" w:rsidP="00C45F51">
      <w:pPr>
        <w:spacing w:after="0" w:line="240" w:lineRule="auto"/>
        <w:jc w:val="both"/>
        <w:rPr>
          <w:rFonts w:ascii="Times New Roman" w:hAnsi="Times New Roman"/>
          <w:sz w:val="24"/>
          <w:szCs w:val="24"/>
        </w:rPr>
      </w:pPr>
      <w:r>
        <w:rPr>
          <w:rFonts w:ascii="Times New Roman" w:hAnsi="Times New Roman"/>
          <w:sz w:val="24"/>
          <w:szCs w:val="24"/>
        </w:rPr>
        <w:tab/>
      </w:r>
      <w:r w:rsidRPr="00215220">
        <w:rPr>
          <w:rFonts w:ascii="Times New Roman" w:hAnsi="Times New Roman"/>
          <w:sz w:val="24"/>
          <w:szCs w:val="24"/>
        </w:rPr>
        <w:t>Figure 4.2:  Inverse Root of AR Characteristics Polynomial</w:t>
      </w:r>
    </w:p>
    <w:p w14:paraId="4C4FA615" w14:textId="3AE1F1D1" w:rsidR="00D31621" w:rsidRDefault="00D31621" w:rsidP="00C45F51">
      <w:pPr>
        <w:spacing w:after="0" w:line="240" w:lineRule="auto"/>
        <w:jc w:val="both"/>
      </w:pPr>
      <w:r>
        <w:t xml:space="preserve">                              </w:t>
      </w:r>
      <w:r w:rsidR="00706764">
        <w:object w:dxaOrig="4770" w:dyaOrig="5026" w14:anchorId="2472FE46">
          <v:shape id="_x0000_i2894" type="#_x0000_t75" style="width:324pt;height:150pt" o:ole="">
            <v:imagedata r:id="rId66" o:title=""/>
          </v:shape>
          <o:OLEObject Type="Embed" ProgID="Unknown" ShapeID="_x0000_i2894" DrawAspect="Content" ObjectID="_1817953537" r:id="rId67"/>
        </w:object>
      </w:r>
    </w:p>
    <w:p w14:paraId="341AB4D2" w14:textId="77777777" w:rsidR="007C0724" w:rsidRDefault="007C0724" w:rsidP="00C45F51">
      <w:pPr>
        <w:spacing w:after="0" w:line="240" w:lineRule="auto"/>
        <w:ind w:left="720" w:firstLine="720"/>
        <w:jc w:val="both"/>
        <w:rPr>
          <w:b/>
        </w:rPr>
      </w:pPr>
    </w:p>
    <w:p w14:paraId="26A35A5C" w14:textId="0E537E23" w:rsidR="00D31621" w:rsidRPr="00706764" w:rsidRDefault="00D31621" w:rsidP="00C45F51">
      <w:pPr>
        <w:spacing w:after="0" w:line="240" w:lineRule="auto"/>
        <w:ind w:left="720" w:firstLine="720"/>
        <w:jc w:val="both"/>
        <w:rPr>
          <w:rFonts w:ascii="Times New Roman" w:hAnsi="Times New Roman"/>
          <w:b/>
          <w:i/>
          <w:iCs/>
          <w:sz w:val="20"/>
          <w:szCs w:val="20"/>
        </w:rPr>
      </w:pPr>
      <w:r w:rsidRPr="00706764">
        <w:rPr>
          <w:rFonts w:ascii="Times New Roman" w:hAnsi="Times New Roman"/>
          <w:b/>
          <w:i/>
          <w:iCs/>
          <w:sz w:val="20"/>
          <w:szCs w:val="20"/>
        </w:rPr>
        <w:t>Source: Graphs Using E-view Statistical Package, Version 10</w:t>
      </w:r>
    </w:p>
    <w:p w14:paraId="51954F13" w14:textId="77777777" w:rsidR="007C0724" w:rsidRPr="00706764" w:rsidRDefault="007C0724" w:rsidP="00C45F51">
      <w:pPr>
        <w:spacing w:line="240" w:lineRule="auto"/>
        <w:jc w:val="both"/>
        <w:rPr>
          <w:rFonts w:ascii="Times New Roman" w:hAnsi="Times New Roman"/>
          <w:i/>
          <w:iCs/>
          <w:sz w:val="20"/>
          <w:szCs w:val="20"/>
        </w:rPr>
      </w:pPr>
    </w:p>
    <w:p w14:paraId="2ACDF50E" w14:textId="77777777" w:rsidR="00706764" w:rsidRDefault="00706764" w:rsidP="00706764">
      <w:pPr>
        <w:spacing w:line="240" w:lineRule="auto"/>
        <w:rPr>
          <w:rFonts w:ascii="Times New Roman" w:hAnsi="Times New Roman"/>
          <w:sz w:val="24"/>
          <w:szCs w:val="24"/>
        </w:rPr>
        <w:sectPr w:rsidR="00706764" w:rsidSect="004267E7">
          <w:type w:val="continuous"/>
          <w:pgSz w:w="12240" w:h="15840"/>
          <w:pgMar w:top="1135" w:right="1440" w:bottom="1440" w:left="1440" w:header="720" w:footer="720" w:gutter="0"/>
          <w:cols w:space="720"/>
          <w:docGrid w:linePitch="360"/>
        </w:sectPr>
      </w:pPr>
    </w:p>
    <w:p w14:paraId="63CE3005" w14:textId="4FD73685" w:rsidR="00D31621" w:rsidRDefault="00D31621" w:rsidP="00706764">
      <w:pPr>
        <w:spacing w:line="240" w:lineRule="auto"/>
        <w:rPr>
          <w:rFonts w:ascii="Times New Roman" w:hAnsi="Times New Roman"/>
          <w:sz w:val="24"/>
          <w:szCs w:val="24"/>
        </w:rPr>
      </w:pPr>
      <w:r w:rsidRPr="008E5E2C">
        <w:rPr>
          <w:rFonts w:ascii="Times New Roman" w:hAnsi="Times New Roman"/>
          <w:sz w:val="24"/>
          <w:szCs w:val="24"/>
        </w:rPr>
        <w:lastRenderedPageBreak/>
        <w:t>The result show</w:t>
      </w:r>
      <w:r w:rsidR="007C0724">
        <w:rPr>
          <w:rFonts w:ascii="Times New Roman" w:hAnsi="Times New Roman"/>
          <w:sz w:val="24"/>
          <w:szCs w:val="24"/>
        </w:rPr>
        <w:t>ed</w:t>
      </w:r>
      <w:r w:rsidRPr="008E5E2C">
        <w:rPr>
          <w:rFonts w:ascii="Times New Roman" w:hAnsi="Times New Roman"/>
          <w:sz w:val="24"/>
          <w:szCs w:val="24"/>
        </w:rPr>
        <w:t xml:space="preserve"> that the VAR is relatively stable since all dots are within the circle except one of it that is exactly on the circumference of the circle.</w:t>
      </w:r>
      <w:r>
        <w:rPr>
          <w:rFonts w:ascii="Times New Roman" w:hAnsi="Times New Roman"/>
          <w:sz w:val="24"/>
          <w:szCs w:val="24"/>
        </w:rPr>
        <w:t xml:space="preserve"> The reverse would be the case if the dots lie outside of the circled region.</w:t>
      </w:r>
      <w:r w:rsidR="007E7490">
        <w:rPr>
          <w:rFonts w:ascii="Times New Roman" w:hAnsi="Times New Roman"/>
          <w:sz w:val="24"/>
          <w:szCs w:val="24"/>
        </w:rPr>
        <w:t xml:space="preserve"> </w:t>
      </w:r>
      <w:r w:rsidRPr="00B14AF0">
        <w:rPr>
          <w:rFonts w:ascii="Times New Roman" w:hAnsi="Times New Roman"/>
          <w:sz w:val="24"/>
          <w:szCs w:val="24"/>
        </w:rPr>
        <w:t>Given that all the diagnostic</w:t>
      </w:r>
      <w:r>
        <w:rPr>
          <w:rFonts w:ascii="Times New Roman" w:hAnsi="Times New Roman"/>
          <w:sz w:val="24"/>
          <w:szCs w:val="24"/>
        </w:rPr>
        <w:t>s and stability</w:t>
      </w:r>
      <w:r w:rsidRPr="00B14AF0">
        <w:rPr>
          <w:rFonts w:ascii="Times New Roman" w:hAnsi="Times New Roman"/>
          <w:sz w:val="24"/>
          <w:szCs w:val="24"/>
        </w:rPr>
        <w:t xml:space="preserve"> tests validated the good performance of the specified VAR model, it </w:t>
      </w:r>
      <w:r>
        <w:rPr>
          <w:rFonts w:ascii="Times New Roman" w:hAnsi="Times New Roman"/>
          <w:sz w:val="24"/>
          <w:szCs w:val="24"/>
        </w:rPr>
        <w:t>can therefore be concluded that, inferences and policy decisions can be drawn from the results of the model.</w:t>
      </w:r>
    </w:p>
    <w:p w14:paraId="78151D49" w14:textId="1F6E1B73" w:rsidR="00D31621" w:rsidRPr="00603F51" w:rsidRDefault="00D31621" w:rsidP="00706764">
      <w:pPr>
        <w:pStyle w:val="NoSpacing"/>
        <w:numPr>
          <w:ilvl w:val="0"/>
          <w:numId w:val="34"/>
        </w:numPr>
        <w:ind w:left="284"/>
        <w:rPr>
          <w:rFonts w:ascii="Times New Roman" w:hAnsi="Times New Roman"/>
          <w:b/>
          <w:sz w:val="24"/>
          <w:szCs w:val="24"/>
        </w:rPr>
      </w:pPr>
      <w:r w:rsidRPr="00603F51">
        <w:rPr>
          <w:rFonts w:ascii="Times New Roman" w:hAnsi="Times New Roman"/>
          <w:b/>
          <w:sz w:val="24"/>
          <w:szCs w:val="24"/>
        </w:rPr>
        <w:t>Impulse Response Function</w:t>
      </w:r>
    </w:p>
    <w:p w14:paraId="5D1161D1" w14:textId="77F9BB43" w:rsidR="00D31621" w:rsidRPr="00215220" w:rsidRDefault="00D31621" w:rsidP="00706764">
      <w:pPr>
        <w:pStyle w:val="NoSpacing"/>
        <w:rPr>
          <w:rFonts w:ascii="Times New Roman" w:hAnsi="Times New Roman"/>
          <w:sz w:val="24"/>
          <w:szCs w:val="24"/>
        </w:rPr>
      </w:pPr>
      <w:r w:rsidRPr="00603F51">
        <w:rPr>
          <w:rFonts w:ascii="Times New Roman" w:hAnsi="Times New Roman"/>
          <w:sz w:val="24"/>
          <w:szCs w:val="24"/>
        </w:rPr>
        <w:t>Impulse response functions trace the effect of a shock emanating from an endogenous variable to</w:t>
      </w:r>
      <w:r>
        <w:rPr>
          <w:rFonts w:ascii="Times New Roman" w:hAnsi="Times New Roman"/>
          <w:sz w:val="24"/>
          <w:szCs w:val="24"/>
        </w:rPr>
        <w:t xml:space="preserve"> the </w:t>
      </w:r>
      <w:r w:rsidRPr="00603F51">
        <w:rPr>
          <w:rFonts w:ascii="Times New Roman" w:hAnsi="Times New Roman"/>
          <w:sz w:val="24"/>
          <w:szCs w:val="24"/>
        </w:rPr>
        <w:t xml:space="preserve">other variables in the VECM. It traces the responses of the system variables to one standard deviation shocks </w:t>
      </w:r>
      <w:r>
        <w:rPr>
          <w:rFonts w:ascii="Times New Roman" w:hAnsi="Times New Roman"/>
          <w:sz w:val="24"/>
          <w:szCs w:val="24"/>
        </w:rPr>
        <w:t xml:space="preserve">and </w:t>
      </w:r>
      <w:r w:rsidRPr="00603F51">
        <w:rPr>
          <w:rFonts w:ascii="Times New Roman" w:hAnsi="Times New Roman"/>
          <w:sz w:val="24"/>
          <w:szCs w:val="24"/>
        </w:rPr>
        <w:t>to the syst</w:t>
      </w:r>
      <w:r>
        <w:rPr>
          <w:rFonts w:ascii="Times New Roman" w:hAnsi="Times New Roman"/>
          <w:sz w:val="24"/>
          <w:szCs w:val="24"/>
        </w:rPr>
        <w:t xml:space="preserve">em innovations spanning over the </w:t>
      </w:r>
      <w:r w:rsidRPr="00603F51">
        <w:rPr>
          <w:rFonts w:ascii="Times New Roman" w:hAnsi="Times New Roman"/>
          <w:sz w:val="24"/>
          <w:szCs w:val="24"/>
        </w:rPr>
        <w:t xml:space="preserve">ten (10) quarters. The impulse response function for the model is analyzed </w:t>
      </w:r>
      <w:r>
        <w:rPr>
          <w:rFonts w:ascii="Times New Roman" w:hAnsi="Times New Roman"/>
          <w:sz w:val="24"/>
          <w:szCs w:val="24"/>
        </w:rPr>
        <w:t>in figure 3.</w:t>
      </w:r>
    </w:p>
    <w:p w14:paraId="3A3EE5EA" w14:textId="77777777" w:rsidR="00706764" w:rsidRDefault="00706764" w:rsidP="00C45F51">
      <w:pPr>
        <w:spacing w:after="0" w:line="240" w:lineRule="auto"/>
        <w:ind w:left="720"/>
        <w:jc w:val="both"/>
        <w:rPr>
          <w:rFonts w:ascii="Times New Roman" w:hAnsi="Times New Roman"/>
          <w:b/>
          <w:color w:val="000000"/>
          <w:sz w:val="14"/>
          <w:szCs w:val="24"/>
        </w:rPr>
        <w:sectPr w:rsidR="00706764" w:rsidSect="00706764">
          <w:type w:val="continuous"/>
          <w:pgSz w:w="12240" w:h="15840"/>
          <w:pgMar w:top="1135" w:right="1440" w:bottom="1440" w:left="1440" w:header="720" w:footer="720" w:gutter="0"/>
          <w:cols w:num="2" w:space="720"/>
          <w:docGrid w:linePitch="360"/>
        </w:sectPr>
      </w:pPr>
    </w:p>
    <w:p w14:paraId="53B3C101" w14:textId="3725733F" w:rsidR="00D31621" w:rsidRPr="00AD3068" w:rsidRDefault="00D31621" w:rsidP="00C45F51">
      <w:pPr>
        <w:spacing w:after="0" w:line="240" w:lineRule="auto"/>
        <w:ind w:left="720"/>
        <w:jc w:val="both"/>
        <w:rPr>
          <w:rFonts w:ascii="Times New Roman" w:hAnsi="Times New Roman"/>
          <w:b/>
          <w:color w:val="000000"/>
          <w:sz w:val="24"/>
          <w:szCs w:val="24"/>
        </w:rPr>
      </w:pPr>
      <w:r w:rsidRPr="00AD3068">
        <w:rPr>
          <w:rFonts w:ascii="Times New Roman" w:hAnsi="Times New Roman"/>
          <w:b/>
          <w:color w:val="000000"/>
          <w:sz w:val="24"/>
          <w:szCs w:val="24"/>
        </w:rPr>
        <w:t xml:space="preserve">Figure 3:  Impulse Response Function of Real GDP to shocks in M2/GDP, </w:t>
      </w:r>
    </w:p>
    <w:p w14:paraId="320033AF" w14:textId="77777777" w:rsidR="00D31621" w:rsidRPr="00AD3068" w:rsidRDefault="00D31621" w:rsidP="00C45F51">
      <w:pPr>
        <w:spacing w:after="0" w:line="240" w:lineRule="auto"/>
        <w:ind w:left="720"/>
        <w:jc w:val="both"/>
        <w:rPr>
          <w:rFonts w:ascii="Times New Roman" w:hAnsi="Times New Roman"/>
          <w:b/>
          <w:color w:val="000000"/>
          <w:sz w:val="24"/>
          <w:szCs w:val="24"/>
        </w:rPr>
      </w:pPr>
      <w:r w:rsidRPr="00AD3068">
        <w:rPr>
          <w:rFonts w:ascii="Times New Roman" w:hAnsi="Times New Roman"/>
          <w:b/>
          <w:color w:val="000000"/>
          <w:sz w:val="24"/>
          <w:szCs w:val="24"/>
        </w:rPr>
        <w:t xml:space="preserve">    </w:t>
      </w:r>
      <w:r>
        <w:rPr>
          <w:rFonts w:ascii="Times New Roman" w:hAnsi="Times New Roman"/>
          <w:b/>
          <w:color w:val="000000"/>
          <w:sz w:val="24"/>
          <w:szCs w:val="24"/>
        </w:rPr>
        <w:t>P/TDS, LDS, L</w:t>
      </w:r>
      <w:r w:rsidRPr="00AD3068">
        <w:rPr>
          <w:rFonts w:ascii="Times New Roman" w:hAnsi="Times New Roman"/>
          <w:b/>
          <w:color w:val="000000"/>
          <w:sz w:val="24"/>
          <w:szCs w:val="24"/>
        </w:rPr>
        <w:t>R, SMR, INF, EXR</w:t>
      </w:r>
    </w:p>
    <w:p w14:paraId="4CCB7EC4" w14:textId="77777777" w:rsidR="00D31621" w:rsidRDefault="00D31621" w:rsidP="00C45F51">
      <w:pPr>
        <w:pStyle w:val="NoSpacing"/>
        <w:jc w:val="both"/>
        <w:rPr>
          <w:rFonts w:ascii="Times New Roman" w:hAnsi="Times New Roman"/>
          <w:sz w:val="24"/>
          <w:szCs w:val="24"/>
        </w:rPr>
      </w:pPr>
    </w:p>
    <w:p w14:paraId="35CAF5E7" w14:textId="77777777" w:rsidR="00D31621" w:rsidRDefault="00D31621" w:rsidP="00C45F51">
      <w:pPr>
        <w:spacing w:line="240" w:lineRule="auto"/>
        <w:jc w:val="both"/>
      </w:pPr>
      <w:r>
        <w:tab/>
      </w:r>
      <w:r>
        <w:object w:dxaOrig="10170" w:dyaOrig="3945" w14:anchorId="6A9189EF">
          <v:shape id="_x0000_i2895" type="#_x0000_t75" style="width:426.75pt;height:252.75pt" o:ole="">
            <v:imagedata r:id="rId68" o:title=""/>
          </v:shape>
          <o:OLEObject Type="Embed" ProgID="Unknown" ShapeID="_x0000_i2895" DrawAspect="Content" ObjectID="_1817953538" r:id="rId69"/>
        </w:object>
      </w:r>
    </w:p>
    <w:p w14:paraId="46486A72" w14:textId="77777777" w:rsidR="00D31621" w:rsidRPr="00706764" w:rsidRDefault="00D31621" w:rsidP="00C45F51">
      <w:pPr>
        <w:spacing w:before="240" w:after="0" w:line="240" w:lineRule="auto"/>
        <w:ind w:left="720" w:firstLine="720"/>
        <w:jc w:val="both"/>
        <w:rPr>
          <w:rFonts w:ascii="Times New Roman" w:hAnsi="Times New Roman"/>
          <w:bCs/>
          <w:noProof/>
          <w:sz w:val="20"/>
          <w:szCs w:val="20"/>
        </w:rPr>
      </w:pPr>
      <w:r>
        <w:rPr>
          <w:rFonts w:ascii="Times New Roman" w:hAnsi="Times New Roman"/>
          <w:color w:val="000000"/>
          <w:sz w:val="24"/>
          <w:szCs w:val="24"/>
        </w:rPr>
        <w:t xml:space="preserve"> </w:t>
      </w:r>
      <w:r w:rsidRPr="00706764">
        <w:rPr>
          <w:rFonts w:ascii="Times New Roman" w:hAnsi="Times New Roman"/>
          <w:b/>
          <w:sz w:val="20"/>
          <w:szCs w:val="20"/>
        </w:rPr>
        <w:t xml:space="preserve">Source: </w:t>
      </w:r>
      <w:r w:rsidRPr="00706764">
        <w:rPr>
          <w:rFonts w:ascii="Times New Roman" w:hAnsi="Times New Roman"/>
          <w:sz w:val="20"/>
          <w:szCs w:val="20"/>
        </w:rPr>
        <w:t>Graphs Using E-view Statistical Package, Version 10</w:t>
      </w:r>
    </w:p>
    <w:p w14:paraId="632874D9" w14:textId="77777777" w:rsidR="00D31621" w:rsidRPr="00190544" w:rsidRDefault="00D31621" w:rsidP="00C45F51">
      <w:pPr>
        <w:spacing w:after="0" w:line="240" w:lineRule="auto"/>
        <w:ind w:left="720"/>
        <w:jc w:val="both"/>
        <w:rPr>
          <w:rFonts w:ascii="Times New Roman" w:hAnsi="Times New Roman"/>
          <w:color w:val="000000"/>
          <w:sz w:val="8"/>
          <w:szCs w:val="24"/>
        </w:rPr>
      </w:pPr>
    </w:p>
    <w:p w14:paraId="7AA5BE29" w14:textId="77777777" w:rsidR="00706764" w:rsidRDefault="00706764" w:rsidP="00C45F51">
      <w:pPr>
        <w:autoSpaceDE w:val="0"/>
        <w:autoSpaceDN w:val="0"/>
        <w:adjustRightInd w:val="0"/>
        <w:spacing w:after="0" w:line="240" w:lineRule="auto"/>
        <w:jc w:val="both"/>
        <w:rPr>
          <w:rFonts w:ascii="Times New Roman" w:hAnsi="Times New Roman"/>
          <w:sz w:val="24"/>
          <w:szCs w:val="24"/>
        </w:rPr>
        <w:sectPr w:rsidR="00706764" w:rsidSect="004267E7">
          <w:type w:val="continuous"/>
          <w:pgSz w:w="12240" w:h="15840"/>
          <w:pgMar w:top="1135" w:right="1440" w:bottom="1440" w:left="1440" w:header="720" w:footer="720" w:gutter="0"/>
          <w:cols w:space="720"/>
          <w:docGrid w:linePitch="360"/>
        </w:sectPr>
      </w:pPr>
    </w:p>
    <w:p w14:paraId="22179614" w14:textId="323C033B" w:rsidR="00D31621" w:rsidRDefault="00D31621" w:rsidP="00C45F51">
      <w:pPr>
        <w:autoSpaceDE w:val="0"/>
        <w:autoSpaceDN w:val="0"/>
        <w:adjustRightInd w:val="0"/>
        <w:spacing w:after="0" w:line="240" w:lineRule="auto"/>
        <w:jc w:val="both"/>
        <w:rPr>
          <w:rFonts w:ascii="Times New Roman" w:hAnsi="Times New Roman"/>
          <w:sz w:val="24"/>
          <w:szCs w:val="24"/>
        </w:rPr>
      </w:pPr>
      <w:r w:rsidRPr="00034307">
        <w:rPr>
          <w:rFonts w:ascii="Times New Roman" w:hAnsi="Times New Roman"/>
          <w:sz w:val="24"/>
          <w:szCs w:val="24"/>
        </w:rPr>
        <w:t xml:space="preserve">The result </w:t>
      </w:r>
      <w:r>
        <w:rPr>
          <w:rFonts w:ascii="Times New Roman" w:hAnsi="Times New Roman"/>
          <w:sz w:val="24"/>
          <w:szCs w:val="24"/>
        </w:rPr>
        <w:t xml:space="preserve">of the impulse response function in Appendix 25 </w:t>
      </w:r>
      <w:r w:rsidRPr="00034307">
        <w:rPr>
          <w:rFonts w:ascii="Times New Roman" w:hAnsi="Times New Roman"/>
          <w:sz w:val="24"/>
          <w:szCs w:val="24"/>
        </w:rPr>
        <w:t>shows that each variable responds significantly to its own shock</w:t>
      </w:r>
      <w:r>
        <w:rPr>
          <w:rFonts w:ascii="Times New Roman" w:hAnsi="Times New Roman"/>
          <w:sz w:val="24"/>
          <w:szCs w:val="24"/>
        </w:rPr>
        <w:t>s</w:t>
      </w:r>
      <w:r w:rsidRPr="00034307">
        <w:rPr>
          <w:rFonts w:ascii="Times New Roman" w:hAnsi="Times New Roman"/>
          <w:sz w:val="24"/>
          <w:szCs w:val="24"/>
        </w:rPr>
        <w:t xml:space="preserve">. </w:t>
      </w:r>
      <w:r>
        <w:rPr>
          <w:rFonts w:ascii="Times New Roman" w:hAnsi="Times New Roman"/>
          <w:sz w:val="24"/>
          <w:szCs w:val="24"/>
        </w:rPr>
        <w:t>However, Figure.3 represents the response to real GDP to its own shocks and shocks in the independent variables. The figure reveals that RGDP respond</w:t>
      </w:r>
      <w:r w:rsidR="007C0724">
        <w:rPr>
          <w:rFonts w:ascii="Times New Roman" w:hAnsi="Times New Roman"/>
          <w:sz w:val="24"/>
          <w:szCs w:val="24"/>
        </w:rPr>
        <w:t>ed</w:t>
      </w:r>
      <w:r>
        <w:rPr>
          <w:rFonts w:ascii="Times New Roman" w:hAnsi="Times New Roman"/>
          <w:sz w:val="24"/>
          <w:szCs w:val="24"/>
        </w:rPr>
        <w:t xml:space="preserve"> positively to its own shocks all through the ten quarters. Similarly, RGDP respond</w:t>
      </w:r>
      <w:r w:rsidR="007C0724">
        <w:rPr>
          <w:rFonts w:ascii="Times New Roman" w:hAnsi="Times New Roman"/>
          <w:sz w:val="24"/>
          <w:szCs w:val="24"/>
        </w:rPr>
        <w:t>ed</w:t>
      </w:r>
      <w:r>
        <w:rPr>
          <w:rFonts w:ascii="Times New Roman" w:hAnsi="Times New Roman"/>
          <w:sz w:val="24"/>
          <w:szCs w:val="24"/>
        </w:rPr>
        <w:t xml:space="preserve"> positively to shocks in M2/GDP (financial depth), LDS (financial efficiency) and inflation all through the ten quarters but less than the </w:t>
      </w:r>
      <w:r>
        <w:rPr>
          <w:rFonts w:ascii="Times New Roman" w:hAnsi="Times New Roman"/>
          <w:sz w:val="24"/>
          <w:szCs w:val="24"/>
        </w:rPr>
        <w:t>response to own shocks. On the other hand, RGDP respond</w:t>
      </w:r>
      <w:r w:rsidR="007C0724">
        <w:rPr>
          <w:rFonts w:ascii="Times New Roman" w:hAnsi="Times New Roman"/>
          <w:sz w:val="24"/>
          <w:szCs w:val="24"/>
        </w:rPr>
        <w:t>ed</w:t>
      </w:r>
      <w:r>
        <w:rPr>
          <w:rFonts w:ascii="Times New Roman" w:hAnsi="Times New Roman"/>
          <w:sz w:val="24"/>
          <w:szCs w:val="24"/>
        </w:rPr>
        <w:t xml:space="preserve"> negatively to shocks in LR (financial stability) and EXR (exchange rate) starting from the first quarter in the LR and second quarter in the EXR. Also, the positive response of RGDP to shocks in P/TDS (financial access) was marginal up till the seventh quarter where the response became negative through to the tenth quarter. Similarly, the response of RGDP to shocks in SMR (stock market returns) was very marginal, showing no significant </w:t>
      </w:r>
      <w:r>
        <w:rPr>
          <w:rFonts w:ascii="Times New Roman" w:hAnsi="Times New Roman"/>
          <w:sz w:val="24"/>
          <w:szCs w:val="24"/>
        </w:rPr>
        <w:lastRenderedPageBreak/>
        <w:t xml:space="preserve">change all through the tenth quarters. This result conforms to the short run result in table </w:t>
      </w:r>
      <w:r w:rsidR="007C0724">
        <w:rPr>
          <w:rFonts w:ascii="Times New Roman" w:hAnsi="Times New Roman"/>
          <w:sz w:val="24"/>
          <w:szCs w:val="24"/>
        </w:rPr>
        <w:t>13</w:t>
      </w:r>
      <w:r>
        <w:rPr>
          <w:rFonts w:ascii="Times New Roman" w:hAnsi="Times New Roman"/>
          <w:sz w:val="24"/>
          <w:szCs w:val="24"/>
        </w:rPr>
        <w:t xml:space="preserve">. </w:t>
      </w:r>
    </w:p>
    <w:p w14:paraId="4354ACC6" w14:textId="77777777" w:rsidR="00706764" w:rsidRDefault="00706764" w:rsidP="00C45F51">
      <w:pPr>
        <w:autoSpaceDE w:val="0"/>
        <w:autoSpaceDN w:val="0"/>
        <w:adjustRightInd w:val="0"/>
        <w:spacing w:after="0" w:line="240" w:lineRule="auto"/>
        <w:jc w:val="both"/>
        <w:rPr>
          <w:rFonts w:ascii="Times New Roman" w:hAnsi="Times New Roman"/>
          <w:sz w:val="24"/>
          <w:szCs w:val="24"/>
        </w:rPr>
      </w:pPr>
    </w:p>
    <w:p w14:paraId="7DE550A8" w14:textId="77777777" w:rsidR="00630E6C" w:rsidRPr="00630E6C" w:rsidRDefault="00630E6C" w:rsidP="00C45F51">
      <w:pPr>
        <w:spacing w:after="0" w:line="240" w:lineRule="auto"/>
        <w:ind w:firstLine="720"/>
        <w:jc w:val="both"/>
        <w:rPr>
          <w:rFonts w:ascii="Times New Roman" w:hAnsi="Times New Roman"/>
          <w:b/>
          <w:sz w:val="12"/>
          <w:szCs w:val="24"/>
        </w:rPr>
      </w:pPr>
    </w:p>
    <w:p w14:paraId="78B24D79" w14:textId="28CE108B" w:rsidR="00D31621" w:rsidRPr="00706764" w:rsidRDefault="00D31621" w:rsidP="0096704A">
      <w:pPr>
        <w:pStyle w:val="ListParagraph"/>
        <w:numPr>
          <w:ilvl w:val="0"/>
          <w:numId w:val="34"/>
        </w:numPr>
        <w:autoSpaceDE w:val="0"/>
        <w:autoSpaceDN w:val="0"/>
        <w:adjustRightInd w:val="0"/>
        <w:spacing w:after="0" w:line="240" w:lineRule="auto"/>
        <w:ind w:left="426"/>
        <w:jc w:val="both"/>
        <w:rPr>
          <w:rFonts w:ascii="Times New Roman" w:hAnsi="Times New Roman"/>
          <w:sz w:val="24"/>
          <w:szCs w:val="24"/>
          <w:lang w:val="en-ZA"/>
        </w:rPr>
      </w:pPr>
      <w:r w:rsidRPr="00706764">
        <w:rPr>
          <w:rFonts w:ascii="Times New Roman" w:hAnsi="Times New Roman"/>
          <w:b/>
          <w:sz w:val="24"/>
          <w:szCs w:val="24"/>
        </w:rPr>
        <w:t>Granger Causality Test</w:t>
      </w:r>
      <w:r w:rsidRPr="00706764">
        <w:rPr>
          <w:rFonts w:ascii="Times New Roman" w:hAnsi="Times New Roman"/>
          <w:sz w:val="24"/>
          <w:szCs w:val="24"/>
          <w:lang w:val="en-ZA"/>
        </w:rPr>
        <w:t xml:space="preserve">In order to achieve the five objectives of the study, the Pairwise Granger Causality test was conducted and the result is presented in Table </w:t>
      </w:r>
      <w:r w:rsidR="007C0724" w:rsidRPr="00706764">
        <w:rPr>
          <w:rFonts w:ascii="Times New Roman" w:hAnsi="Times New Roman"/>
          <w:sz w:val="24"/>
          <w:szCs w:val="24"/>
          <w:lang w:val="en-ZA"/>
        </w:rPr>
        <w:t>16</w:t>
      </w:r>
      <w:r w:rsidRPr="00706764">
        <w:rPr>
          <w:rFonts w:ascii="Times New Roman" w:hAnsi="Times New Roman"/>
          <w:sz w:val="24"/>
          <w:szCs w:val="24"/>
          <w:lang w:val="en-ZA"/>
        </w:rPr>
        <w:t>.</w:t>
      </w:r>
    </w:p>
    <w:p w14:paraId="437D1FDC" w14:textId="77777777" w:rsidR="00706764" w:rsidRDefault="00706764" w:rsidP="00C45F51">
      <w:pPr>
        <w:autoSpaceDE w:val="0"/>
        <w:autoSpaceDN w:val="0"/>
        <w:adjustRightInd w:val="0"/>
        <w:spacing w:after="0" w:line="240" w:lineRule="auto"/>
        <w:jc w:val="both"/>
        <w:rPr>
          <w:rFonts w:ascii="Arial" w:hAnsi="Arial" w:cs="Arial"/>
          <w:sz w:val="12"/>
          <w:szCs w:val="18"/>
        </w:rPr>
        <w:sectPr w:rsidR="00706764" w:rsidSect="00706764">
          <w:type w:val="continuous"/>
          <w:pgSz w:w="12240" w:h="15840"/>
          <w:pgMar w:top="1135" w:right="1440" w:bottom="1440" w:left="1440" w:header="720" w:footer="720" w:gutter="0"/>
          <w:cols w:num="2" w:space="720"/>
          <w:docGrid w:linePitch="360"/>
        </w:sectPr>
      </w:pPr>
    </w:p>
    <w:p w14:paraId="6B5315B0" w14:textId="77777777" w:rsidR="00D31621" w:rsidRPr="00630E6C" w:rsidRDefault="00D31621" w:rsidP="00C45F51">
      <w:pPr>
        <w:autoSpaceDE w:val="0"/>
        <w:autoSpaceDN w:val="0"/>
        <w:adjustRightInd w:val="0"/>
        <w:spacing w:after="0" w:line="240" w:lineRule="auto"/>
        <w:jc w:val="both"/>
        <w:rPr>
          <w:rFonts w:ascii="Arial" w:hAnsi="Arial" w:cs="Arial"/>
          <w:sz w:val="12"/>
          <w:szCs w:val="18"/>
        </w:rPr>
      </w:pPr>
    </w:p>
    <w:p w14:paraId="6D73EF28" w14:textId="11778807" w:rsidR="00D31621" w:rsidRDefault="00D31621" w:rsidP="00C45F51">
      <w:pPr>
        <w:spacing w:after="0" w:line="240" w:lineRule="auto"/>
        <w:jc w:val="both"/>
        <w:rPr>
          <w:rFonts w:ascii="Times New Roman" w:hAnsi="Times New Roman"/>
          <w:sz w:val="24"/>
          <w:szCs w:val="24"/>
        </w:rPr>
      </w:pPr>
      <w:r>
        <w:rPr>
          <w:rFonts w:ascii="Times New Roman" w:hAnsi="Times New Roman"/>
          <w:b/>
          <w:color w:val="000000"/>
          <w:sz w:val="24"/>
          <w:szCs w:val="24"/>
        </w:rPr>
        <w:t xml:space="preserve">        Table </w:t>
      </w:r>
      <w:r w:rsidR="007C0724">
        <w:rPr>
          <w:rFonts w:ascii="Times New Roman" w:hAnsi="Times New Roman"/>
          <w:b/>
          <w:color w:val="000000"/>
          <w:sz w:val="24"/>
          <w:szCs w:val="24"/>
        </w:rPr>
        <w:t>16</w:t>
      </w:r>
      <w:r w:rsidRPr="00652D57">
        <w:rPr>
          <w:rFonts w:ascii="Times New Roman" w:hAnsi="Times New Roman"/>
          <w:b/>
          <w:color w:val="000000"/>
          <w:sz w:val="24"/>
          <w:szCs w:val="24"/>
        </w:rPr>
        <w:t xml:space="preserve">: </w:t>
      </w:r>
      <w:r w:rsidRPr="007D059C">
        <w:rPr>
          <w:rFonts w:ascii="Times New Roman" w:hAnsi="Times New Roman"/>
          <w:b/>
          <w:color w:val="000000"/>
          <w:sz w:val="24"/>
          <w:szCs w:val="24"/>
        </w:rPr>
        <w:t>Pairwise Granger Causality Tests</w:t>
      </w:r>
    </w:p>
    <w:tbl>
      <w:tblPr>
        <w:tblW w:w="9010" w:type="dxa"/>
        <w:tblInd w:w="5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33"/>
        <w:gridCol w:w="887"/>
        <w:gridCol w:w="1315"/>
        <w:gridCol w:w="1015"/>
        <w:gridCol w:w="1727"/>
        <w:gridCol w:w="2333"/>
      </w:tblGrid>
      <w:tr w:rsidR="00D31621" w:rsidRPr="00266D19" w14:paraId="5B9746F3" w14:textId="77777777" w:rsidTr="00303B4A">
        <w:trPr>
          <w:trHeight w:val="600"/>
        </w:trPr>
        <w:tc>
          <w:tcPr>
            <w:tcW w:w="1733" w:type="dxa"/>
            <w:tcBorders>
              <w:top w:val="single" w:sz="4" w:space="0" w:color="auto"/>
              <w:left w:val="nil"/>
              <w:bottom w:val="single" w:sz="4" w:space="0" w:color="auto"/>
            </w:tcBorders>
          </w:tcPr>
          <w:p w14:paraId="13AAB2DE" w14:textId="77777777" w:rsidR="00D31621" w:rsidRPr="00266D19" w:rsidRDefault="00D31621" w:rsidP="00C45F51">
            <w:pPr>
              <w:spacing w:after="0" w:line="240" w:lineRule="auto"/>
              <w:rPr>
                <w:rFonts w:ascii="Times New Roman" w:hAnsi="Times New Roman"/>
                <w:b/>
                <w:sz w:val="24"/>
                <w:szCs w:val="24"/>
              </w:rPr>
            </w:pPr>
            <w:r w:rsidRPr="00266D19">
              <w:rPr>
                <w:rFonts w:ascii="Times New Roman" w:hAnsi="Times New Roman"/>
                <w:b/>
                <w:sz w:val="24"/>
                <w:szCs w:val="24"/>
              </w:rPr>
              <w:t>Pairwise Hypothesis</w:t>
            </w:r>
          </w:p>
        </w:tc>
        <w:tc>
          <w:tcPr>
            <w:tcW w:w="887" w:type="dxa"/>
            <w:tcBorders>
              <w:top w:val="single" w:sz="4" w:space="0" w:color="auto"/>
              <w:bottom w:val="single" w:sz="4" w:space="0" w:color="auto"/>
            </w:tcBorders>
          </w:tcPr>
          <w:p w14:paraId="169CA054" w14:textId="77777777" w:rsidR="00D31621" w:rsidRPr="00266D19" w:rsidRDefault="00D31621" w:rsidP="00C45F51">
            <w:pPr>
              <w:spacing w:after="0" w:line="240" w:lineRule="auto"/>
              <w:rPr>
                <w:rFonts w:ascii="Times New Roman" w:hAnsi="Times New Roman"/>
                <w:b/>
                <w:sz w:val="24"/>
                <w:szCs w:val="24"/>
              </w:rPr>
            </w:pPr>
            <w:r w:rsidRPr="00266D19">
              <w:rPr>
                <w:rFonts w:ascii="Times New Roman" w:hAnsi="Times New Roman"/>
                <w:b/>
                <w:sz w:val="24"/>
                <w:szCs w:val="24"/>
              </w:rPr>
              <w:t>Obs</w:t>
            </w:r>
          </w:p>
        </w:tc>
        <w:tc>
          <w:tcPr>
            <w:tcW w:w="1315" w:type="dxa"/>
            <w:tcBorders>
              <w:top w:val="single" w:sz="4" w:space="0" w:color="auto"/>
              <w:bottom w:val="single" w:sz="4" w:space="0" w:color="auto"/>
            </w:tcBorders>
          </w:tcPr>
          <w:p w14:paraId="11BF7A67" w14:textId="77777777" w:rsidR="00D31621" w:rsidRPr="00266D19" w:rsidRDefault="00D31621" w:rsidP="00C45F51">
            <w:pPr>
              <w:spacing w:after="0" w:line="240" w:lineRule="auto"/>
              <w:rPr>
                <w:rFonts w:ascii="Times New Roman" w:hAnsi="Times New Roman"/>
                <w:b/>
                <w:sz w:val="24"/>
                <w:szCs w:val="24"/>
              </w:rPr>
            </w:pPr>
            <w:r w:rsidRPr="00266D19">
              <w:rPr>
                <w:rFonts w:ascii="Times New Roman" w:hAnsi="Times New Roman"/>
                <w:b/>
                <w:sz w:val="24"/>
                <w:szCs w:val="24"/>
              </w:rPr>
              <w:t>F-statistics</w:t>
            </w:r>
          </w:p>
        </w:tc>
        <w:tc>
          <w:tcPr>
            <w:tcW w:w="1015" w:type="dxa"/>
            <w:tcBorders>
              <w:top w:val="single" w:sz="4" w:space="0" w:color="auto"/>
              <w:bottom w:val="single" w:sz="4" w:space="0" w:color="auto"/>
            </w:tcBorders>
          </w:tcPr>
          <w:p w14:paraId="79C78A9F" w14:textId="77777777" w:rsidR="00D31621" w:rsidRPr="00266D19" w:rsidRDefault="00D31621" w:rsidP="00C45F51">
            <w:pPr>
              <w:spacing w:after="0" w:line="240" w:lineRule="auto"/>
              <w:rPr>
                <w:rFonts w:ascii="Times New Roman" w:hAnsi="Times New Roman"/>
                <w:b/>
                <w:sz w:val="24"/>
                <w:szCs w:val="24"/>
              </w:rPr>
            </w:pPr>
            <w:r w:rsidRPr="00266D19">
              <w:rPr>
                <w:rFonts w:ascii="Times New Roman" w:hAnsi="Times New Roman"/>
                <w:b/>
                <w:sz w:val="24"/>
                <w:szCs w:val="24"/>
              </w:rPr>
              <w:t>P-Value</w:t>
            </w:r>
          </w:p>
        </w:tc>
        <w:tc>
          <w:tcPr>
            <w:tcW w:w="1727" w:type="dxa"/>
            <w:tcBorders>
              <w:top w:val="single" w:sz="4" w:space="0" w:color="auto"/>
              <w:bottom w:val="single" w:sz="4" w:space="0" w:color="auto"/>
            </w:tcBorders>
          </w:tcPr>
          <w:p w14:paraId="771DE15B" w14:textId="77777777" w:rsidR="00D31621" w:rsidRPr="00266D19" w:rsidRDefault="00D31621" w:rsidP="00C45F51">
            <w:pPr>
              <w:spacing w:after="0" w:line="240" w:lineRule="auto"/>
              <w:rPr>
                <w:rFonts w:ascii="Times New Roman" w:hAnsi="Times New Roman"/>
                <w:b/>
                <w:sz w:val="24"/>
                <w:szCs w:val="24"/>
              </w:rPr>
            </w:pPr>
            <w:r w:rsidRPr="00266D19">
              <w:rPr>
                <w:rFonts w:ascii="Times New Roman" w:hAnsi="Times New Roman"/>
                <w:b/>
                <w:sz w:val="24"/>
                <w:szCs w:val="24"/>
              </w:rPr>
              <w:t>Decision</w:t>
            </w:r>
          </w:p>
        </w:tc>
        <w:tc>
          <w:tcPr>
            <w:tcW w:w="2333" w:type="dxa"/>
            <w:tcBorders>
              <w:top w:val="single" w:sz="4" w:space="0" w:color="auto"/>
              <w:bottom w:val="single" w:sz="4" w:space="0" w:color="auto"/>
              <w:right w:val="nil"/>
            </w:tcBorders>
          </w:tcPr>
          <w:p w14:paraId="505B59F7" w14:textId="77777777" w:rsidR="00D31621" w:rsidRPr="00266D19" w:rsidRDefault="00D31621" w:rsidP="00C45F51">
            <w:pPr>
              <w:spacing w:after="0" w:line="240" w:lineRule="auto"/>
              <w:rPr>
                <w:rFonts w:ascii="Times New Roman" w:hAnsi="Times New Roman"/>
                <w:b/>
                <w:sz w:val="24"/>
                <w:szCs w:val="24"/>
              </w:rPr>
            </w:pPr>
            <w:r w:rsidRPr="00266D19">
              <w:rPr>
                <w:rFonts w:ascii="Times New Roman" w:hAnsi="Times New Roman"/>
                <w:b/>
                <w:sz w:val="24"/>
                <w:szCs w:val="24"/>
              </w:rPr>
              <w:t>Type of Causality</w:t>
            </w:r>
          </w:p>
        </w:tc>
      </w:tr>
      <w:tr w:rsidR="00D31621" w:rsidRPr="00266D19" w14:paraId="4042EB41" w14:textId="77777777" w:rsidTr="00303B4A">
        <w:trPr>
          <w:trHeight w:val="384"/>
        </w:trPr>
        <w:tc>
          <w:tcPr>
            <w:tcW w:w="1733" w:type="dxa"/>
            <w:tcBorders>
              <w:left w:val="nil"/>
              <w:bottom w:val="nil"/>
            </w:tcBorders>
          </w:tcPr>
          <w:p w14:paraId="5589B989"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M</w:t>
            </w:r>
            <w:r w:rsidRPr="00A31355">
              <w:rPr>
                <w:rFonts w:ascii="Times New Roman" w:hAnsi="Times New Roman"/>
                <w:sz w:val="18"/>
                <w:szCs w:val="18"/>
                <w:vertAlign w:val="subscript"/>
              </w:rPr>
              <w:t>2</w:t>
            </w:r>
            <w:r w:rsidRPr="00A31355">
              <w:rPr>
                <w:rFonts w:ascii="Times New Roman" w:hAnsi="Times New Roman"/>
                <w:sz w:val="18"/>
                <w:szCs w:val="18"/>
              </w:rPr>
              <w:t>/GDP</w:t>
            </w:r>
            <w:r w:rsidRPr="00A31355">
              <w:rPr>
                <w:rFonts w:ascii="Cambria Math" w:hAnsi="Cambria Math" w:cs="Cambria Math"/>
                <w:sz w:val="18"/>
                <w:szCs w:val="18"/>
              </w:rPr>
              <w:t>↗</w:t>
            </w:r>
            <w:r w:rsidRPr="00A31355">
              <w:rPr>
                <w:rFonts w:ascii="Times New Roman" w:hAnsi="Times New Roman"/>
                <w:sz w:val="18"/>
                <w:szCs w:val="18"/>
              </w:rPr>
              <w:t>RGDP</w:t>
            </w:r>
          </w:p>
        </w:tc>
        <w:tc>
          <w:tcPr>
            <w:tcW w:w="887" w:type="dxa"/>
            <w:tcBorders>
              <w:bottom w:val="nil"/>
            </w:tcBorders>
          </w:tcPr>
          <w:p w14:paraId="1F9F8DC5"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126</w:t>
            </w:r>
          </w:p>
        </w:tc>
        <w:tc>
          <w:tcPr>
            <w:tcW w:w="1315" w:type="dxa"/>
            <w:tcBorders>
              <w:bottom w:val="nil"/>
            </w:tcBorders>
          </w:tcPr>
          <w:p w14:paraId="470E7F9B"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color w:val="000000"/>
                <w:sz w:val="18"/>
                <w:szCs w:val="18"/>
              </w:rPr>
              <w:t>3.57718</w:t>
            </w:r>
          </w:p>
        </w:tc>
        <w:tc>
          <w:tcPr>
            <w:tcW w:w="1015" w:type="dxa"/>
            <w:tcBorders>
              <w:bottom w:val="nil"/>
            </w:tcBorders>
            <w:vAlign w:val="bottom"/>
          </w:tcPr>
          <w:p w14:paraId="12422A43" w14:textId="77777777" w:rsidR="00D31621" w:rsidRPr="00A31355" w:rsidRDefault="00D31621" w:rsidP="00C45F51">
            <w:pPr>
              <w:autoSpaceDE w:val="0"/>
              <w:autoSpaceDN w:val="0"/>
              <w:adjustRightInd w:val="0"/>
              <w:spacing w:after="0" w:line="240" w:lineRule="auto"/>
              <w:ind w:right="10"/>
              <w:rPr>
                <w:rFonts w:ascii="Times New Roman" w:hAnsi="Times New Roman"/>
                <w:color w:val="000000"/>
                <w:sz w:val="18"/>
                <w:szCs w:val="18"/>
              </w:rPr>
            </w:pPr>
            <w:r w:rsidRPr="00A31355">
              <w:rPr>
                <w:rFonts w:ascii="Times New Roman" w:hAnsi="Times New Roman"/>
                <w:color w:val="000000"/>
                <w:sz w:val="18"/>
                <w:szCs w:val="18"/>
              </w:rPr>
              <w:t>0.0312</w:t>
            </w:r>
          </w:p>
          <w:p w14:paraId="0F5C14B9" w14:textId="77777777" w:rsidR="00D31621" w:rsidRPr="00A31355" w:rsidRDefault="00D31621" w:rsidP="00C45F51">
            <w:pPr>
              <w:autoSpaceDE w:val="0"/>
              <w:autoSpaceDN w:val="0"/>
              <w:adjustRightInd w:val="0"/>
              <w:spacing w:after="0" w:line="240" w:lineRule="auto"/>
              <w:ind w:right="10"/>
              <w:rPr>
                <w:rFonts w:ascii="Times New Roman" w:hAnsi="Times New Roman"/>
                <w:color w:val="000000"/>
                <w:sz w:val="18"/>
                <w:szCs w:val="18"/>
              </w:rPr>
            </w:pPr>
          </w:p>
        </w:tc>
        <w:tc>
          <w:tcPr>
            <w:tcW w:w="1727" w:type="dxa"/>
            <w:tcBorders>
              <w:bottom w:val="nil"/>
            </w:tcBorders>
          </w:tcPr>
          <w:p w14:paraId="5A93C284"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Reject Ho</w:t>
            </w:r>
          </w:p>
        </w:tc>
        <w:tc>
          <w:tcPr>
            <w:tcW w:w="2333" w:type="dxa"/>
            <w:tcBorders>
              <w:bottom w:val="nil"/>
              <w:right w:val="nil"/>
            </w:tcBorders>
          </w:tcPr>
          <w:p w14:paraId="719A1C77"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Bidirectional</w:t>
            </w:r>
          </w:p>
        </w:tc>
      </w:tr>
      <w:tr w:rsidR="00D31621" w:rsidRPr="00266D19" w14:paraId="6DE81585" w14:textId="77777777" w:rsidTr="00303B4A">
        <w:trPr>
          <w:trHeight w:val="257"/>
        </w:trPr>
        <w:tc>
          <w:tcPr>
            <w:tcW w:w="1733" w:type="dxa"/>
            <w:tcBorders>
              <w:top w:val="nil"/>
              <w:left w:val="nil"/>
              <w:bottom w:val="single" w:sz="4" w:space="0" w:color="auto"/>
            </w:tcBorders>
          </w:tcPr>
          <w:p w14:paraId="6247F75A"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 xml:space="preserve">RGDP </w:t>
            </w:r>
            <w:r w:rsidRPr="00A31355">
              <w:rPr>
                <w:rFonts w:ascii="Cambria Math" w:hAnsi="Cambria Math" w:cs="Cambria Math"/>
                <w:sz w:val="18"/>
                <w:szCs w:val="18"/>
              </w:rPr>
              <w:t>↗</w:t>
            </w:r>
            <w:r w:rsidRPr="00A31355">
              <w:rPr>
                <w:rFonts w:ascii="Times New Roman" w:hAnsi="Times New Roman"/>
                <w:sz w:val="18"/>
                <w:szCs w:val="18"/>
              </w:rPr>
              <w:t xml:space="preserve"> M</w:t>
            </w:r>
            <w:r w:rsidRPr="00A31355">
              <w:rPr>
                <w:rFonts w:ascii="Times New Roman" w:hAnsi="Times New Roman"/>
                <w:sz w:val="18"/>
                <w:szCs w:val="18"/>
                <w:vertAlign w:val="subscript"/>
              </w:rPr>
              <w:t>2</w:t>
            </w:r>
            <w:r w:rsidRPr="00A31355">
              <w:rPr>
                <w:rFonts w:ascii="Times New Roman" w:hAnsi="Times New Roman"/>
                <w:sz w:val="18"/>
                <w:szCs w:val="18"/>
              </w:rPr>
              <w:t>/GDP</w:t>
            </w:r>
          </w:p>
        </w:tc>
        <w:tc>
          <w:tcPr>
            <w:tcW w:w="887" w:type="dxa"/>
            <w:tcBorders>
              <w:top w:val="nil"/>
              <w:bottom w:val="single" w:sz="4" w:space="0" w:color="auto"/>
            </w:tcBorders>
          </w:tcPr>
          <w:p w14:paraId="7DE91042"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126</w:t>
            </w:r>
          </w:p>
        </w:tc>
        <w:tc>
          <w:tcPr>
            <w:tcW w:w="1315" w:type="dxa"/>
            <w:tcBorders>
              <w:top w:val="nil"/>
              <w:bottom w:val="single" w:sz="4" w:space="0" w:color="auto"/>
            </w:tcBorders>
          </w:tcPr>
          <w:p w14:paraId="7121A8A3"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color w:val="000000"/>
                <w:sz w:val="18"/>
                <w:szCs w:val="18"/>
              </w:rPr>
              <w:t>6.22727</w:t>
            </w:r>
          </w:p>
        </w:tc>
        <w:tc>
          <w:tcPr>
            <w:tcW w:w="1015" w:type="dxa"/>
            <w:tcBorders>
              <w:top w:val="nil"/>
              <w:bottom w:val="single" w:sz="4" w:space="0" w:color="auto"/>
            </w:tcBorders>
          </w:tcPr>
          <w:p w14:paraId="334F6E60"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color w:val="000000"/>
                <w:sz w:val="18"/>
                <w:szCs w:val="18"/>
              </w:rPr>
              <w:t>0.0027</w:t>
            </w:r>
          </w:p>
        </w:tc>
        <w:tc>
          <w:tcPr>
            <w:tcW w:w="1727" w:type="dxa"/>
            <w:tcBorders>
              <w:top w:val="nil"/>
              <w:bottom w:val="single" w:sz="4" w:space="0" w:color="auto"/>
            </w:tcBorders>
          </w:tcPr>
          <w:p w14:paraId="094A27C7"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Reject Ho</w:t>
            </w:r>
          </w:p>
        </w:tc>
        <w:tc>
          <w:tcPr>
            <w:tcW w:w="2333" w:type="dxa"/>
            <w:tcBorders>
              <w:top w:val="nil"/>
              <w:bottom w:val="single" w:sz="4" w:space="0" w:color="auto"/>
              <w:right w:val="nil"/>
            </w:tcBorders>
          </w:tcPr>
          <w:p w14:paraId="7CE4BB08"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Bidirectional</w:t>
            </w:r>
          </w:p>
        </w:tc>
      </w:tr>
      <w:tr w:rsidR="00D31621" w:rsidRPr="00266D19" w14:paraId="3B1FB9FC" w14:textId="77777777" w:rsidTr="00303B4A">
        <w:trPr>
          <w:trHeight w:val="400"/>
        </w:trPr>
        <w:tc>
          <w:tcPr>
            <w:tcW w:w="1733" w:type="dxa"/>
            <w:tcBorders>
              <w:left w:val="nil"/>
              <w:bottom w:val="nil"/>
            </w:tcBorders>
          </w:tcPr>
          <w:p w14:paraId="7B8E73A4"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P/TDS</w:t>
            </w:r>
            <w:r w:rsidRPr="00A31355">
              <w:rPr>
                <w:rFonts w:ascii="Cambria Math" w:hAnsi="Cambria Math" w:cs="Cambria Math"/>
                <w:sz w:val="18"/>
                <w:szCs w:val="18"/>
              </w:rPr>
              <w:t>↗</w:t>
            </w:r>
            <w:r w:rsidRPr="00A31355">
              <w:rPr>
                <w:rFonts w:ascii="Times New Roman" w:hAnsi="Times New Roman"/>
                <w:sz w:val="18"/>
                <w:szCs w:val="18"/>
              </w:rPr>
              <w:t>RGDP</w:t>
            </w:r>
          </w:p>
        </w:tc>
        <w:tc>
          <w:tcPr>
            <w:tcW w:w="887" w:type="dxa"/>
            <w:tcBorders>
              <w:bottom w:val="nil"/>
            </w:tcBorders>
          </w:tcPr>
          <w:p w14:paraId="22F7632D"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126</w:t>
            </w:r>
          </w:p>
        </w:tc>
        <w:tc>
          <w:tcPr>
            <w:tcW w:w="1315" w:type="dxa"/>
            <w:tcBorders>
              <w:bottom w:val="nil"/>
            </w:tcBorders>
          </w:tcPr>
          <w:p w14:paraId="07A46DEC"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color w:val="000000"/>
                <w:sz w:val="18"/>
                <w:szCs w:val="18"/>
              </w:rPr>
              <w:t>0.19253</w:t>
            </w:r>
          </w:p>
        </w:tc>
        <w:tc>
          <w:tcPr>
            <w:tcW w:w="1015" w:type="dxa"/>
            <w:tcBorders>
              <w:bottom w:val="nil"/>
            </w:tcBorders>
            <w:vAlign w:val="bottom"/>
          </w:tcPr>
          <w:p w14:paraId="4A19AF88" w14:textId="77777777" w:rsidR="00D31621" w:rsidRPr="00A31355" w:rsidRDefault="00D31621" w:rsidP="00C45F51">
            <w:pPr>
              <w:autoSpaceDE w:val="0"/>
              <w:autoSpaceDN w:val="0"/>
              <w:adjustRightInd w:val="0"/>
              <w:spacing w:after="0" w:line="240" w:lineRule="auto"/>
              <w:ind w:right="10"/>
              <w:rPr>
                <w:rFonts w:ascii="Times New Roman" w:hAnsi="Times New Roman"/>
                <w:color w:val="000000"/>
                <w:sz w:val="18"/>
                <w:szCs w:val="18"/>
              </w:rPr>
            </w:pPr>
            <w:r w:rsidRPr="00A31355">
              <w:rPr>
                <w:rFonts w:ascii="Times New Roman" w:hAnsi="Times New Roman"/>
                <w:color w:val="000000"/>
                <w:sz w:val="18"/>
                <w:szCs w:val="18"/>
              </w:rPr>
              <w:t>0.8251</w:t>
            </w:r>
          </w:p>
          <w:p w14:paraId="566FC21B" w14:textId="77777777" w:rsidR="00D31621" w:rsidRPr="00A31355" w:rsidRDefault="00D31621" w:rsidP="00C45F51">
            <w:pPr>
              <w:autoSpaceDE w:val="0"/>
              <w:autoSpaceDN w:val="0"/>
              <w:adjustRightInd w:val="0"/>
              <w:spacing w:after="0" w:line="240" w:lineRule="auto"/>
              <w:ind w:right="10"/>
              <w:rPr>
                <w:rFonts w:ascii="Times New Roman" w:hAnsi="Times New Roman"/>
                <w:color w:val="000000"/>
                <w:sz w:val="18"/>
                <w:szCs w:val="18"/>
              </w:rPr>
            </w:pPr>
          </w:p>
        </w:tc>
        <w:tc>
          <w:tcPr>
            <w:tcW w:w="1727" w:type="dxa"/>
            <w:tcBorders>
              <w:bottom w:val="nil"/>
            </w:tcBorders>
          </w:tcPr>
          <w:p w14:paraId="18766D83"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Do Not Reject  HO</w:t>
            </w:r>
          </w:p>
        </w:tc>
        <w:tc>
          <w:tcPr>
            <w:tcW w:w="2333" w:type="dxa"/>
            <w:tcBorders>
              <w:bottom w:val="nil"/>
              <w:right w:val="nil"/>
            </w:tcBorders>
          </w:tcPr>
          <w:p w14:paraId="1253FD0E"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No causality</w:t>
            </w:r>
          </w:p>
        </w:tc>
      </w:tr>
      <w:tr w:rsidR="00D31621" w:rsidRPr="00266D19" w14:paraId="7DBB3076" w14:textId="77777777" w:rsidTr="00303B4A">
        <w:trPr>
          <w:trHeight w:val="257"/>
        </w:trPr>
        <w:tc>
          <w:tcPr>
            <w:tcW w:w="1733" w:type="dxa"/>
            <w:tcBorders>
              <w:top w:val="nil"/>
              <w:left w:val="nil"/>
              <w:bottom w:val="single" w:sz="4" w:space="0" w:color="auto"/>
            </w:tcBorders>
          </w:tcPr>
          <w:p w14:paraId="4B2EBF5B"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 xml:space="preserve">RGDP </w:t>
            </w:r>
            <w:r w:rsidRPr="00A31355">
              <w:rPr>
                <w:rFonts w:ascii="Cambria Math" w:hAnsi="Cambria Math" w:cs="Cambria Math"/>
                <w:sz w:val="18"/>
                <w:szCs w:val="18"/>
              </w:rPr>
              <w:t>↗</w:t>
            </w:r>
            <w:r w:rsidRPr="00A31355">
              <w:rPr>
                <w:rFonts w:ascii="Times New Roman" w:hAnsi="Times New Roman"/>
                <w:sz w:val="18"/>
                <w:szCs w:val="18"/>
              </w:rPr>
              <w:t xml:space="preserve"> P/TDS</w:t>
            </w:r>
          </w:p>
        </w:tc>
        <w:tc>
          <w:tcPr>
            <w:tcW w:w="887" w:type="dxa"/>
            <w:tcBorders>
              <w:top w:val="nil"/>
              <w:bottom w:val="single" w:sz="4" w:space="0" w:color="auto"/>
            </w:tcBorders>
          </w:tcPr>
          <w:p w14:paraId="5B6FD27C"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126</w:t>
            </w:r>
          </w:p>
        </w:tc>
        <w:tc>
          <w:tcPr>
            <w:tcW w:w="1315" w:type="dxa"/>
            <w:tcBorders>
              <w:top w:val="nil"/>
              <w:bottom w:val="single" w:sz="4" w:space="0" w:color="auto"/>
            </w:tcBorders>
          </w:tcPr>
          <w:p w14:paraId="6BEAC360"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color w:val="000000"/>
                <w:sz w:val="18"/>
                <w:szCs w:val="18"/>
              </w:rPr>
              <w:t>4.28967</w:t>
            </w:r>
          </w:p>
        </w:tc>
        <w:tc>
          <w:tcPr>
            <w:tcW w:w="1015" w:type="dxa"/>
            <w:tcBorders>
              <w:top w:val="nil"/>
              <w:bottom w:val="single" w:sz="4" w:space="0" w:color="auto"/>
            </w:tcBorders>
            <w:vAlign w:val="bottom"/>
          </w:tcPr>
          <w:p w14:paraId="28561C08" w14:textId="77777777" w:rsidR="00D31621" w:rsidRPr="00A31355" w:rsidRDefault="00D31621" w:rsidP="00C45F51">
            <w:pPr>
              <w:autoSpaceDE w:val="0"/>
              <w:autoSpaceDN w:val="0"/>
              <w:adjustRightInd w:val="0"/>
              <w:spacing w:after="0" w:line="240" w:lineRule="auto"/>
              <w:ind w:right="10"/>
              <w:rPr>
                <w:rFonts w:ascii="Times New Roman" w:hAnsi="Times New Roman"/>
                <w:color w:val="000000"/>
                <w:sz w:val="18"/>
                <w:szCs w:val="18"/>
              </w:rPr>
            </w:pPr>
            <w:r w:rsidRPr="00A31355">
              <w:rPr>
                <w:rFonts w:ascii="Times New Roman" w:hAnsi="Times New Roman"/>
                <w:color w:val="000000"/>
                <w:sz w:val="18"/>
                <w:szCs w:val="18"/>
              </w:rPr>
              <w:t>0.0159</w:t>
            </w:r>
          </w:p>
        </w:tc>
        <w:tc>
          <w:tcPr>
            <w:tcW w:w="1727" w:type="dxa"/>
            <w:tcBorders>
              <w:top w:val="nil"/>
              <w:bottom w:val="single" w:sz="4" w:space="0" w:color="auto"/>
            </w:tcBorders>
          </w:tcPr>
          <w:p w14:paraId="0A7E36F3"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Reject Ho</w:t>
            </w:r>
          </w:p>
        </w:tc>
        <w:tc>
          <w:tcPr>
            <w:tcW w:w="2333" w:type="dxa"/>
            <w:tcBorders>
              <w:top w:val="nil"/>
              <w:bottom w:val="single" w:sz="4" w:space="0" w:color="auto"/>
              <w:right w:val="nil"/>
            </w:tcBorders>
          </w:tcPr>
          <w:p w14:paraId="270ECC2A"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Unidirectional Causality</w:t>
            </w:r>
          </w:p>
        </w:tc>
      </w:tr>
      <w:tr w:rsidR="00D31621" w:rsidRPr="00266D19" w14:paraId="694B4687" w14:textId="77777777" w:rsidTr="00303B4A">
        <w:trPr>
          <w:trHeight w:val="215"/>
        </w:trPr>
        <w:tc>
          <w:tcPr>
            <w:tcW w:w="1733" w:type="dxa"/>
            <w:tcBorders>
              <w:left w:val="nil"/>
              <w:bottom w:val="nil"/>
            </w:tcBorders>
          </w:tcPr>
          <w:p w14:paraId="113F0A78"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 xml:space="preserve">LDS  </w:t>
            </w:r>
            <w:r w:rsidRPr="00A31355">
              <w:rPr>
                <w:rFonts w:ascii="Cambria Math" w:hAnsi="Cambria Math" w:cs="Cambria Math"/>
                <w:sz w:val="18"/>
                <w:szCs w:val="18"/>
              </w:rPr>
              <w:t>↗</w:t>
            </w:r>
            <w:r w:rsidRPr="00A31355">
              <w:rPr>
                <w:rFonts w:ascii="Times New Roman" w:hAnsi="Times New Roman"/>
                <w:sz w:val="18"/>
                <w:szCs w:val="18"/>
              </w:rPr>
              <w:t>RGDP</w:t>
            </w:r>
          </w:p>
        </w:tc>
        <w:tc>
          <w:tcPr>
            <w:tcW w:w="887" w:type="dxa"/>
            <w:tcBorders>
              <w:bottom w:val="nil"/>
            </w:tcBorders>
          </w:tcPr>
          <w:p w14:paraId="3A814AC7"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126</w:t>
            </w:r>
          </w:p>
        </w:tc>
        <w:tc>
          <w:tcPr>
            <w:tcW w:w="1315" w:type="dxa"/>
            <w:tcBorders>
              <w:bottom w:val="nil"/>
            </w:tcBorders>
          </w:tcPr>
          <w:p w14:paraId="0D1E7C14"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color w:val="000000"/>
                <w:sz w:val="18"/>
                <w:szCs w:val="18"/>
              </w:rPr>
              <w:t>3.56716</w:t>
            </w:r>
          </w:p>
        </w:tc>
        <w:tc>
          <w:tcPr>
            <w:tcW w:w="1015" w:type="dxa"/>
            <w:tcBorders>
              <w:bottom w:val="nil"/>
            </w:tcBorders>
            <w:vAlign w:val="bottom"/>
          </w:tcPr>
          <w:p w14:paraId="658ABF30" w14:textId="77777777" w:rsidR="00D31621" w:rsidRPr="00A31355" w:rsidRDefault="00D31621" w:rsidP="00C45F51">
            <w:pPr>
              <w:autoSpaceDE w:val="0"/>
              <w:autoSpaceDN w:val="0"/>
              <w:adjustRightInd w:val="0"/>
              <w:spacing w:after="0" w:line="240" w:lineRule="auto"/>
              <w:ind w:right="10"/>
              <w:rPr>
                <w:rFonts w:ascii="Times New Roman" w:hAnsi="Times New Roman"/>
                <w:color w:val="000000"/>
                <w:sz w:val="18"/>
                <w:szCs w:val="18"/>
              </w:rPr>
            </w:pPr>
            <w:r w:rsidRPr="00A31355">
              <w:rPr>
                <w:rFonts w:ascii="Times New Roman" w:hAnsi="Times New Roman"/>
                <w:color w:val="000000"/>
                <w:sz w:val="18"/>
                <w:szCs w:val="18"/>
              </w:rPr>
              <w:t>0.0328</w:t>
            </w:r>
          </w:p>
        </w:tc>
        <w:tc>
          <w:tcPr>
            <w:tcW w:w="1727" w:type="dxa"/>
            <w:tcBorders>
              <w:bottom w:val="nil"/>
            </w:tcBorders>
          </w:tcPr>
          <w:p w14:paraId="16D58FEC"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Reject Ho</w:t>
            </w:r>
          </w:p>
        </w:tc>
        <w:tc>
          <w:tcPr>
            <w:tcW w:w="2333" w:type="dxa"/>
            <w:tcBorders>
              <w:bottom w:val="nil"/>
              <w:right w:val="nil"/>
            </w:tcBorders>
          </w:tcPr>
          <w:p w14:paraId="19FF1166"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Unidirectional Causality</w:t>
            </w:r>
          </w:p>
        </w:tc>
      </w:tr>
      <w:tr w:rsidR="00D31621" w:rsidRPr="00266D19" w14:paraId="339DF6CE" w14:textId="77777777" w:rsidTr="00303B4A">
        <w:trPr>
          <w:trHeight w:val="227"/>
        </w:trPr>
        <w:tc>
          <w:tcPr>
            <w:tcW w:w="1733" w:type="dxa"/>
            <w:tcBorders>
              <w:top w:val="nil"/>
              <w:left w:val="nil"/>
              <w:bottom w:val="single" w:sz="4" w:space="0" w:color="auto"/>
            </w:tcBorders>
          </w:tcPr>
          <w:p w14:paraId="07DD8608"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RGDP</w:t>
            </w:r>
            <w:r w:rsidRPr="00A31355">
              <w:rPr>
                <w:rFonts w:ascii="Cambria Math" w:hAnsi="Cambria Math" w:cs="Cambria Math"/>
                <w:sz w:val="18"/>
                <w:szCs w:val="18"/>
              </w:rPr>
              <w:t>↗</w:t>
            </w:r>
            <w:r w:rsidRPr="00A31355">
              <w:rPr>
                <w:rFonts w:ascii="Times New Roman" w:hAnsi="Times New Roman"/>
                <w:sz w:val="18"/>
                <w:szCs w:val="18"/>
              </w:rPr>
              <w:t xml:space="preserve"> LDS</w:t>
            </w:r>
          </w:p>
        </w:tc>
        <w:tc>
          <w:tcPr>
            <w:tcW w:w="887" w:type="dxa"/>
            <w:tcBorders>
              <w:top w:val="nil"/>
              <w:bottom w:val="single" w:sz="4" w:space="0" w:color="auto"/>
            </w:tcBorders>
          </w:tcPr>
          <w:p w14:paraId="586BA457"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126</w:t>
            </w:r>
          </w:p>
        </w:tc>
        <w:tc>
          <w:tcPr>
            <w:tcW w:w="1315" w:type="dxa"/>
            <w:tcBorders>
              <w:top w:val="nil"/>
              <w:bottom w:val="single" w:sz="4" w:space="0" w:color="auto"/>
            </w:tcBorders>
          </w:tcPr>
          <w:p w14:paraId="348C89BA"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color w:val="000000"/>
                <w:sz w:val="18"/>
                <w:szCs w:val="18"/>
              </w:rPr>
              <w:t>0.07888</w:t>
            </w:r>
          </w:p>
        </w:tc>
        <w:tc>
          <w:tcPr>
            <w:tcW w:w="1015" w:type="dxa"/>
            <w:tcBorders>
              <w:top w:val="nil"/>
              <w:bottom w:val="single" w:sz="4" w:space="0" w:color="auto"/>
            </w:tcBorders>
            <w:vAlign w:val="bottom"/>
          </w:tcPr>
          <w:p w14:paraId="0E8C8289" w14:textId="77777777" w:rsidR="00D31621" w:rsidRPr="00A31355" w:rsidRDefault="00D31621" w:rsidP="00C45F51">
            <w:pPr>
              <w:autoSpaceDE w:val="0"/>
              <w:autoSpaceDN w:val="0"/>
              <w:adjustRightInd w:val="0"/>
              <w:spacing w:after="0" w:line="240" w:lineRule="auto"/>
              <w:ind w:right="10"/>
              <w:rPr>
                <w:rFonts w:ascii="Times New Roman" w:hAnsi="Times New Roman"/>
                <w:color w:val="000000"/>
                <w:sz w:val="18"/>
                <w:szCs w:val="18"/>
              </w:rPr>
            </w:pPr>
            <w:r w:rsidRPr="00A31355">
              <w:rPr>
                <w:rFonts w:ascii="Times New Roman" w:hAnsi="Times New Roman"/>
                <w:color w:val="000000"/>
                <w:sz w:val="18"/>
                <w:szCs w:val="18"/>
              </w:rPr>
              <w:t>0.9242</w:t>
            </w:r>
          </w:p>
        </w:tc>
        <w:tc>
          <w:tcPr>
            <w:tcW w:w="1727" w:type="dxa"/>
            <w:tcBorders>
              <w:top w:val="nil"/>
              <w:bottom w:val="single" w:sz="4" w:space="0" w:color="auto"/>
            </w:tcBorders>
          </w:tcPr>
          <w:p w14:paraId="3F786CB4"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Do Not Reject  HO</w:t>
            </w:r>
          </w:p>
        </w:tc>
        <w:tc>
          <w:tcPr>
            <w:tcW w:w="2333" w:type="dxa"/>
            <w:tcBorders>
              <w:top w:val="nil"/>
              <w:bottom w:val="single" w:sz="4" w:space="0" w:color="auto"/>
              <w:right w:val="nil"/>
            </w:tcBorders>
          </w:tcPr>
          <w:p w14:paraId="09EF124E"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No causality</w:t>
            </w:r>
          </w:p>
        </w:tc>
      </w:tr>
      <w:tr w:rsidR="00D31621" w:rsidRPr="00266D19" w14:paraId="39A0EE3E" w14:textId="77777777" w:rsidTr="00303B4A">
        <w:trPr>
          <w:trHeight w:val="215"/>
        </w:trPr>
        <w:tc>
          <w:tcPr>
            <w:tcW w:w="1733" w:type="dxa"/>
            <w:tcBorders>
              <w:left w:val="nil"/>
              <w:bottom w:val="nil"/>
            </w:tcBorders>
          </w:tcPr>
          <w:p w14:paraId="4E1206B7"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 xml:space="preserve">LR  </w:t>
            </w:r>
            <w:r w:rsidRPr="00A31355">
              <w:rPr>
                <w:rFonts w:ascii="Cambria Math" w:hAnsi="Cambria Math" w:cs="Cambria Math"/>
                <w:sz w:val="18"/>
                <w:szCs w:val="18"/>
              </w:rPr>
              <w:t>↗</w:t>
            </w:r>
            <w:r w:rsidRPr="00A31355">
              <w:rPr>
                <w:rFonts w:ascii="Times New Roman" w:hAnsi="Times New Roman"/>
                <w:sz w:val="18"/>
                <w:szCs w:val="18"/>
              </w:rPr>
              <w:t>RGDP</w:t>
            </w:r>
          </w:p>
        </w:tc>
        <w:tc>
          <w:tcPr>
            <w:tcW w:w="887" w:type="dxa"/>
            <w:tcBorders>
              <w:bottom w:val="nil"/>
            </w:tcBorders>
          </w:tcPr>
          <w:p w14:paraId="24987811"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126</w:t>
            </w:r>
          </w:p>
        </w:tc>
        <w:tc>
          <w:tcPr>
            <w:tcW w:w="1315" w:type="dxa"/>
            <w:tcBorders>
              <w:bottom w:val="nil"/>
            </w:tcBorders>
          </w:tcPr>
          <w:p w14:paraId="0842F900"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color w:val="000000"/>
                <w:sz w:val="18"/>
                <w:szCs w:val="18"/>
              </w:rPr>
              <w:t>4.79546</w:t>
            </w:r>
          </w:p>
        </w:tc>
        <w:tc>
          <w:tcPr>
            <w:tcW w:w="1015" w:type="dxa"/>
            <w:tcBorders>
              <w:bottom w:val="nil"/>
            </w:tcBorders>
            <w:vAlign w:val="bottom"/>
          </w:tcPr>
          <w:p w14:paraId="0C5719CB" w14:textId="77777777" w:rsidR="00D31621" w:rsidRPr="00A31355" w:rsidRDefault="00D31621" w:rsidP="00C45F51">
            <w:pPr>
              <w:autoSpaceDE w:val="0"/>
              <w:autoSpaceDN w:val="0"/>
              <w:adjustRightInd w:val="0"/>
              <w:spacing w:after="0" w:line="240" w:lineRule="auto"/>
              <w:ind w:right="10"/>
              <w:rPr>
                <w:rFonts w:ascii="Times New Roman" w:hAnsi="Times New Roman"/>
                <w:color w:val="000000"/>
                <w:sz w:val="18"/>
                <w:szCs w:val="18"/>
              </w:rPr>
            </w:pPr>
            <w:r w:rsidRPr="00A31355">
              <w:rPr>
                <w:rFonts w:ascii="Times New Roman" w:hAnsi="Times New Roman"/>
                <w:color w:val="000000"/>
                <w:sz w:val="18"/>
                <w:szCs w:val="18"/>
              </w:rPr>
              <w:t>0.0204</w:t>
            </w:r>
          </w:p>
        </w:tc>
        <w:tc>
          <w:tcPr>
            <w:tcW w:w="1727" w:type="dxa"/>
            <w:tcBorders>
              <w:bottom w:val="nil"/>
            </w:tcBorders>
          </w:tcPr>
          <w:p w14:paraId="04853B58"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Reject Ho</w:t>
            </w:r>
          </w:p>
        </w:tc>
        <w:tc>
          <w:tcPr>
            <w:tcW w:w="2333" w:type="dxa"/>
            <w:tcBorders>
              <w:bottom w:val="nil"/>
              <w:right w:val="nil"/>
            </w:tcBorders>
          </w:tcPr>
          <w:p w14:paraId="06425419"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Unidirectional Causality</w:t>
            </w:r>
          </w:p>
        </w:tc>
      </w:tr>
      <w:tr w:rsidR="00D31621" w:rsidRPr="00266D19" w14:paraId="70303C68" w14:textId="77777777" w:rsidTr="00303B4A">
        <w:trPr>
          <w:trHeight w:val="227"/>
        </w:trPr>
        <w:tc>
          <w:tcPr>
            <w:tcW w:w="1733" w:type="dxa"/>
            <w:tcBorders>
              <w:top w:val="nil"/>
              <w:left w:val="nil"/>
              <w:bottom w:val="single" w:sz="4" w:space="0" w:color="auto"/>
            </w:tcBorders>
          </w:tcPr>
          <w:p w14:paraId="6DE08BF9"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RGDP</w:t>
            </w:r>
            <w:r w:rsidRPr="00A31355">
              <w:rPr>
                <w:rFonts w:ascii="Cambria Math" w:hAnsi="Cambria Math" w:cs="Cambria Math"/>
                <w:sz w:val="18"/>
                <w:szCs w:val="18"/>
              </w:rPr>
              <w:t>↗</w:t>
            </w:r>
            <w:r w:rsidRPr="00A31355">
              <w:rPr>
                <w:rFonts w:ascii="Times New Roman" w:hAnsi="Times New Roman"/>
                <w:sz w:val="18"/>
                <w:szCs w:val="18"/>
              </w:rPr>
              <w:t xml:space="preserve"> LR</w:t>
            </w:r>
          </w:p>
        </w:tc>
        <w:tc>
          <w:tcPr>
            <w:tcW w:w="887" w:type="dxa"/>
            <w:tcBorders>
              <w:top w:val="nil"/>
              <w:bottom w:val="single" w:sz="4" w:space="0" w:color="auto"/>
            </w:tcBorders>
          </w:tcPr>
          <w:p w14:paraId="5A66CC49"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126</w:t>
            </w:r>
          </w:p>
        </w:tc>
        <w:tc>
          <w:tcPr>
            <w:tcW w:w="1315" w:type="dxa"/>
            <w:tcBorders>
              <w:top w:val="nil"/>
              <w:bottom w:val="single" w:sz="4" w:space="0" w:color="auto"/>
            </w:tcBorders>
          </w:tcPr>
          <w:p w14:paraId="34B7FE09"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color w:val="000000"/>
                <w:sz w:val="18"/>
                <w:szCs w:val="18"/>
              </w:rPr>
              <w:t>0.33446</w:t>
            </w:r>
          </w:p>
        </w:tc>
        <w:tc>
          <w:tcPr>
            <w:tcW w:w="1015" w:type="dxa"/>
            <w:tcBorders>
              <w:top w:val="nil"/>
              <w:bottom w:val="single" w:sz="4" w:space="0" w:color="auto"/>
            </w:tcBorders>
            <w:vAlign w:val="bottom"/>
          </w:tcPr>
          <w:p w14:paraId="1199803B" w14:textId="77777777" w:rsidR="00D31621" w:rsidRPr="00A31355" w:rsidRDefault="00D31621" w:rsidP="00C45F51">
            <w:pPr>
              <w:autoSpaceDE w:val="0"/>
              <w:autoSpaceDN w:val="0"/>
              <w:adjustRightInd w:val="0"/>
              <w:spacing w:after="0" w:line="240" w:lineRule="auto"/>
              <w:ind w:right="10"/>
              <w:rPr>
                <w:rFonts w:ascii="Times New Roman" w:hAnsi="Times New Roman"/>
                <w:color w:val="000000"/>
                <w:sz w:val="18"/>
                <w:szCs w:val="18"/>
              </w:rPr>
            </w:pPr>
            <w:r w:rsidRPr="00A31355">
              <w:rPr>
                <w:rFonts w:ascii="Times New Roman" w:hAnsi="Times New Roman"/>
                <w:color w:val="000000"/>
                <w:sz w:val="18"/>
                <w:szCs w:val="18"/>
              </w:rPr>
              <w:t>0.7164</w:t>
            </w:r>
          </w:p>
        </w:tc>
        <w:tc>
          <w:tcPr>
            <w:tcW w:w="1727" w:type="dxa"/>
            <w:tcBorders>
              <w:top w:val="nil"/>
              <w:bottom w:val="single" w:sz="4" w:space="0" w:color="auto"/>
            </w:tcBorders>
          </w:tcPr>
          <w:p w14:paraId="48D90C8F"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Do Not Reject  HO</w:t>
            </w:r>
          </w:p>
        </w:tc>
        <w:tc>
          <w:tcPr>
            <w:tcW w:w="2333" w:type="dxa"/>
            <w:tcBorders>
              <w:top w:val="nil"/>
              <w:bottom w:val="single" w:sz="4" w:space="0" w:color="auto"/>
              <w:right w:val="nil"/>
            </w:tcBorders>
          </w:tcPr>
          <w:p w14:paraId="49C39B79"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No causality</w:t>
            </w:r>
          </w:p>
        </w:tc>
      </w:tr>
      <w:tr w:rsidR="00D31621" w:rsidRPr="00266D19" w14:paraId="3A4C829C" w14:textId="77777777" w:rsidTr="00303B4A">
        <w:trPr>
          <w:trHeight w:val="243"/>
        </w:trPr>
        <w:tc>
          <w:tcPr>
            <w:tcW w:w="1733" w:type="dxa"/>
            <w:tcBorders>
              <w:left w:val="nil"/>
              <w:bottom w:val="nil"/>
            </w:tcBorders>
          </w:tcPr>
          <w:p w14:paraId="058A5E9E"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 xml:space="preserve">SMR  </w:t>
            </w:r>
            <w:r w:rsidRPr="00A31355">
              <w:rPr>
                <w:rFonts w:ascii="Cambria Math" w:hAnsi="Cambria Math" w:cs="Cambria Math"/>
                <w:sz w:val="18"/>
                <w:szCs w:val="18"/>
              </w:rPr>
              <w:t>↗</w:t>
            </w:r>
            <w:r w:rsidRPr="00A31355">
              <w:rPr>
                <w:rFonts w:ascii="Times New Roman" w:hAnsi="Times New Roman"/>
                <w:sz w:val="18"/>
                <w:szCs w:val="18"/>
              </w:rPr>
              <w:t>RGDP</w:t>
            </w:r>
          </w:p>
        </w:tc>
        <w:tc>
          <w:tcPr>
            <w:tcW w:w="887" w:type="dxa"/>
            <w:tcBorders>
              <w:bottom w:val="nil"/>
            </w:tcBorders>
          </w:tcPr>
          <w:p w14:paraId="285C7831"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126</w:t>
            </w:r>
          </w:p>
        </w:tc>
        <w:tc>
          <w:tcPr>
            <w:tcW w:w="1315" w:type="dxa"/>
            <w:tcBorders>
              <w:bottom w:val="nil"/>
            </w:tcBorders>
          </w:tcPr>
          <w:p w14:paraId="7E7BAA64"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color w:val="000000"/>
                <w:sz w:val="18"/>
                <w:szCs w:val="18"/>
              </w:rPr>
              <w:t>0.01287</w:t>
            </w:r>
          </w:p>
        </w:tc>
        <w:tc>
          <w:tcPr>
            <w:tcW w:w="1015" w:type="dxa"/>
            <w:tcBorders>
              <w:bottom w:val="nil"/>
            </w:tcBorders>
            <w:vAlign w:val="bottom"/>
          </w:tcPr>
          <w:p w14:paraId="6944C02D" w14:textId="77777777" w:rsidR="00D31621" w:rsidRPr="00A31355" w:rsidRDefault="00D31621" w:rsidP="00C45F51">
            <w:pPr>
              <w:autoSpaceDE w:val="0"/>
              <w:autoSpaceDN w:val="0"/>
              <w:adjustRightInd w:val="0"/>
              <w:spacing w:after="0" w:line="240" w:lineRule="auto"/>
              <w:ind w:right="10"/>
              <w:rPr>
                <w:rFonts w:ascii="Times New Roman" w:hAnsi="Times New Roman"/>
                <w:color w:val="000000"/>
                <w:sz w:val="18"/>
                <w:szCs w:val="18"/>
              </w:rPr>
            </w:pPr>
            <w:r w:rsidRPr="00A31355">
              <w:rPr>
                <w:rFonts w:ascii="Times New Roman" w:hAnsi="Times New Roman"/>
                <w:color w:val="000000"/>
                <w:sz w:val="18"/>
                <w:szCs w:val="18"/>
              </w:rPr>
              <w:t>0.9872</w:t>
            </w:r>
          </w:p>
        </w:tc>
        <w:tc>
          <w:tcPr>
            <w:tcW w:w="1727" w:type="dxa"/>
            <w:tcBorders>
              <w:bottom w:val="nil"/>
            </w:tcBorders>
          </w:tcPr>
          <w:p w14:paraId="0D8D7650"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Do Not Reject  HO</w:t>
            </w:r>
          </w:p>
        </w:tc>
        <w:tc>
          <w:tcPr>
            <w:tcW w:w="2333" w:type="dxa"/>
            <w:tcBorders>
              <w:bottom w:val="nil"/>
              <w:right w:val="nil"/>
            </w:tcBorders>
          </w:tcPr>
          <w:p w14:paraId="07008720"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No causality</w:t>
            </w:r>
          </w:p>
        </w:tc>
      </w:tr>
      <w:tr w:rsidR="00D31621" w:rsidRPr="00266D19" w14:paraId="25B5FB3B" w14:textId="77777777" w:rsidTr="00303B4A">
        <w:trPr>
          <w:trHeight w:val="243"/>
        </w:trPr>
        <w:tc>
          <w:tcPr>
            <w:tcW w:w="1733" w:type="dxa"/>
            <w:tcBorders>
              <w:top w:val="nil"/>
              <w:left w:val="nil"/>
              <w:bottom w:val="single" w:sz="4" w:space="0" w:color="auto"/>
            </w:tcBorders>
          </w:tcPr>
          <w:p w14:paraId="243B660D"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RGDP</w:t>
            </w:r>
            <w:r w:rsidRPr="00A31355">
              <w:rPr>
                <w:rFonts w:ascii="Cambria Math" w:hAnsi="Cambria Math" w:cs="Cambria Math"/>
                <w:sz w:val="18"/>
                <w:szCs w:val="18"/>
              </w:rPr>
              <w:t>↗</w:t>
            </w:r>
            <w:r w:rsidRPr="00A31355">
              <w:rPr>
                <w:rFonts w:ascii="Times New Roman" w:hAnsi="Times New Roman"/>
                <w:sz w:val="18"/>
                <w:szCs w:val="18"/>
              </w:rPr>
              <w:t xml:space="preserve"> SMR</w:t>
            </w:r>
          </w:p>
        </w:tc>
        <w:tc>
          <w:tcPr>
            <w:tcW w:w="887" w:type="dxa"/>
            <w:tcBorders>
              <w:top w:val="nil"/>
              <w:bottom w:val="single" w:sz="4" w:space="0" w:color="auto"/>
            </w:tcBorders>
          </w:tcPr>
          <w:p w14:paraId="15C6D039"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126</w:t>
            </w:r>
          </w:p>
        </w:tc>
        <w:tc>
          <w:tcPr>
            <w:tcW w:w="1315" w:type="dxa"/>
            <w:tcBorders>
              <w:top w:val="nil"/>
              <w:bottom w:val="single" w:sz="4" w:space="0" w:color="auto"/>
            </w:tcBorders>
          </w:tcPr>
          <w:p w14:paraId="072EE9D6"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color w:val="000000"/>
                <w:sz w:val="18"/>
                <w:szCs w:val="18"/>
              </w:rPr>
              <w:t>3.77735</w:t>
            </w:r>
          </w:p>
        </w:tc>
        <w:tc>
          <w:tcPr>
            <w:tcW w:w="1015" w:type="dxa"/>
            <w:tcBorders>
              <w:top w:val="nil"/>
              <w:bottom w:val="single" w:sz="4" w:space="0" w:color="auto"/>
            </w:tcBorders>
            <w:vAlign w:val="bottom"/>
          </w:tcPr>
          <w:p w14:paraId="2DCD6307" w14:textId="77777777" w:rsidR="00D31621" w:rsidRPr="00A31355" w:rsidRDefault="00D31621" w:rsidP="00C45F51">
            <w:pPr>
              <w:autoSpaceDE w:val="0"/>
              <w:autoSpaceDN w:val="0"/>
              <w:adjustRightInd w:val="0"/>
              <w:spacing w:after="0" w:line="240" w:lineRule="auto"/>
              <w:ind w:right="10"/>
              <w:rPr>
                <w:rFonts w:ascii="Times New Roman" w:hAnsi="Times New Roman"/>
                <w:color w:val="000000"/>
                <w:sz w:val="18"/>
                <w:szCs w:val="18"/>
              </w:rPr>
            </w:pPr>
            <w:r w:rsidRPr="00A31355">
              <w:rPr>
                <w:rFonts w:ascii="Times New Roman" w:hAnsi="Times New Roman"/>
                <w:color w:val="000000"/>
                <w:sz w:val="18"/>
                <w:szCs w:val="18"/>
              </w:rPr>
              <w:t>0.0256</w:t>
            </w:r>
          </w:p>
        </w:tc>
        <w:tc>
          <w:tcPr>
            <w:tcW w:w="1727" w:type="dxa"/>
            <w:tcBorders>
              <w:top w:val="nil"/>
              <w:bottom w:val="single" w:sz="4" w:space="0" w:color="auto"/>
            </w:tcBorders>
          </w:tcPr>
          <w:p w14:paraId="3B5CC46E"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Reject Ho</w:t>
            </w:r>
          </w:p>
        </w:tc>
        <w:tc>
          <w:tcPr>
            <w:tcW w:w="2333" w:type="dxa"/>
            <w:tcBorders>
              <w:top w:val="nil"/>
              <w:bottom w:val="single" w:sz="4" w:space="0" w:color="auto"/>
              <w:right w:val="nil"/>
            </w:tcBorders>
          </w:tcPr>
          <w:p w14:paraId="70E89556"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Unidirectional Causality</w:t>
            </w:r>
          </w:p>
        </w:tc>
      </w:tr>
      <w:tr w:rsidR="00D31621" w:rsidRPr="00266D19" w14:paraId="07B88317" w14:textId="77777777" w:rsidTr="00303B4A">
        <w:trPr>
          <w:trHeight w:val="257"/>
        </w:trPr>
        <w:tc>
          <w:tcPr>
            <w:tcW w:w="1733" w:type="dxa"/>
            <w:tcBorders>
              <w:left w:val="nil"/>
              <w:bottom w:val="nil"/>
            </w:tcBorders>
          </w:tcPr>
          <w:p w14:paraId="5173CAFE"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 xml:space="preserve">INF </w:t>
            </w:r>
            <w:r w:rsidRPr="00A31355">
              <w:rPr>
                <w:rFonts w:ascii="Cambria Math" w:hAnsi="Cambria Math" w:cs="Cambria Math"/>
                <w:sz w:val="18"/>
                <w:szCs w:val="18"/>
              </w:rPr>
              <w:t>↗</w:t>
            </w:r>
            <w:r w:rsidRPr="00A31355">
              <w:rPr>
                <w:rFonts w:ascii="Times New Roman" w:hAnsi="Times New Roman"/>
                <w:sz w:val="18"/>
                <w:szCs w:val="18"/>
              </w:rPr>
              <w:t>RGDP</w:t>
            </w:r>
          </w:p>
        </w:tc>
        <w:tc>
          <w:tcPr>
            <w:tcW w:w="887" w:type="dxa"/>
            <w:tcBorders>
              <w:bottom w:val="nil"/>
            </w:tcBorders>
          </w:tcPr>
          <w:p w14:paraId="623F53D4"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126</w:t>
            </w:r>
          </w:p>
        </w:tc>
        <w:tc>
          <w:tcPr>
            <w:tcW w:w="1315" w:type="dxa"/>
            <w:tcBorders>
              <w:bottom w:val="nil"/>
            </w:tcBorders>
          </w:tcPr>
          <w:p w14:paraId="327FD8E3"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color w:val="000000"/>
                <w:sz w:val="18"/>
                <w:szCs w:val="18"/>
              </w:rPr>
              <w:t>3.98014</w:t>
            </w:r>
          </w:p>
        </w:tc>
        <w:tc>
          <w:tcPr>
            <w:tcW w:w="1015" w:type="dxa"/>
            <w:tcBorders>
              <w:bottom w:val="nil"/>
            </w:tcBorders>
            <w:vAlign w:val="bottom"/>
          </w:tcPr>
          <w:p w14:paraId="6DB05361" w14:textId="77777777" w:rsidR="00D31621" w:rsidRPr="00A31355" w:rsidRDefault="00D31621" w:rsidP="00C45F51">
            <w:pPr>
              <w:autoSpaceDE w:val="0"/>
              <w:autoSpaceDN w:val="0"/>
              <w:adjustRightInd w:val="0"/>
              <w:spacing w:after="0" w:line="240" w:lineRule="auto"/>
              <w:ind w:right="10"/>
              <w:rPr>
                <w:rFonts w:ascii="Times New Roman" w:hAnsi="Times New Roman"/>
                <w:color w:val="000000"/>
                <w:sz w:val="18"/>
                <w:szCs w:val="18"/>
              </w:rPr>
            </w:pPr>
            <w:r w:rsidRPr="00A31355">
              <w:rPr>
                <w:rFonts w:ascii="Times New Roman" w:hAnsi="Times New Roman"/>
                <w:color w:val="000000"/>
                <w:sz w:val="18"/>
                <w:szCs w:val="18"/>
              </w:rPr>
              <w:t>0.0201</w:t>
            </w:r>
          </w:p>
        </w:tc>
        <w:tc>
          <w:tcPr>
            <w:tcW w:w="1727" w:type="dxa"/>
            <w:tcBorders>
              <w:bottom w:val="nil"/>
            </w:tcBorders>
          </w:tcPr>
          <w:p w14:paraId="207BA50E"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Reject Ho</w:t>
            </w:r>
          </w:p>
        </w:tc>
        <w:tc>
          <w:tcPr>
            <w:tcW w:w="2333" w:type="dxa"/>
            <w:tcBorders>
              <w:bottom w:val="nil"/>
              <w:right w:val="nil"/>
            </w:tcBorders>
          </w:tcPr>
          <w:p w14:paraId="4277C475"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Unidirectional Causality</w:t>
            </w:r>
          </w:p>
        </w:tc>
      </w:tr>
      <w:tr w:rsidR="00D31621" w:rsidRPr="00266D19" w14:paraId="3849E552" w14:textId="77777777" w:rsidTr="00303B4A">
        <w:trPr>
          <w:trHeight w:val="243"/>
        </w:trPr>
        <w:tc>
          <w:tcPr>
            <w:tcW w:w="1733" w:type="dxa"/>
            <w:tcBorders>
              <w:top w:val="nil"/>
              <w:left w:val="nil"/>
              <w:bottom w:val="single" w:sz="4" w:space="0" w:color="auto"/>
            </w:tcBorders>
          </w:tcPr>
          <w:p w14:paraId="4C89C0E0"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RGDP</w:t>
            </w:r>
            <w:r w:rsidRPr="00A31355">
              <w:rPr>
                <w:rFonts w:ascii="Cambria Math" w:hAnsi="Cambria Math" w:cs="Cambria Math"/>
                <w:sz w:val="18"/>
                <w:szCs w:val="18"/>
              </w:rPr>
              <w:t>↗</w:t>
            </w:r>
            <w:r w:rsidRPr="00A31355">
              <w:rPr>
                <w:rFonts w:ascii="Times New Roman" w:hAnsi="Times New Roman"/>
                <w:sz w:val="18"/>
                <w:szCs w:val="18"/>
              </w:rPr>
              <w:t xml:space="preserve"> INF</w:t>
            </w:r>
          </w:p>
        </w:tc>
        <w:tc>
          <w:tcPr>
            <w:tcW w:w="887" w:type="dxa"/>
            <w:tcBorders>
              <w:top w:val="nil"/>
              <w:bottom w:val="single" w:sz="4" w:space="0" w:color="auto"/>
            </w:tcBorders>
          </w:tcPr>
          <w:p w14:paraId="5BB94211"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126</w:t>
            </w:r>
          </w:p>
        </w:tc>
        <w:tc>
          <w:tcPr>
            <w:tcW w:w="1315" w:type="dxa"/>
            <w:tcBorders>
              <w:top w:val="nil"/>
              <w:bottom w:val="single" w:sz="4" w:space="0" w:color="auto"/>
            </w:tcBorders>
          </w:tcPr>
          <w:p w14:paraId="6D286735"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color w:val="000000"/>
                <w:sz w:val="18"/>
                <w:szCs w:val="18"/>
              </w:rPr>
              <w:t>1.67869</w:t>
            </w:r>
          </w:p>
        </w:tc>
        <w:tc>
          <w:tcPr>
            <w:tcW w:w="1015" w:type="dxa"/>
            <w:tcBorders>
              <w:top w:val="nil"/>
              <w:bottom w:val="single" w:sz="4" w:space="0" w:color="auto"/>
            </w:tcBorders>
            <w:vAlign w:val="bottom"/>
          </w:tcPr>
          <w:p w14:paraId="420C3EB6" w14:textId="77777777" w:rsidR="00D31621" w:rsidRPr="00A31355" w:rsidRDefault="00D31621" w:rsidP="00C45F51">
            <w:pPr>
              <w:autoSpaceDE w:val="0"/>
              <w:autoSpaceDN w:val="0"/>
              <w:adjustRightInd w:val="0"/>
              <w:spacing w:after="0" w:line="240" w:lineRule="auto"/>
              <w:ind w:right="10"/>
              <w:rPr>
                <w:rFonts w:ascii="Times New Roman" w:hAnsi="Times New Roman"/>
                <w:color w:val="000000"/>
                <w:sz w:val="18"/>
                <w:szCs w:val="18"/>
              </w:rPr>
            </w:pPr>
            <w:r w:rsidRPr="00A31355">
              <w:rPr>
                <w:rFonts w:ascii="Times New Roman" w:hAnsi="Times New Roman"/>
                <w:color w:val="000000"/>
                <w:sz w:val="18"/>
                <w:szCs w:val="18"/>
              </w:rPr>
              <w:t>0.1881</w:t>
            </w:r>
          </w:p>
        </w:tc>
        <w:tc>
          <w:tcPr>
            <w:tcW w:w="1727" w:type="dxa"/>
            <w:tcBorders>
              <w:top w:val="nil"/>
              <w:bottom w:val="single" w:sz="4" w:space="0" w:color="auto"/>
            </w:tcBorders>
          </w:tcPr>
          <w:p w14:paraId="6ACE99AA"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Do Not Reject  HO</w:t>
            </w:r>
          </w:p>
        </w:tc>
        <w:tc>
          <w:tcPr>
            <w:tcW w:w="2333" w:type="dxa"/>
            <w:tcBorders>
              <w:top w:val="nil"/>
              <w:bottom w:val="single" w:sz="4" w:space="0" w:color="auto"/>
              <w:right w:val="nil"/>
            </w:tcBorders>
          </w:tcPr>
          <w:p w14:paraId="12EA0EE3"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No causality</w:t>
            </w:r>
          </w:p>
        </w:tc>
      </w:tr>
      <w:tr w:rsidR="00D31621" w:rsidRPr="00266D19" w14:paraId="1339B1EB" w14:textId="77777777" w:rsidTr="00303B4A">
        <w:trPr>
          <w:trHeight w:val="400"/>
        </w:trPr>
        <w:tc>
          <w:tcPr>
            <w:tcW w:w="1733" w:type="dxa"/>
            <w:tcBorders>
              <w:left w:val="nil"/>
              <w:bottom w:val="nil"/>
            </w:tcBorders>
          </w:tcPr>
          <w:p w14:paraId="05EF3FE0"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 xml:space="preserve">EXR </w:t>
            </w:r>
            <w:r w:rsidRPr="00A31355">
              <w:rPr>
                <w:rFonts w:ascii="Cambria Math" w:hAnsi="Cambria Math" w:cs="Cambria Math"/>
                <w:sz w:val="18"/>
                <w:szCs w:val="18"/>
              </w:rPr>
              <w:t>↗</w:t>
            </w:r>
            <w:r w:rsidRPr="00A31355">
              <w:rPr>
                <w:rFonts w:ascii="Times New Roman" w:hAnsi="Times New Roman"/>
                <w:sz w:val="18"/>
                <w:szCs w:val="18"/>
              </w:rPr>
              <w:t>RGDP</w:t>
            </w:r>
          </w:p>
        </w:tc>
        <w:tc>
          <w:tcPr>
            <w:tcW w:w="887" w:type="dxa"/>
            <w:tcBorders>
              <w:bottom w:val="nil"/>
            </w:tcBorders>
          </w:tcPr>
          <w:p w14:paraId="467239FC"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126</w:t>
            </w:r>
          </w:p>
        </w:tc>
        <w:tc>
          <w:tcPr>
            <w:tcW w:w="1315" w:type="dxa"/>
            <w:tcBorders>
              <w:bottom w:val="nil"/>
            </w:tcBorders>
          </w:tcPr>
          <w:p w14:paraId="27274892"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color w:val="000000"/>
                <w:sz w:val="18"/>
                <w:szCs w:val="18"/>
              </w:rPr>
              <w:t>1.91912</w:t>
            </w:r>
          </w:p>
        </w:tc>
        <w:tc>
          <w:tcPr>
            <w:tcW w:w="1015" w:type="dxa"/>
            <w:tcBorders>
              <w:bottom w:val="nil"/>
            </w:tcBorders>
            <w:vAlign w:val="bottom"/>
          </w:tcPr>
          <w:p w14:paraId="2917E295" w14:textId="77777777" w:rsidR="00D31621" w:rsidRPr="00A31355" w:rsidRDefault="00D31621" w:rsidP="00C45F51">
            <w:pPr>
              <w:autoSpaceDE w:val="0"/>
              <w:autoSpaceDN w:val="0"/>
              <w:adjustRightInd w:val="0"/>
              <w:spacing w:after="0" w:line="240" w:lineRule="auto"/>
              <w:ind w:right="10"/>
              <w:rPr>
                <w:rFonts w:ascii="Times New Roman" w:hAnsi="Times New Roman"/>
                <w:color w:val="000000"/>
                <w:sz w:val="18"/>
                <w:szCs w:val="18"/>
              </w:rPr>
            </w:pPr>
            <w:r w:rsidRPr="00A31355">
              <w:rPr>
                <w:rFonts w:ascii="Times New Roman" w:hAnsi="Times New Roman"/>
                <w:color w:val="000000"/>
                <w:sz w:val="18"/>
                <w:szCs w:val="18"/>
              </w:rPr>
              <w:t>0.1512</w:t>
            </w:r>
          </w:p>
          <w:p w14:paraId="145C23EE" w14:textId="77777777" w:rsidR="00D31621" w:rsidRPr="00A31355" w:rsidRDefault="00D31621" w:rsidP="00C45F51">
            <w:pPr>
              <w:autoSpaceDE w:val="0"/>
              <w:autoSpaceDN w:val="0"/>
              <w:adjustRightInd w:val="0"/>
              <w:spacing w:after="0" w:line="240" w:lineRule="auto"/>
              <w:ind w:right="10"/>
              <w:rPr>
                <w:rFonts w:ascii="Times New Roman" w:hAnsi="Times New Roman"/>
                <w:color w:val="000000"/>
                <w:sz w:val="18"/>
                <w:szCs w:val="18"/>
              </w:rPr>
            </w:pPr>
          </w:p>
        </w:tc>
        <w:tc>
          <w:tcPr>
            <w:tcW w:w="1727" w:type="dxa"/>
            <w:tcBorders>
              <w:bottom w:val="nil"/>
            </w:tcBorders>
          </w:tcPr>
          <w:p w14:paraId="2DDB24F9"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Do Not Reject  HO</w:t>
            </w:r>
          </w:p>
        </w:tc>
        <w:tc>
          <w:tcPr>
            <w:tcW w:w="2333" w:type="dxa"/>
            <w:tcBorders>
              <w:bottom w:val="nil"/>
              <w:right w:val="nil"/>
            </w:tcBorders>
          </w:tcPr>
          <w:p w14:paraId="4B26312F"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No causality</w:t>
            </w:r>
          </w:p>
        </w:tc>
      </w:tr>
      <w:tr w:rsidR="00D31621" w:rsidRPr="00266D19" w14:paraId="2A92FB9A" w14:textId="77777777" w:rsidTr="00303B4A">
        <w:trPr>
          <w:trHeight w:val="257"/>
        </w:trPr>
        <w:tc>
          <w:tcPr>
            <w:tcW w:w="1733" w:type="dxa"/>
            <w:tcBorders>
              <w:top w:val="nil"/>
              <w:left w:val="nil"/>
              <w:bottom w:val="single" w:sz="4" w:space="0" w:color="auto"/>
            </w:tcBorders>
          </w:tcPr>
          <w:p w14:paraId="276B2FAE"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RGDP</w:t>
            </w:r>
            <w:r w:rsidRPr="00A31355">
              <w:rPr>
                <w:rFonts w:ascii="Cambria Math" w:hAnsi="Cambria Math" w:cs="Cambria Math"/>
                <w:sz w:val="18"/>
                <w:szCs w:val="18"/>
              </w:rPr>
              <w:t>↗</w:t>
            </w:r>
            <w:r w:rsidRPr="00A31355">
              <w:rPr>
                <w:rFonts w:ascii="Times New Roman" w:hAnsi="Times New Roman"/>
                <w:sz w:val="18"/>
                <w:szCs w:val="18"/>
              </w:rPr>
              <w:t xml:space="preserve"> EXR</w:t>
            </w:r>
          </w:p>
        </w:tc>
        <w:tc>
          <w:tcPr>
            <w:tcW w:w="887" w:type="dxa"/>
            <w:tcBorders>
              <w:top w:val="nil"/>
              <w:bottom w:val="single" w:sz="4" w:space="0" w:color="auto"/>
            </w:tcBorders>
          </w:tcPr>
          <w:p w14:paraId="5610FF99"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126</w:t>
            </w:r>
          </w:p>
        </w:tc>
        <w:tc>
          <w:tcPr>
            <w:tcW w:w="1315" w:type="dxa"/>
            <w:tcBorders>
              <w:top w:val="nil"/>
              <w:bottom w:val="single" w:sz="4" w:space="0" w:color="auto"/>
            </w:tcBorders>
          </w:tcPr>
          <w:p w14:paraId="652A852B"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color w:val="000000"/>
                <w:sz w:val="18"/>
                <w:szCs w:val="18"/>
              </w:rPr>
              <w:t> 6.59434</w:t>
            </w:r>
          </w:p>
        </w:tc>
        <w:tc>
          <w:tcPr>
            <w:tcW w:w="1015" w:type="dxa"/>
            <w:tcBorders>
              <w:top w:val="nil"/>
              <w:bottom w:val="single" w:sz="4" w:space="0" w:color="auto"/>
            </w:tcBorders>
          </w:tcPr>
          <w:p w14:paraId="2B43B4BD"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color w:val="000000"/>
                <w:sz w:val="18"/>
                <w:szCs w:val="18"/>
              </w:rPr>
              <w:t>0.0019</w:t>
            </w:r>
          </w:p>
        </w:tc>
        <w:tc>
          <w:tcPr>
            <w:tcW w:w="1727" w:type="dxa"/>
            <w:tcBorders>
              <w:top w:val="nil"/>
              <w:bottom w:val="single" w:sz="4" w:space="0" w:color="auto"/>
            </w:tcBorders>
          </w:tcPr>
          <w:p w14:paraId="5F7982A3"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Reject Ho</w:t>
            </w:r>
          </w:p>
        </w:tc>
        <w:tc>
          <w:tcPr>
            <w:tcW w:w="2333" w:type="dxa"/>
            <w:tcBorders>
              <w:top w:val="nil"/>
              <w:bottom w:val="single" w:sz="4" w:space="0" w:color="auto"/>
              <w:right w:val="nil"/>
            </w:tcBorders>
          </w:tcPr>
          <w:p w14:paraId="53958819" w14:textId="77777777" w:rsidR="00D31621" w:rsidRPr="00A31355" w:rsidRDefault="00D31621" w:rsidP="00C45F51">
            <w:pPr>
              <w:spacing w:after="0" w:line="240" w:lineRule="auto"/>
              <w:rPr>
                <w:rFonts w:ascii="Times New Roman" w:hAnsi="Times New Roman"/>
                <w:sz w:val="18"/>
                <w:szCs w:val="18"/>
              </w:rPr>
            </w:pPr>
            <w:r w:rsidRPr="00A31355">
              <w:rPr>
                <w:rFonts w:ascii="Times New Roman" w:hAnsi="Times New Roman"/>
                <w:sz w:val="18"/>
                <w:szCs w:val="18"/>
              </w:rPr>
              <w:t>Unidirectional Causality</w:t>
            </w:r>
          </w:p>
        </w:tc>
      </w:tr>
    </w:tbl>
    <w:p w14:paraId="63CB1896" w14:textId="77777777" w:rsidR="00D31621" w:rsidRPr="00706764" w:rsidRDefault="00D31621" w:rsidP="00C45F51">
      <w:pPr>
        <w:spacing w:after="0" w:line="240" w:lineRule="auto"/>
        <w:ind w:firstLine="720"/>
        <w:jc w:val="both"/>
        <w:rPr>
          <w:rFonts w:ascii="Times New Roman" w:hAnsi="Times New Roman"/>
          <w:b/>
          <w:bCs/>
          <w:i/>
          <w:iCs/>
          <w:sz w:val="20"/>
          <w:szCs w:val="20"/>
        </w:rPr>
      </w:pPr>
      <w:r w:rsidRPr="00706764">
        <w:rPr>
          <w:rFonts w:ascii="Times New Roman" w:hAnsi="Times New Roman"/>
          <w:b/>
          <w:bCs/>
          <w:i/>
          <w:iCs/>
          <w:sz w:val="20"/>
          <w:szCs w:val="20"/>
        </w:rPr>
        <w:t>Source: Author’s Computation using Eviews 10</w:t>
      </w:r>
    </w:p>
    <w:p w14:paraId="017B23F0" w14:textId="77777777" w:rsidR="00D31621" w:rsidRPr="003D500A" w:rsidRDefault="00D31621" w:rsidP="00C45F51">
      <w:pPr>
        <w:spacing w:after="0" w:line="240" w:lineRule="auto"/>
        <w:ind w:firstLine="720"/>
        <w:jc w:val="both"/>
        <w:rPr>
          <w:rFonts w:ascii="Times New Roman" w:hAnsi="Times New Roman"/>
          <w:sz w:val="12"/>
          <w:szCs w:val="24"/>
        </w:rPr>
      </w:pPr>
    </w:p>
    <w:p w14:paraId="0814F372" w14:textId="77777777" w:rsidR="00A37B23" w:rsidRDefault="00A37B23" w:rsidP="00706764">
      <w:pPr>
        <w:spacing w:after="240" w:line="240" w:lineRule="auto"/>
        <w:rPr>
          <w:rFonts w:ascii="Times New Roman" w:hAnsi="Times New Roman"/>
          <w:sz w:val="24"/>
          <w:szCs w:val="24"/>
        </w:rPr>
        <w:sectPr w:rsidR="00A37B23" w:rsidSect="004267E7">
          <w:type w:val="continuous"/>
          <w:pgSz w:w="12240" w:h="15840"/>
          <w:pgMar w:top="1135" w:right="1440" w:bottom="1440" w:left="1440" w:header="720" w:footer="720" w:gutter="0"/>
          <w:cols w:space="720"/>
          <w:docGrid w:linePitch="360"/>
        </w:sectPr>
      </w:pPr>
    </w:p>
    <w:p w14:paraId="6C1E61D0" w14:textId="540A748E" w:rsidR="00D31621" w:rsidRPr="00A37B23" w:rsidRDefault="00D31621" w:rsidP="00706764">
      <w:pPr>
        <w:spacing w:after="240" w:line="240" w:lineRule="auto"/>
        <w:rPr>
          <w:rFonts w:ascii="Times New Roman" w:hAnsi="Times New Roman"/>
          <w:sz w:val="24"/>
          <w:szCs w:val="24"/>
        </w:rPr>
      </w:pPr>
      <w:r w:rsidRPr="00A37B23">
        <w:rPr>
          <w:rFonts w:ascii="Times New Roman" w:hAnsi="Times New Roman"/>
          <w:sz w:val="24"/>
          <w:szCs w:val="24"/>
        </w:rPr>
        <w:t xml:space="preserve">The result of the Granger causality test in Table </w:t>
      </w:r>
      <w:r w:rsidR="000A1A7B" w:rsidRPr="00A37B23">
        <w:rPr>
          <w:rFonts w:ascii="Times New Roman" w:hAnsi="Times New Roman"/>
          <w:sz w:val="24"/>
          <w:szCs w:val="24"/>
        </w:rPr>
        <w:t>16</w:t>
      </w:r>
      <w:r w:rsidRPr="00A37B23">
        <w:rPr>
          <w:rFonts w:ascii="Times New Roman" w:hAnsi="Times New Roman"/>
          <w:sz w:val="24"/>
          <w:szCs w:val="24"/>
        </w:rPr>
        <w:t xml:space="preserve"> reveal</w:t>
      </w:r>
      <w:r w:rsidR="000A1A7B" w:rsidRPr="00A37B23">
        <w:rPr>
          <w:rFonts w:ascii="Times New Roman" w:hAnsi="Times New Roman"/>
          <w:sz w:val="24"/>
          <w:szCs w:val="24"/>
        </w:rPr>
        <w:t>ed</w:t>
      </w:r>
      <w:r w:rsidRPr="00A37B23">
        <w:rPr>
          <w:rFonts w:ascii="Times New Roman" w:hAnsi="Times New Roman"/>
          <w:sz w:val="24"/>
          <w:szCs w:val="24"/>
        </w:rPr>
        <w:t xml:space="preserve"> bidirectional causality between M</w:t>
      </w:r>
      <w:r w:rsidRPr="00A37B23">
        <w:rPr>
          <w:rFonts w:ascii="Times New Roman" w:hAnsi="Times New Roman"/>
          <w:sz w:val="24"/>
          <w:szCs w:val="24"/>
          <w:vertAlign w:val="subscript"/>
        </w:rPr>
        <w:t>2</w:t>
      </w:r>
      <w:r w:rsidRPr="00A37B23">
        <w:rPr>
          <w:rFonts w:ascii="Times New Roman" w:hAnsi="Times New Roman"/>
          <w:sz w:val="24"/>
          <w:szCs w:val="24"/>
        </w:rPr>
        <w:t>/GDP (financial depth) and RGDP (economic growth), a unidirectional causation between P/TDS (financial access) and RGDP (economic growth) with causation running from RGDP to P/TDS.</w:t>
      </w:r>
      <w:r w:rsidRPr="00A37B23">
        <w:rPr>
          <w:rFonts w:ascii="Times New Roman" w:hAnsi="Times New Roman"/>
          <w:b/>
          <w:sz w:val="24"/>
          <w:szCs w:val="24"/>
        </w:rPr>
        <w:t xml:space="preserve"> </w:t>
      </w:r>
      <w:r w:rsidRPr="00A37B23">
        <w:rPr>
          <w:rFonts w:ascii="Times New Roman" w:hAnsi="Times New Roman"/>
          <w:sz w:val="24"/>
          <w:szCs w:val="24"/>
        </w:rPr>
        <w:t>The result also reveals a unidirectional causation between LDS (financial efficiency) and RGDP (economic growth) with causation running from LDS to RGDP. Similarly, the study found a unidirectional causation between LR (financial stability) and RGDP (economic growth) with causation running from LR to RGDP. A unidirectional causation was also found between SMR (stock market returns) and RGDP (economic growth) running from RGDP to SMR. On the other hand, causation between INF (inflation) and RGDP (economic growth) indicate</w:t>
      </w:r>
      <w:r w:rsidR="000A1A7B" w:rsidRPr="00A37B23">
        <w:rPr>
          <w:rFonts w:ascii="Times New Roman" w:hAnsi="Times New Roman"/>
          <w:sz w:val="24"/>
          <w:szCs w:val="24"/>
        </w:rPr>
        <w:t>d</w:t>
      </w:r>
      <w:r w:rsidRPr="00A37B23">
        <w:rPr>
          <w:rFonts w:ascii="Times New Roman" w:hAnsi="Times New Roman"/>
          <w:sz w:val="24"/>
          <w:szCs w:val="24"/>
        </w:rPr>
        <w:t xml:space="preserve"> a unidirectional relationship running from INF to RGDP while causation between EXR </w:t>
      </w:r>
      <w:r w:rsidRPr="00A37B23">
        <w:rPr>
          <w:rFonts w:ascii="Times New Roman" w:hAnsi="Times New Roman"/>
          <w:sz w:val="24"/>
          <w:szCs w:val="24"/>
        </w:rPr>
        <w:t xml:space="preserve">(exchange rate) and RGDP (economic growth) is also unidirectional and run from RGDP to EXR. </w:t>
      </w:r>
    </w:p>
    <w:p w14:paraId="649B482C" w14:textId="1D75801D" w:rsidR="00D31621" w:rsidRPr="00A37B23" w:rsidRDefault="00D31621" w:rsidP="00706764">
      <w:pPr>
        <w:pStyle w:val="ListParagraph"/>
        <w:numPr>
          <w:ilvl w:val="0"/>
          <w:numId w:val="34"/>
        </w:numPr>
        <w:spacing w:after="0" w:line="240" w:lineRule="auto"/>
        <w:ind w:left="426"/>
        <w:rPr>
          <w:rFonts w:ascii="Times New Roman" w:hAnsi="Times New Roman"/>
          <w:b/>
          <w:sz w:val="24"/>
          <w:szCs w:val="24"/>
        </w:rPr>
      </w:pPr>
      <w:r w:rsidRPr="00A37B23">
        <w:rPr>
          <w:rFonts w:ascii="Times New Roman" w:hAnsi="Times New Roman"/>
          <w:b/>
          <w:sz w:val="24"/>
          <w:szCs w:val="24"/>
        </w:rPr>
        <w:t>Hypotheses Testing</w:t>
      </w:r>
    </w:p>
    <w:p w14:paraId="342C9CAC" w14:textId="77777777" w:rsidR="00D31621" w:rsidRPr="00A37B23" w:rsidRDefault="00D31621" w:rsidP="00706764">
      <w:pPr>
        <w:spacing w:after="0" w:line="240" w:lineRule="auto"/>
        <w:rPr>
          <w:rFonts w:ascii="Times New Roman" w:hAnsi="Times New Roman"/>
          <w:sz w:val="24"/>
          <w:szCs w:val="24"/>
          <w:lang w:val="en-ZA"/>
        </w:rPr>
      </w:pPr>
      <w:r w:rsidRPr="00A37B23">
        <w:rPr>
          <w:rFonts w:ascii="Times New Roman" w:hAnsi="Times New Roman"/>
          <w:sz w:val="24"/>
          <w:szCs w:val="24"/>
          <w:lang w:val="en-ZA"/>
        </w:rPr>
        <w:t>The five null hypotheses of the study are tested at 0.05 (5%) level of significance.</w:t>
      </w:r>
    </w:p>
    <w:p w14:paraId="5AC7C9BE" w14:textId="77777777" w:rsidR="000A1A7B" w:rsidRPr="00A37B23" w:rsidRDefault="000A1A7B" w:rsidP="00706764">
      <w:pPr>
        <w:spacing w:after="0" w:line="240" w:lineRule="auto"/>
        <w:rPr>
          <w:rFonts w:ascii="Times New Roman" w:hAnsi="Times New Roman"/>
          <w:b/>
          <w:i/>
          <w:sz w:val="24"/>
          <w:szCs w:val="24"/>
          <w:lang w:val="en-ZA"/>
        </w:rPr>
      </w:pPr>
    </w:p>
    <w:p w14:paraId="2E834069" w14:textId="3FC09959" w:rsidR="00D31621" w:rsidRPr="00A37B23" w:rsidRDefault="00D31621" w:rsidP="00706764">
      <w:pPr>
        <w:spacing w:after="0" w:line="240" w:lineRule="auto"/>
        <w:rPr>
          <w:rFonts w:ascii="Times New Roman" w:hAnsi="Times New Roman"/>
          <w:sz w:val="24"/>
          <w:szCs w:val="24"/>
          <w:lang w:val="en-ZA"/>
        </w:rPr>
      </w:pPr>
      <w:r w:rsidRPr="00A37B23">
        <w:rPr>
          <w:rFonts w:ascii="Times New Roman" w:hAnsi="Times New Roman"/>
          <w:b/>
          <w:i/>
          <w:sz w:val="24"/>
          <w:szCs w:val="24"/>
          <w:lang w:val="en-ZA"/>
        </w:rPr>
        <w:t>Decision Rule</w:t>
      </w:r>
      <w:r w:rsidRPr="00A37B23">
        <w:rPr>
          <w:rFonts w:ascii="Times New Roman" w:hAnsi="Times New Roman"/>
          <w:i/>
          <w:sz w:val="24"/>
          <w:szCs w:val="24"/>
          <w:lang w:val="en-ZA"/>
        </w:rPr>
        <w:t xml:space="preserve">: </w:t>
      </w:r>
      <w:r w:rsidRPr="00A37B23">
        <w:rPr>
          <w:rFonts w:ascii="Times New Roman" w:hAnsi="Times New Roman"/>
          <w:sz w:val="24"/>
          <w:szCs w:val="24"/>
          <w:lang w:val="en-ZA"/>
        </w:rPr>
        <w:t>Reject the null hypotheses if the probability value (p-value) of the variable of interest is less than 0.05 (5%) level of significance.</w:t>
      </w:r>
    </w:p>
    <w:p w14:paraId="7C4AD262" w14:textId="77777777" w:rsidR="00546994" w:rsidRPr="00A37B23" w:rsidRDefault="00546994" w:rsidP="00706764">
      <w:pPr>
        <w:spacing w:after="0" w:line="240" w:lineRule="auto"/>
        <w:rPr>
          <w:rFonts w:ascii="Times New Roman" w:hAnsi="Times New Roman"/>
          <w:sz w:val="24"/>
          <w:szCs w:val="24"/>
          <w:lang w:val="en-ZA"/>
        </w:rPr>
      </w:pPr>
    </w:p>
    <w:p w14:paraId="5D75FC6D" w14:textId="77777777" w:rsidR="00D31621" w:rsidRPr="00A37B23" w:rsidRDefault="00D31621" w:rsidP="00706764">
      <w:pPr>
        <w:spacing w:after="0" w:line="240" w:lineRule="auto"/>
        <w:rPr>
          <w:rFonts w:ascii="Times New Roman" w:hAnsi="Times New Roman"/>
          <w:b/>
          <w:sz w:val="24"/>
          <w:szCs w:val="24"/>
          <w:lang w:val="en-ZA"/>
        </w:rPr>
      </w:pPr>
      <w:r w:rsidRPr="00A37B23">
        <w:rPr>
          <w:rFonts w:ascii="Times New Roman" w:hAnsi="Times New Roman"/>
          <w:b/>
          <w:sz w:val="24"/>
          <w:szCs w:val="24"/>
          <w:lang w:val="en-ZA"/>
        </w:rPr>
        <w:t>Hypothesis One</w:t>
      </w:r>
    </w:p>
    <w:p w14:paraId="1261C122" w14:textId="2D56D2F7" w:rsidR="00C431A7" w:rsidRPr="00A37B23" w:rsidRDefault="00D31621" w:rsidP="00706764">
      <w:pPr>
        <w:spacing w:after="0" w:line="240" w:lineRule="auto"/>
        <w:rPr>
          <w:rFonts w:ascii="Times New Roman" w:hAnsi="Times New Roman"/>
          <w:sz w:val="24"/>
          <w:szCs w:val="24"/>
        </w:rPr>
      </w:pPr>
      <w:r w:rsidRPr="00A37B23">
        <w:rPr>
          <w:rFonts w:ascii="Times New Roman" w:hAnsi="Times New Roman"/>
          <w:sz w:val="24"/>
          <w:szCs w:val="24"/>
        </w:rPr>
        <w:t xml:space="preserve">In order to achieve objective one of the </w:t>
      </w:r>
      <w:r w:rsidR="00196EFE" w:rsidRPr="00A37B23">
        <w:rPr>
          <w:rFonts w:ascii="Times New Roman" w:hAnsi="Times New Roman"/>
          <w:sz w:val="24"/>
          <w:szCs w:val="24"/>
        </w:rPr>
        <w:t>study</w:t>
      </w:r>
      <w:r w:rsidRPr="00A37B23">
        <w:rPr>
          <w:rFonts w:ascii="Times New Roman" w:hAnsi="Times New Roman"/>
          <w:sz w:val="24"/>
          <w:szCs w:val="24"/>
        </w:rPr>
        <w:t>, the null hypothesis of the study stated as “</w:t>
      </w:r>
      <w:r w:rsidRPr="00A37B23">
        <w:rPr>
          <w:rFonts w:ascii="Times New Roman" w:hAnsi="Times New Roman"/>
          <w:iCs/>
          <w:sz w:val="24"/>
          <w:szCs w:val="24"/>
        </w:rPr>
        <w:t>there is no significant causal relationship between ratio of money supply to GDP (</w:t>
      </w:r>
      <w:r w:rsidRPr="00A37B23">
        <w:rPr>
          <w:rFonts w:ascii="Times New Roman" w:hAnsi="Times New Roman"/>
          <w:sz w:val="24"/>
          <w:szCs w:val="24"/>
        </w:rPr>
        <w:t>M2/GDP)</w:t>
      </w:r>
      <w:r w:rsidRPr="00A37B23">
        <w:rPr>
          <w:rFonts w:ascii="Times New Roman" w:hAnsi="Times New Roman"/>
          <w:iCs/>
          <w:sz w:val="24"/>
          <w:szCs w:val="24"/>
        </w:rPr>
        <w:t xml:space="preserve"> and economic growth in Nigeria</w:t>
      </w:r>
      <w:r w:rsidRPr="00A37B23">
        <w:rPr>
          <w:rFonts w:ascii="Times New Roman" w:hAnsi="Times New Roman"/>
          <w:sz w:val="24"/>
          <w:szCs w:val="24"/>
        </w:rPr>
        <w:t xml:space="preserve">” was tested using the Pairwise Granger Causality Results in Table </w:t>
      </w:r>
      <w:r w:rsidR="000A1A7B" w:rsidRPr="00A37B23">
        <w:rPr>
          <w:rFonts w:ascii="Times New Roman" w:hAnsi="Times New Roman"/>
          <w:sz w:val="24"/>
          <w:szCs w:val="24"/>
        </w:rPr>
        <w:t>16</w:t>
      </w:r>
      <w:r w:rsidRPr="00A37B23">
        <w:rPr>
          <w:rFonts w:ascii="Times New Roman" w:hAnsi="Times New Roman"/>
          <w:sz w:val="24"/>
          <w:szCs w:val="24"/>
        </w:rPr>
        <w:t xml:space="preserve">. </w:t>
      </w:r>
    </w:p>
    <w:p w14:paraId="4B3AFF88" w14:textId="6B896CFD" w:rsidR="00D31621" w:rsidRPr="00A37B23" w:rsidRDefault="00D31621" w:rsidP="00706764">
      <w:pPr>
        <w:spacing w:after="0" w:line="240" w:lineRule="auto"/>
        <w:rPr>
          <w:rFonts w:ascii="Times New Roman" w:hAnsi="Times New Roman"/>
          <w:sz w:val="24"/>
          <w:szCs w:val="24"/>
        </w:rPr>
      </w:pPr>
      <w:r w:rsidRPr="00A37B23">
        <w:rPr>
          <w:rFonts w:ascii="Times New Roman" w:hAnsi="Times New Roman"/>
          <w:b/>
          <w:i/>
          <w:sz w:val="24"/>
          <w:szCs w:val="24"/>
        </w:rPr>
        <w:t xml:space="preserve">Decision: </w:t>
      </w:r>
      <w:r w:rsidRPr="00A37B23">
        <w:rPr>
          <w:rFonts w:ascii="Times New Roman" w:hAnsi="Times New Roman"/>
          <w:sz w:val="24"/>
          <w:szCs w:val="24"/>
        </w:rPr>
        <w:t xml:space="preserve">The result in table </w:t>
      </w:r>
      <w:r w:rsidR="000A1A7B" w:rsidRPr="00A37B23">
        <w:rPr>
          <w:rFonts w:ascii="Times New Roman" w:hAnsi="Times New Roman"/>
          <w:sz w:val="24"/>
          <w:szCs w:val="24"/>
        </w:rPr>
        <w:t>16</w:t>
      </w:r>
      <w:r w:rsidRPr="00A37B23">
        <w:rPr>
          <w:rFonts w:ascii="Times New Roman" w:hAnsi="Times New Roman"/>
          <w:sz w:val="24"/>
          <w:szCs w:val="24"/>
        </w:rPr>
        <w:t xml:space="preserve"> indicate</w:t>
      </w:r>
      <w:r w:rsidR="000A1A7B" w:rsidRPr="00A37B23">
        <w:rPr>
          <w:rFonts w:ascii="Times New Roman" w:hAnsi="Times New Roman"/>
          <w:sz w:val="24"/>
          <w:szCs w:val="24"/>
        </w:rPr>
        <w:t>d</w:t>
      </w:r>
      <w:r w:rsidRPr="00A37B23">
        <w:rPr>
          <w:rFonts w:ascii="Times New Roman" w:hAnsi="Times New Roman"/>
          <w:sz w:val="24"/>
          <w:szCs w:val="24"/>
        </w:rPr>
        <w:t xml:space="preserve"> that the probability values (p-value) of the </w:t>
      </w:r>
      <w:r w:rsidRPr="00A37B23">
        <w:rPr>
          <w:rFonts w:ascii="Times New Roman" w:hAnsi="Times New Roman"/>
          <w:sz w:val="24"/>
          <w:szCs w:val="24"/>
        </w:rPr>
        <w:lastRenderedPageBreak/>
        <w:t>pairwise causality between M</w:t>
      </w:r>
      <w:r w:rsidRPr="00A37B23">
        <w:rPr>
          <w:rFonts w:ascii="Times New Roman" w:hAnsi="Times New Roman"/>
          <w:sz w:val="24"/>
          <w:szCs w:val="24"/>
          <w:vertAlign w:val="subscript"/>
        </w:rPr>
        <w:t>2</w:t>
      </w:r>
      <w:r w:rsidRPr="00A37B23">
        <w:rPr>
          <w:rFonts w:ascii="Times New Roman" w:hAnsi="Times New Roman"/>
          <w:sz w:val="24"/>
          <w:szCs w:val="24"/>
        </w:rPr>
        <w:t>/GDP (financial depth) and economic growth (RGDP) is 0.0312 and between RGDP (economic growth) and M</w:t>
      </w:r>
      <w:r w:rsidRPr="00A37B23">
        <w:rPr>
          <w:rFonts w:ascii="Times New Roman" w:hAnsi="Times New Roman"/>
          <w:sz w:val="24"/>
          <w:szCs w:val="24"/>
          <w:vertAlign w:val="subscript"/>
        </w:rPr>
        <w:t>2</w:t>
      </w:r>
      <w:r w:rsidRPr="00A37B23">
        <w:rPr>
          <w:rFonts w:ascii="Times New Roman" w:hAnsi="Times New Roman"/>
          <w:sz w:val="24"/>
          <w:szCs w:val="24"/>
        </w:rPr>
        <w:t xml:space="preserve">/GDP (financial depth) is 0.0027, both of which are less than 0.05 level of significance. It means that the p-values are significant; </w:t>
      </w:r>
      <w:r w:rsidR="00196EFE" w:rsidRPr="00A37B23">
        <w:rPr>
          <w:rFonts w:ascii="Times New Roman" w:hAnsi="Times New Roman"/>
          <w:sz w:val="24"/>
          <w:szCs w:val="24"/>
        </w:rPr>
        <w:t>thus,</w:t>
      </w:r>
      <w:r w:rsidRPr="00A37B23">
        <w:rPr>
          <w:rFonts w:ascii="Times New Roman" w:hAnsi="Times New Roman"/>
          <w:sz w:val="24"/>
          <w:szCs w:val="24"/>
        </w:rPr>
        <w:t xml:space="preserve"> we reject</w:t>
      </w:r>
      <w:r w:rsidR="000A1A7B" w:rsidRPr="00A37B23">
        <w:rPr>
          <w:rFonts w:ascii="Times New Roman" w:hAnsi="Times New Roman"/>
          <w:sz w:val="24"/>
          <w:szCs w:val="24"/>
        </w:rPr>
        <w:t>ed</w:t>
      </w:r>
      <w:r w:rsidRPr="00A37B23">
        <w:rPr>
          <w:rFonts w:ascii="Times New Roman" w:hAnsi="Times New Roman"/>
          <w:sz w:val="24"/>
          <w:szCs w:val="24"/>
        </w:rPr>
        <w:t xml:space="preserve"> the null hypothesis of no significant causal relationship </w:t>
      </w:r>
      <w:r w:rsidRPr="00A37B23">
        <w:rPr>
          <w:rFonts w:ascii="Times New Roman" w:hAnsi="Times New Roman"/>
          <w:iCs/>
          <w:sz w:val="24"/>
          <w:szCs w:val="24"/>
        </w:rPr>
        <w:t>between ratio of money supply to GDP (</w:t>
      </w:r>
      <w:r w:rsidRPr="00A37B23">
        <w:rPr>
          <w:rFonts w:ascii="Times New Roman" w:hAnsi="Times New Roman"/>
          <w:sz w:val="24"/>
          <w:szCs w:val="24"/>
        </w:rPr>
        <w:t>M</w:t>
      </w:r>
      <w:r w:rsidRPr="00A37B23">
        <w:rPr>
          <w:rFonts w:ascii="Times New Roman" w:hAnsi="Times New Roman"/>
          <w:sz w:val="24"/>
          <w:szCs w:val="24"/>
          <w:vertAlign w:val="subscript"/>
        </w:rPr>
        <w:t>2</w:t>
      </w:r>
      <w:r w:rsidRPr="00A37B23">
        <w:rPr>
          <w:rFonts w:ascii="Times New Roman" w:hAnsi="Times New Roman"/>
          <w:sz w:val="24"/>
          <w:szCs w:val="24"/>
        </w:rPr>
        <w:t>/GDP)</w:t>
      </w:r>
      <w:r w:rsidRPr="00A37B23">
        <w:rPr>
          <w:rFonts w:ascii="Times New Roman" w:hAnsi="Times New Roman"/>
          <w:iCs/>
          <w:sz w:val="24"/>
          <w:szCs w:val="24"/>
        </w:rPr>
        <w:t xml:space="preserve"> and </w:t>
      </w:r>
      <w:r w:rsidRPr="00A37B23">
        <w:rPr>
          <w:rFonts w:ascii="Times New Roman" w:hAnsi="Times New Roman"/>
          <w:sz w:val="24"/>
          <w:szCs w:val="24"/>
        </w:rPr>
        <w:t>RGDP</w:t>
      </w:r>
      <w:r w:rsidRPr="00A37B23">
        <w:rPr>
          <w:rFonts w:ascii="Times New Roman" w:hAnsi="Times New Roman"/>
          <w:iCs/>
          <w:sz w:val="24"/>
          <w:szCs w:val="24"/>
        </w:rPr>
        <w:t xml:space="preserve"> (economic growth) in Nigeria</w:t>
      </w:r>
      <w:r w:rsidRPr="00A37B23">
        <w:rPr>
          <w:rFonts w:ascii="Times New Roman" w:hAnsi="Times New Roman"/>
          <w:sz w:val="24"/>
          <w:szCs w:val="24"/>
        </w:rPr>
        <w:t xml:space="preserve"> and conclude that, there exists a significant causal relationship between M</w:t>
      </w:r>
      <w:r w:rsidRPr="00A37B23">
        <w:rPr>
          <w:rFonts w:ascii="Times New Roman" w:hAnsi="Times New Roman"/>
          <w:sz w:val="24"/>
          <w:szCs w:val="24"/>
          <w:vertAlign w:val="subscript"/>
        </w:rPr>
        <w:t>2</w:t>
      </w:r>
      <w:r w:rsidRPr="00A37B23">
        <w:rPr>
          <w:rFonts w:ascii="Times New Roman" w:hAnsi="Times New Roman"/>
          <w:sz w:val="24"/>
          <w:szCs w:val="24"/>
        </w:rPr>
        <w:t>/GDP and RGDP in Nigeria.  Hence, M</w:t>
      </w:r>
      <w:r w:rsidRPr="00A37B23">
        <w:rPr>
          <w:rFonts w:ascii="Times New Roman" w:hAnsi="Times New Roman"/>
          <w:sz w:val="24"/>
          <w:szCs w:val="24"/>
          <w:vertAlign w:val="subscript"/>
        </w:rPr>
        <w:t>2</w:t>
      </w:r>
      <w:r w:rsidRPr="00A37B23">
        <w:rPr>
          <w:rFonts w:ascii="Times New Roman" w:hAnsi="Times New Roman"/>
          <w:sz w:val="24"/>
          <w:szCs w:val="24"/>
        </w:rPr>
        <w:t>/GDP</w:t>
      </w:r>
      <w:r w:rsidRPr="00A37B23">
        <w:rPr>
          <w:rFonts w:ascii="Times New Roman" w:hAnsi="Times New Roman"/>
          <w:iCs/>
          <w:sz w:val="24"/>
          <w:szCs w:val="24"/>
        </w:rPr>
        <w:t xml:space="preserve"> influence</w:t>
      </w:r>
      <w:r w:rsidR="000A1A7B" w:rsidRPr="00A37B23">
        <w:rPr>
          <w:rFonts w:ascii="Times New Roman" w:hAnsi="Times New Roman"/>
          <w:iCs/>
          <w:sz w:val="24"/>
          <w:szCs w:val="24"/>
        </w:rPr>
        <w:t>d</w:t>
      </w:r>
      <w:r w:rsidRPr="00A37B23">
        <w:rPr>
          <w:rFonts w:ascii="Times New Roman" w:hAnsi="Times New Roman"/>
          <w:iCs/>
          <w:sz w:val="24"/>
          <w:szCs w:val="24"/>
        </w:rPr>
        <w:t xml:space="preserve"> or affect</w:t>
      </w:r>
      <w:r w:rsidR="000A1A7B" w:rsidRPr="00A37B23">
        <w:rPr>
          <w:rFonts w:ascii="Times New Roman" w:hAnsi="Times New Roman"/>
          <w:iCs/>
          <w:sz w:val="24"/>
          <w:szCs w:val="24"/>
        </w:rPr>
        <w:t>ed</w:t>
      </w:r>
      <w:r w:rsidRPr="00A37B23">
        <w:rPr>
          <w:rFonts w:ascii="Times New Roman" w:hAnsi="Times New Roman"/>
          <w:iCs/>
          <w:sz w:val="24"/>
          <w:szCs w:val="24"/>
        </w:rPr>
        <w:t xml:space="preserve"> RGDP</w:t>
      </w:r>
      <w:r w:rsidRPr="00A37B23">
        <w:rPr>
          <w:rFonts w:ascii="Times New Roman" w:hAnsi="Times New Roman"/>
          <w:sz w:val="24"/>
          <w:szCs w:val="24"/>
        </w:rPr>
        <w:t xml:space="preserve"> and the converse is also true. Thus, it means that Granger causality is bidirectional between the series, M</w:t>
      </w:r>
      <w:r w:rsidRPr="00A37B23">
        <w:rPr>
          <w:rFonts w:ascii="Times New Roman" w:hAnsi="Times New Roman"/>
          <w:sz w:val="24"/>
          <w:szCs w:val="24"/>
          <w:vertAlign w:val="subscript"/>
        </w:rPr>
        <w:t>2</w:t>
      </w:r>
      <w:r w:rsidRPr="00A37B23">
        <w:rPr>
          <w:rFonts w:ascii="Times New Roman" w:hAnsi="Times New Roman"/>
          <w:sz w:val="24"/>
          <w:szCs w:val="24"/>
        </w:rPr>
        <w:t>/GDP</w:t>
      </w:r>
      <w:r w:rsidRPr="00A37B23">
        <w:rPr>
          <w:rFonts w:ascii="Times New Roman" w:hAnsi="Times New Roman"/>
          <w:iCs/>
          <w:sz w:val="24"/>
          <w:szCs w:val="24"/>
        </w:rPr>
        <w:t xml:space="preserve"> and RGDP, with causality </w:t>
      </w:r>
      <w:r w:rsidRPr="00A37B23">
        <w:rPr>
          <w:rFonts w:ascii="Times New Roman" w:hAnsi="Times New Roman"/>
          <w:sz w:val="24"/>
          <w:szCs w:val="24"/>
        </w:rPr>
        <w:t>running from M</w:t>
      </w:r>
      <w:r w:rsidRPr="00A37B23">
        <w:rPr>
          <w:rFonts w:ascii="Times New Roman" w:hAnsi="Times New Roman"/>
          <w:sz w:val="24"/>
          <w:szCs w:val="24"/>
          <w:vertAlign w:val="subscript"/>
        </w:rPr>
        <w:t>2</w:t>
      </w:r>
      <w:r w:rsidRPr="00A37B23">
        <w:rPr>
          <w:rFonts w:ascii="Times New Roman" w:hAnsi="Times New Roman"/>
          <w:sz w:val="24"/>
          <w:szCs w:val="24"/>
        </w:rPr>
        <w:t xml:space="preserve">/GDP to RGDP and from </w:t>
      </w:r>
      <w:r w:rsidRPr="00A37B23">
        <w:rPr>
          <w:rFonts w:ascii="Times New Roman" w:hAnsi="Times New Roman"/>
          <w:iCs/>
          <w:sz w:val="24"/>
          <w:szCs w:val="24"/>
        </w:rPr>
        <w:t xml:space="preserve">RGDP to </w:t>
      </w:r>
      <w:r w:rsidRPr="00A37B23">
        <w:rPr>
          <w:rFonts w:ascii="Times New Roman" w:hAnsi="Times New Roman"/>
          <w:sz w:val="24"/>
          <w:szCs w:val="24"/>
        </w:rPr>
        <w:t>M</w:t>
      </w:r>
      <w:r w:rsidRPr="00A37B23">
        <w:rPr>
          <w:rFonts w:ascii="Times New Roman" w:hAnsi="Times New Roman"/>
          <w:sz w:val="24"/>
          <w:szCs w:val="24"/>
          <w:vertAlign w:val="subscript"/>
        </w:rPr>
        <w:t>2</w:t>
      </w:r>
      <w:r w:rsidRPr="00A37B23">
        <w:rPr>
          <w:rFonts w:ascii="Times New Roman" w:hAnsi="Times New Roman"/>
          <w:sz w:val="24"/>
          <w:szCs w:val="24"/>
        </w:rPr>
        <w:t xml:space="preserve">/GDP. </w:t>
      </w:r>
    </w:p>
    <w:p w14:paraId="6A1DB49C" w14:textId="77777777" w:rsidR="000A1A7B" w:rsidRPr="00A37B23" w:rsidRDefault="000A1A7B" w:rsidP="00706764">
      <w:pPr>
        <w:spacing w:after="0" w:line="240" w:lineRule="auto"/>
        <w:rPr>
          <w:rFonts w:ascii="Times New Roman" w:hAnsi="Times New Roman"/>
          <w:b/>
          <w:sz w:val="24"/>
          <w:szCs w:val="24"/>
          <w:lang w:val="en-ZA"/>
        </w:rPr>
      </w:pPr>
    </w:p>
    <w:p w14:paraId="3169D781" w14:textId="678811BF" w:rsidR="00D31621" w:rsidRPr="00A37B23" w:rsidRDefault="00D31621" w:rsidP="00706764">
      <w:pPr>
        <w:spacing w:after="0" w:line="240" w:lineRule="auto"/>
        <w:rPr>
          <w:rFonts w:ascii="Times New Roman" w:hAnsi="Times New Roman"/>
          <w:b/>
          <w:sz w:val="24"/>
          <w:szCs w:val="24"/>
          <w:lang w:val="en-ZA"/>
        </w:rPr>
      </w:pPr>
      <w:r w:rsidRPr="00A37B23">
        <w:rPr>
          <w:rFonts w:ascii="Times New Roman" w:hAnsi="Times New Roman"/>
          <w:b/>
          <w:sz w:val="24"/>
          <w:szCs w:val="24"/>
          <w:lang w:val="en-ZA"/>
        </w:rPr>
        <w:t>Hypothesis Two</w:t>
      </w:r>
    </w:p>
    <w:p w14:paraId="447D3433" w14:textId="037981B8" w:rsidR="00D31621" w:rsidRPr="00A37B23" w:rsidRDefault="00D31621" w:rsidP="00706764">
      <w:pPr>
        <w:spacing w:after="100" w:afterAutospacing="1" w:line="240" w:lineRule="auto"/>
        <w:rPr>
          <w:rFonts w:ascii="Times New Roman" w:hAnsi="Times New Roman"/>
          <w:sz w:val="24"/>
          <w:szCs w:val="24"/>
        </w:rPr>
      </w:pPr>
      <w:r w:rsidRPr="00A37B23">
        <w:rPr>
          <w:rFonts w:ascii="Times New Roman" w:hAnsi="Times New Roman"/>
          <w:sz w:val="24"/>
          <w:szCs w:val="24"/>
        </w:rPr>
        <w:t>In order to achieve objective two of the study, the null hypothesis stated as “</w:t>
      </w:r>
      <w:r w:rsidRPr="00A37B23">
        <w:rPr>
          <w:rFonts w:ascii="Times New Roman" w:hAnsi="Times New Roman"/>
          <w:iCs/>
          <w:sz w:val="24"/>
          <w:szCs w:val="24"/>
        </w:rPr>
        <w:t>Ratio of private debt to total debt securities (P/TDS) has no significant causal relationship with economic growth in Nigeria</w:t>
      </w:r>
      <w:r w:rsidRPr="00A37B23">
        <w:rPr>
          <w:rFonts w:ascii="Times New Roman" w:hAnsi="Times New Roman"/>
          <w:sz w:val="24"/>
          <w:szCs w:val="24"/>
        </w:rPr>
        <w:t xml:space="preserve">” was tested using the Pairwise Granger Causality Results in Table </w:t>
      </w:r>
      <w:r w:rsidR="000A1A7B" w:rsidRPr="00A37B23">
        <w:rPr>
          <w:rFonts w:ascii="Times New Roman" w:hAnsi="Times New Roman"/>
          <w:sz w:val="24"/>
          <w:szCs w:val="24"/>
        </w:rPr>
        <w:t>16</w:t>
      </w:r>
      <w:r w:rsidRPr="00A37B23">
        <w:rPr>
          <w:rFonts w:ascii="Times New Roman" w:hAnsi="Times New Roman"/>
          <w:sz w:val="24"/>
          <w:szCs w:val="24"/>
        </w:rPr>
        <w:t>.</w:t>
      </w:r>
    </w:p>
    <w:p w14:paraId="1248552F" w14:textId="16040A77" w:rsidR="00D31621" w:rsidRPr="00A37B23" w:rsidRDefault="00D31621" w:rsidP="00706764">
      <w:pPr>
        <w:spacing w:before="240" w:after="0" w:line="240" w:lineRule="auto"/>
        <w:rPr>
          <w:rFonts w:ascii="Times New Roman" w:hAnsi="Times New Roman"/>
          <w:sz w:val="24"/>
          <w:szCs w:val="24"/>
          <w:lang w:val="en-ZA"/>
        </w:rPr>
      </w:pPr>
      <w:r w:rsidRPr="00A37B23">
        <w:rPr>
          <w:rFonts w:ascii="Times New Roman" w:hAnsi="Times New Roman"/>
          <w:b/>
          <w:i/>
          <w:sz w:val="24"/>
          <w:szCs w:val="24"/>
        </w:rPr>
        <w:t xml:space="preserve">Decision: </w:t>
      </w:r>
      <w:r w:rsidRPr="00A37B23">
        <w:rPr>
          <w:rFonts w:ascii="Times New Roman" w:hAnsi="Times New Roman"/>
          <w:sz w:val="24"/>
          <w:szCs w:val="24"/>
        </w:rPr>
        <w:t>The results of the p-value in table 4.14 testing the causal relationship between P/TDS (financial access) and RGDP (economic growth) is 0.8251. The p-value of 0.8251 is insignificant because it is greater than 5% significance level, hence we accept</w:t>
      </w:r>
      <w:r w:rsidR="000A1A7B" w:rsidRPr="00A37B23">
        <w:rPr>
          <w:rFonts w:ascii="Times New Roman" w:hAnsi="Times New Roman"/>
          <w:sz w:val="24"/>
          <w:szCs w:val="24"/>
        </w:rPr>
        <w:t>ed</w:t>
      </w:r>
      <w:r w:rsidRPr="00A37B23">
        <w:rPr>
          <w:rFonts w:ascii="Times New Roman" w:hAnsi="Times New Roman"/>
          <w:sz w:val="24"/>
          <w:szCs w:val="24"/>
        </w:rPr>
        <w:t xml:space="preserve"> the null hypothesis and conclude</w:t>
      </w:r>
      <w:r w:rsidR="000A1A7B" w:rsidRPr="00A37B23">
        <w:rPr>
          <w:rFonts w:ascii="Times New Roman" w:hAnsi="Times New Roman"/>
          <w:sz w:val="24"/>
          <w:szCs w:val="24"/>
        </w:rPr>
        <w:t>d</w:t>
      </w:r>
      <w:r w:rsidRPr="00A37B23">
        <w:rPr>
          <w:rFonts w:ascii="Times New Roman" w:hAnsi="Times New Roman"/>
          <w:sz w:val="24"/>
          <w:szCs w:val="24"/>
        </w:rPr>
        <w:t xml:space="preserve"> that P/TDS (financial access) does not Granger cause RGDP (economic growth). However, the converse is not true between P/TDS and RGDP as the P-value of 0.0159 is significant because it is less than 0.05 or 5% level of significance. Hence, we reject the null hypothesis, and conclude that RGDP Granger cause P/TDS. Thus, RGDP influences or affect P/TDS but P/TDS does not influence or affect RGDP.  It means that the Granger causality is unidirectional between the series, P/TDS and RGDP, with </w:t>
      </w:r>
      <w:r w:rsidRPr="00A37B23">
        <w:rPr>
          <w:rFonts w:ascii="Times New Roman" w:hAnsi="Times New Roman"/>
          <w:sz w:val="24"/>
          <w:szCs w:val="24"/>
        </w:rPr>
        <w:t>causality running from RGDP to P/TDS and not the other way</w:t>
      </w:r>
      <w:r w:rsidRPr="00A37B23">
        <w:rPr>
          <w:rFonts w:ascii="Times New Roman" w:hAnsi="Times New Roman"/>
          <w:iCs/>
          <w:sz w:val="24"/>
          <w:szCs w:val="24"/>
        </w:rPr>
        <w:t>.</w:t>
      </w:r>
      <w:r w:rsidRPr="00A37B23">
        <w:rPr>
          <w:rFonts w:ascii="Times New Roman" w:hAnsi="Times New Roman"/>
          <w:b/>
          <w:sz w:val="24"/>
          <w:szCs w:val="24"/>
          <w:lang w:val="en-ZA"/>
        </w:rPr>
        <w:t xml:space="preserve"> </w:t>
      </w:r>
      <w:r w:rsidRPr="00A37B23">
        <w:rPr>
          <w:rFonts w:ascii="Times New Roman" w:hAnsi="Times New Roman"/>
          <w:sz w:val="24"/>
          <w:szCs w:val="24"/>
          <w:lang w:val="en-ZA"/>
        </w:rPr>
        <w:t>These suggest</w:t>
      </w:r>
      <w:r w:rsidR="000A1A7B" w:rsidRPr="00A37B23">
        <w:rPr>
          <w:rFonts w:ascii="Times New Roman" w:hAnsi="Times New Roman"/>
          <w:sz w:val="24"/>
          <w:szCs w:val="24"/>
          <w:lang w:val="en-ZA"/>
        </w:rPr>
        <w:t>ed</w:t>
      </w:r>
      <w:r w:rsidRPr="00A37B23">
        <w:rPr>
          <w:rFonts w:ascii="Times New Roman" w:hAnsi="Times New Roman"/>
          <w:sz w:val="24"/>
          <w:szCs w:val="24"/>
          <w:lang w:val="en-ZA"/>
        </w:rPr>
        <w:t xml:space="preserve"> that improvement in economic growth would lead to increase in economic activities and thus engender the </w:t>
      </w:r>
      <w:r w:rsidRPr="00A37B23">
        <w:rPr>
          <w:rFonts w:ascii="Times New Roman" w:hAnsi="Times New Roman"/>
          <w:sz w:val="24"/>
          <w:szCs w:val="24"/>
        </w:rPr>
        <w:t>degree to which individuals can and would have access to financial services</w:t>
      </w:r>
      <w:r w:rsidRPr="00A37B23">
        <w:rPr>
          <w:rFonts w:ascii="Times New Roman" w:hAnsi="Times New Roman"/>
          <w:sz w:val="24"/>
          <w:szCs w:val="24"/>
          <w:lang w:val="en-ZA"/>
        </w:rPr>
        <w:t xml:space="preserve"> Nigeria.</w:t>
      </w:r>
    </w:p>
    <w:p w14:paraId="5AA3F2AF" w14:textId="77777777" w:rsidR="000A1A7B" w:rsidRPr="00A37B23" w:rsidRDefault="000A1A7B" w:rsidP="00706764">
      <w:pPr>
        <w:spacing w:after="0" w:line="240" w:lineRule="auto"/>
        <w:rPr>
          <w:rFonts w:ascii="Times New Roman" w:hAnsi="Times New Roman"/>
          <w:b/>
          <w:sz w:val="24"/>
          <w:szCs w:val="24"/>
          <w:lang w:val="en-ZA"/>
        </w:rPr>
      </w:pPr>
    </w:p>
    <w:p w14:paraId="7BF89894" w14:textId="4E52D436" w:rsidR="00D31621" w:rsidRPr="00A37B23" w:rsidRDefault="00D31621" w:rsidP="00706764">
      <w:pPr>
        <w:spacing w:after="0" w:line="240" w:lineRule="auto"/>
        <w:rPr>
          <w:rFonts w:ascii="Times New Roman" w:hAnsi="Times New Roman"/>
          <w:b/>
          <w:sz w:val="24"/>
          <w:szCs w:val="24"/>
          <w:lang w:val="en-ZA"/>
        </w:rPr>
      </w:pPr>
      <w:r w:rsidRPr="00A37B23">
        <w:rPr>
          <w:rFonts w:ascii="Times New Roman" w:hAnsi="Times New Roman"/>
          <w:b/>
          <w:sz w:val="24"/>
          <w:szCs w:val="24"/>
          <w:lang w:val="en-ZA"/>
        </w:rPr>
        <w:t>Hypothesis Three</w:t>
      </w:r>
    </w:p>
    <w:p w14:paraId="0B0261ED" w14:textId="350E4AF5" w:rsidR="00D31621" w:rsidRPr="00A37B23" w:rsidRDefault="00D31621" w:rsidP="00706764">
      <w:pPr>
        <w:spacing w:after="0" w:line="240" w:lineRule="auto"/>
        <w:rPr>
          <w:rFonts w:ascii="Times New Roman" w:hAnsi="Times New Roman"/>
          <w:sz w:val="24"/>
          <w:szCs w:val="24"/>
        </w:rPr>
      </w:pPr>
      <w:r w:rsidRPr="00A37B23">
        <w:rPr>
          <w:rFonts w:ascii="Times New Roman" w:hAnsi="Times New Roman"/>
          <w:sz w:val="24"/>
          <w:szCs w:val="24"/>
        </w:rPr>
        <w:t>In order to achieve objective three of the study, the null hypothesis stated as “</w:t>
      </w:r>
      <w:r w:rsidRPr="00A37B23">
        <w:rPr>
          <w:rFonts w:ascii="Times New Roman" w:hAnsi="Times New Roman"/>
          <w:iCs/>
          <w:sz w:val="24"/>
          <w:szCs w:val="24"/>
        </w:rPr>
        <w:t>There is no significant causal relationship between lending-deposit spread (LDS) and economic growth in Nigeria</w:t>
      </w:r>
      <w:r w:rsidRPr="00A37B23">
        <w:rPr>
          <w:rFonts w:ascii="Times New Roman" w:hAnsi="Times New Roman"/>
          <w:sz w:val="24"/>
          <w:szCs w:val="24"/>
        </w:rPr>
        <w:t xml:space="preserve">” was tested using the Pairwise Granger Causality Results in Table </w:t>
      </w:r>
      <w:r w:rsidR="000A1A7B" w:rsidRPr="00A37B23">
        <w:rPr>
          <w:rFonts w:ascii="Times New Roman" w:hAnsi="Times New Roman"/>
          <w:sz w:val="24"/>
          <w:szCs w:val="24"/>
        </w:rPr>
        <w:t>16</w:t>
      </w:r>
      <w:r w:rsidRPr="00A37B23">
        <w:rPr>
          <w:rFonts w:ascii="Times New Roman" w:hAnsi="Times New Roman"/>
          <w:sz w:val="24"/>
          <w:szCs w:val="24"/>
        </w:rPr>
        <w:t>.</w:t>
      </w:r>
    </w:p>
    <w:p w14:paraId="4182A47D" w14:textId="77777777" w:rsidR="000A1A7B" w:rsidRPr="00A37B23" w:rsidRDefault="000A1A7B" w:rsidP="00706764">
      <w:pPr>
        <w:spacing w:after="0" w:line="240" w:lineRule="auto"/>
        <w:rPr>
          <w:rFonts w:ascii="Times New Roman" w:hAnsi="Times New Roman"/>
          <w:b/>
          <w:i/>
          <w:sz w:val="24"/>
          <w:szCs w:val="24"/>
        </w:rPr>
      </w:pPr>
    </w:p>
    <w:p w14:paraId="757373D2" w14:textId="4E594E2D" w:rsidR="00D31621" w:rsidRPr="00A37B23" w:rsidRDefault="00D31621" w:rsidP="00706764">
      <w:pPr>
        <w:spacing w:after="0" w:line="240" w:lineRule="auto"/>
        <w:rPr>
          <w:rFonts w:ascii="Times New Roman" w:hAnsi="Times New Roman"/>
          <w:sz w:val="24"/>
          <w:szCs w:val="24"/>
        </w:rPr>
      </w:pPr>
      <w:r w:rsidRPr="00A37B23">
        <w:rPr>
          <w:rFonts w:ascii="Times New Roman" w:hAnsi="Times New Roman"/>
          <w:b/>
          <w:i/>
          <w:sz w:val="24"/>
          <w:szCs w:val="24"/>
        </w:rPr>
        <w:t>Decision:</w:t>
      </w:r>
      <w:r w:rsidRPr="00A37B23">
        <w:rPr>
          <w:rFonts w:ascii="Times New Roman" w:hAnsi="Times New Roman"/>
          <w:sz w:val="24"/>
          <w:szCs w:val="24"/>
        </w:rPr>
        <w:t xml:space="preserve"> The p-value of 0.0328 in table 4.14 expressing the causal relationship between LDS (financial efficiency) and RGDP (economic growth) is significant because it is less </w:t>
      </w:r>
      <w:r w:rsidR="00196EFE" w:rsidRPr="00A37B23">
        <w:rPr>
          <w:rFonts w:ascii="Times New Roman" w:hAnsi="Times New Roman"/>
          <w:sz w:val="24"/>
          <w:szCs w:val="24"/>
        </w:rPr>
        <w:t>than</w:t>
      </w:r>
      <w:r w:rsidRPr="00A37B23">
        <w:rPr>
          <w:rFonts w:ascii="Times New Roman" w:hAnsi="Times New Roman"/>
          <w:sz w:val="24"/>
          <w:szCs w:val="24"/>
        </w:rPr>
        <w:t xml:space="preserve"> 5% level of significance. So, we reject</w:t>
      </w:r>
      <w:r w:rsidR="000A1A7B" w:rsidRPr="00A37B23">
        <w:rPr>
          <w:rFonts w:ascii="Times New Roman" w:hAnsi="Times New Roman"/>
          <w:sz w:val="24"/>
          <w:szCs w:val="24"/>
        </w:rPr>
        <w:t>ed</w:t>
      </w:r>
      <w:r w:rsidRPr="00A37B23">
        <w:rPr>
          <w:rFonts w:ascii="Times New Roman" w:hAnsi="Times New Roman"/>
          <w:sz w:val="24"/>
          <w:szCs w:val="24"/>
        </w:rPr>
        <w:t xml:space="preserve"> the null hypothesis of </w:t>
      </w:r>
      <w:r w:rsidRPr="00A37B23">
        <w:rPr>
          <w:rFonts w:ascii="Times New Roman" w:hAnsi="Times New Roman"/>
          <w:iCs/>
          <w:sz w:val="24"/>
          <w:szCs w:val="24"/>
        </w:rPr>
        <w:t>no significant causal relationship between lending-deposit spread (LDS) and economic growth in Nigeria and conclude</w:t>
      </w:r>
      <w:r w:rsidR="000A1A7B" w:rsidRPr="00A37B23">
        <w:rPr>
          <w:rFonts w:ascii="Times New Roman" w:hAnsi="Times New Roman"/>
          <w:iCs/>
          <w:sz w:val="24"/>
          <w:szCs w:val="24"/>
        </w:rPr>
        <w:t>d</w:t>
      </w:r>
      <w:r w:rsidRPr="00A37B23">
        <w:rPr>
          <w:rFonts w:ascii="Times New Roman" w:hAnsi="Times New Roman"/>
          <w:iCs/>
          <w:sz w:val="24"/>
          <w:szCs w:val="24"/>
        </w:rPr>
        <w:t xml:space="preserve"> that, </w:t>
      </w:r>
      <w:r w:rsidRPr="00A37B23">
        <w:rPr>
          <w:rFonts w:ascii="Times New Roman" w:hAnsi="Times New Roman"/>
          <w:sz w:val="24"/>
          <w:szCs w:val="24"/>
        </w:rPr>
        <w:t xml:space="preserve">LDS Granger </w:t>
      </w:r>
      <w:r w:rsidR="00196EFE" w:rsidRPr="00A37B23">
        <w:rPr>
          <w:rFonts w:ascii="Times New Roman" w:hAnsi="Times New Roman"/>
          <w:sz w:val="24"/>
          <w:szCs w:val="24"/>
        </w:rPr>
        <w:t>cause RGDP in</w:t>
      </w:r>
      <w:r w:rsidRPr="00A37B23">
        <w:rPr>
          <w:rFonts w:ascii="Times New Roman" w:hAnsi="Times New Roman"/>
          <w:sz w:val="24"/>
          <w:szCs w:val="24"/>
        </w:rPr>
        <w:t xml:space="preserve"> Nigeria. But the converse is not true between the p-value of RGDP and LDS of 0.9242 which is insignificant because it is greater than 5% level of significance. So, we cannot reject the null hypothesis and therefore conclude</w:t>
      </w:r>
      <w:r w:rsidR="000A1A7B" w:rsidRPr="00A37B23">
        <w:rPr>
          <w:rFonts w:ascii="Times New Roman" w:hAnsi="Times New Roman"/>
          <w:sz w:val="24"/>
          <w:szCs w:val="24"/>
        </w:rPr>
        <w:t>d</w:t>
      </w:r>
      <w:r w:rsidRPr="00A37B23">
        <w:rPr>
          <w:rFonts w:ascii="Times New Roman" w:hAnsi="Times New Roman"/>
          <w:sz w:val="24"/>
          <w:szCs w:val="24"/>
        </w:rPr>
        <w:t xml:space="preserve"> that RGDP does not Granger cause LDS in Nigeria. Hence,</w:t>
      </w:r>
      <w:r w:rsidRPr="00A37B23">
        <w:rPr>
          <w:rFonts w:ascii="Times New Roman" w:hAnsi="Times New Roman"/>
          <w:iCs/>
          <w:sz w:val="24"/>
          <w:szCs w:val="24"/>
        </w:rPr>
        <w:t xml:space="preserve"> </w:t>
      </w:r>
      <w:r w:rsidRPr="00A37B23">
        <w:rPr>
          <w:rFonts w:ascii="Times New Roman" w:hAnsi="Times New Roman"/>
          <w:sz w:val="24"/>
          <w:szCs w:val="24"/>
        </w:rPr>
        <w:t xml:space="preserve">LDS influences or affect RGDP but the reverse is not the case.  It means that Granger causality is unidirectional between the series, LDS and RGDP, with causality running from LDS to RGDP and not the other way. It therefore </w:t>
      </w:r>
      <w:r w:rsidR="00196EFE" w:rsidRPr="00A37B23">
        <w:rPr>
          <w:rFonts w:ascii="Times New Roman" w:hAnsi="Times New Roman"/>
          <w:sz w:val="24"/>
          <w:szCs w:val="24"/>
        </w:rPr>
        <w:t>suggest</w:t>
      </w:r>
      <w:r w:rsidR="000A1A7B" w:rsidRPr="00A37B23">
        <w:rPr>
          <w:rFonts w:ascii="Times New Roman" w:hAnsi="Times New Roman"/>
          <w:sz w:val="24"/>
          <w:szCs w:val="24"/>
        </w:rPr>
        <w:t>ed</w:t>
      </w:r>
      <w:r w:rsidR="00196EFE" w:rsidRPr="00A37B23">
        <w:rPr>
          <w:rFonts w:ascii="Times New Roman" w:hAnsi="Times New Roman"/>
          <w:sz w:val="24"/>
          <w:szCs w:val="24"/>
        </w:rPr>
        <w:t xml:space="preserve"> that</w:t>
      </w:r>
      <w:r w:rsidRPr="00A37B23">
        <w:rPr>
          <w:rFonts w:ascii="Times New Roman" w:hAnsi="Times New Roman"/>
          <w:sz w:val="24"/>
          <w:szCs w:val="24"/>
        </w:rPr>
        <w:t xml:space="preserve"> economic growth can be achieved by improving financial efficiency among financial institutions, intermediaries and markets in intermediating resources and facilitating financial transaction.</w:t>
      </w:r>
    </w:p>
    <w:p w14:paraId="51425820" w14:textId="77777777" w:rsidR="000A1A7B" w:rsidRPr="00A37B23" w:rsidRDefault="000A1A7B" w:rsidP="00706764">
      <w:pPr>
        <w:spacing w:after="0" w:line="240" w:lineRule="auto"/>
        <w:contextualSpacing/>
        <w:rPr>
          <w:rFonts w:ascii="Times New Roman" w:hAnsi="Times New Roman"/>
          <w:b/>
          <w:sz w:val="24"/>
          <w:szCs w:val="24"/>
          <w:lang w:val="en-ZA"/>
        </w:rPr>
      </w:pPr>
    </w:p>
    <w:p w14:paraId="448D04BD" w14:textId="77777777" w:rsidR="00A37B23" w:rsidRDefault="00A37B23" w:rsidP="00706764">
      <w:pPr>
        <w:spacing w:after="0" w:line="240" w:lineRule="auto"/>
        <w:contextualSpacing/>
        <w:rPr>
          <w:rFonts w:ascii="Times New Roman" w:hAnsi="Times New Roman"/>
          <w:b/>
          <w:sz w:val="24"/>
          <w:szCs w:val="24"/>
          <w:lang w:val="en-ZA"/>
        </w:rPr>
      </w:pPr>
    </w:p>
    <w:p w14:paraId="02208AF7" w14:textId="77777777" w:rsidR="00A37B23" w:rsidRDefault="00A37B23" w:rsidP="00706764">
      <w:pPr>
        <w:spacing w:after="0" w:line="240" w:lineRule="auto"/>
        <w:contextualSpacing/>
        <w:rPr>
          <w:rFonts w:ascii="Times New Roman" w:hAnsi="Times New Roman"/>
          <w:b/>
          <w:sz w:val="24"/>
          <w:szCs w:val="24"/>
          <w:lang w:val="en-ZA"/>
        </w:rPr>
      </w:pPr>
    </w:p>
    <w:p w14:paraId="692F3E5E" w14:textId="70FBACC9" w:rsidR="00D31621" w:rsidRPr="00A37B23" w:rsidRDefault="00D31621" w:rsidP="00706764">
      <w:pPr>
        <w:spacing w:after="0" w:line="240" w:lineRule="auto"/>
        <w:contextualSpacing/>
        <w:rPr>
          <w:rFonts w:ascii="Times New Roman" w:hAnsi="Times New Roman"/>
          <w:b/>
          <w:sz w:val="24"/>
          <w:szCs w:val="24"/>
          <w:lang w:val="en-ZA"/>
        </w:rPr>
      </w:pPr>
      <w:r w:rsidRPr="00A37B23">
        <w:rPr>
          <w:rFonts w:ascii="Times New Roman" w:hAnsi="Times New Roman"/>
          <w:b/>
          <w:sz w:val="24"/>
          <w:szCs w:val="24"/>
          <w:lang w:val="en-ZA"/>
        </w:rPr>
        <w:lastRenderedPageBreak/>
        <w:t>Hypothesis Four</w:t>
      </w:r>
    </w:p>
    <w:p w14:paraId="54787862" w14:textId="2D09BA3D" w:rsidR="00D31621" w:rsidRPr="00A37B23" w:rsidRDefault="00D31621" w:rsidP="00706764">
      <w:pPr>
        <w:spacing w:after="0" w:line="240" w:lineRule="auto"/>
        <w:rPr>
          <w:rFonts w:ascii="Times New Roman" w:hAnsi="Times New Roman"/>
          <w:sz w:val="24"/>
          <w:szCs w:val="24"/>
        </w:rPr>
      </w:pPr>
      <w:r w:rsidRPr="00A37B23">
        <w:rPr>
          <w:rFonts w:ascii="Times New Roman" w:hAnsi="Times New Roman"/>
          <w:sz w:val="24"/>
          <w:szCs w:val="24"/>
        </w:rPr>
        <w:t>To achieve objective four of the study, the null hypothesis stated as “</w:t>
      </w:r>
      <w:r w:rsidRPr="00A37B23">
        <w:rPr>
          <w:rFonts w:ascii="Times New Roman" w:hAnsi="Times New Roman"/>
          <w:iCs/>
          <w:sz w:val="24"/>
          <w:szCs w:val="24"/>
        </w:rPr>
        <w:t>liquidity ratio (LR) has no significant causal relationship with economic growth in Nigeria</w:t>
      </w:r>
      <w:r w:rsidRPr="00A37B23">
        <w:rPr>
          <w:rFonts w:ascii="Times New Roman" w:hAnsi="Times New Roman"/>
          <w:sz w:val="24"/>
          <w:szCs w:val="24"/>
        </w:rPr>
        <w:t xml:space="preserve">” was using the Pairwise Granger Causality Results in Table </w:t>
      </w:r>
      <w:r w:rsidR="000A1A7B" w:rsidRPr="00A37B23">
        <w:rPr>
          <w:rFonts w:ascii="Times New Roman" w:hAnsi="Times New Roman"/>
          <w:sz w:val="24"/>
          <w:szCs w:val="24"/>
        </w:rPr>
        <w:t>16</w:t>
      </w:r>
      <w:r w:rsidRPr="00A37B23">
        <w:rPr>
          <w:rFonts w:ascii="Times New Roman" w:hAnsi="Times New Roman"/>
          <w:sz w:val="24"/>
          <w:szCs w:val="24"/>
        </w:rPr>
        <w:t>.</w:t>
      </w:r>
    </w:p>
    <w:p w14:paraId="2CAF3872" w14:textId="6A66FAFF" w:rsidR="00D31621" w:rsidRPr="00A37B23" w:rsidRDefault="00D31621" w:rsidP="00706764">
      <w:pPr>
        <w:spacing w:before="240" w:after="0" w:line="240" w:lineRule="auto"/>
        <w:rPr>
          <w:rFonts w:ascii="Times New Roman" w:hAnsi="Times New Roman"/>
          <w:iCs/>
          <w:sz w:val="24"/>
          <w:szCs w:val="24"/>
        </w:rPr>
      </w:pPr>
      <w:r w:rsidRPr="00A37B23">
        <w:rPr>
          <w:rFonts w:ascii="Times New Roman" w:hAnsi="Times New Roman"/>
          <w:b/>
          <w:i/>
          <w:sz w:val="24"/>
          <w:szCs w:val="24"/>
        </w:rPr>
        <w:t>Decision:</w:t>
      </w:r>
      <w:r w:rsidRPr="00A37B23">
        <w:rPr>
          <w:rFonts w:ascii="Times New Roman" w:hAnsi="Times New Roman"/>
          <w:sz w:val="24"/>
          <w:szCs w:val="24"/>
        </w:rPr>
        <w:t xml:space="preserve"> The result of Table 4.14 show that the p-value of 0.0204 between LR (financial stability) and RGDP (economic growth) is significant because it is less than 5% level of significance. Hence, we reject the null hypothesis and conclude that LR Granger cause RGDP. But the converse is not true of the p-value of 0.7164 between RGDP and LR which is greater than 5% level of significance and insignificant. It means that RGDP does not Granger cause LR. Thus, LR influence</w:t>
      </w:r>
      <w:r w:rsidR="000A1A7B" w:rsidRPr="00A37B23">
        <w:rPr>
          <w:rFonts w:ascii="Times New Roman" w:hAnsi="Times New Roman"/>
          <w:sz w:val="24"/>
          <w:szCs w:val="24"/>
        </w:rPr>
        <w:t>d</w:t>
      </w:r>
      <w:r w:rsidRPr="00A37B23">
        <w:rPr>
          <w:rFonts w:ascii="Times New Roman" w:hAnsi="Times New Roman"/>
          <w:sz w:val="24"/>
          <w:szCs w:val="24"/>
        </w:rPr>
        <w:t xml:space="preserve"> or affect</w:t>
      </w:r>
      <w:r w:rsidR="000A1A7B" w:rsidRPr="00A37B23">
        <w:rPr>
          <w:rFonts w:ascii="Times New Roman" w:hAnsi="Times New Roman"/>
          <w:sz w:val="24"/>
          <w:szCs w:val="24"/>
        </w:rPr>
        <w:t>ed</w:t>
      </w:r>
      <w:r w:rsidRPr="00A37B23">
        <w:rPr>
          <w:rFonts w:ascii="Times New Roman" w:hAnsi="Times New Roman"/>
          <w:sz w:val="24"/>
          <w:szCs w:val="24"/>
        </w:rPr>
        <w:t xml:space="preserve"> RGDP but the reverse is not the case which presuppose</w:t>
      </w:r>
      <w:r w:rsidR="000A1A7B" w:rsidRPr="00A37B23">
        <w:rPr>
          <w:rFonts w:ascii="Times New Roman" w:hAnsi="Times New Roman"/>
          <w:sz w:val="24"/>
          <w:szCs w:val="24"/>
        </w:rPr>
        <w:t>d</w:t>
      </w:r>
      <w:r w:rsidRPr="00A37B23">
        <w:rPr>
          <w:rFonts w:ascii="Times New Roman" w:hAnsi="Times New Roman"/>
          <w:sz w:val="24"/>
          <w:szCs w:val="24"/>
        </w:rPr>
        <w:t xml:space="preserve"> that Granger causality is unidirectional between the series, LR and RGDP, with causality running from LR to RGDP and not the other way. </w:t>
      </w:r>
      <w:r w:rsidRPr="00A37B23">
        <w:rPr>
          <w:rFonts w:ascii="Times New Roman" w:hAnsi="Times New Roman"/>
          <w:iCs/>
          <w:sz w:val="24"/>
          <w:szCs w:val="24"/>
        </w:rPr>
        <w:t>This entail</w:t>
      </w:r>
      <w:r w:rsidR="000A1A7B" w:rsidRPr="00A37B23">
        <w:rPr>
          <w:rFonts w:ascii="Times New Roman" w:hAnsi="Times New Roman"/>
          <w:iCs/>
          <w:sz w:val="24"/>
          <w:szCs w:val="24"/>
        </w:rPr>
        <w:t>ed</w:t>
      </w:r>
      <w:r w:rsidRPr="00A37B23">
        <w:rPr>
          <w:rFonts w:ascii="Times New Roman" w:hAnsi="Times New Roman"/>
          <w:iCs/>
          <w:sz w:val="24"/>
          <w:szCs w:val="24"/>
        </w:rPr>
        <w:t xml:space="preserve"> that financial stability is an important variable in achieving economic growth and should be taken seriously by the regulatory authorities.</w:t>
      </w:r>
    </w:p>
    <w:p w14:paraId="358297B5" w14:textId="77777777" w:rsidR="000A1A7B" w:rsidRPr="00A37B23" w:rsidRDefault="000A1A7B" w:rsidP="00706764">
      <w:pPr>
        <w:spacing w:after="0" w:line="240" w:lineRule="auto"/>
        <w:rPr>
          <w:rFonts w:ascii="Times New Roman" w:hAnsi="Times New Roman"/>
          <w:b/>
          <w:sz w:val="24"/>
          <w:szCs w:val="24"/>
          <w:lang w:val="en-ZA"/>
        </w:rPr>
      </w:pPr>
    </w:p>
    <w:p w14:paraId="59153605" w14:textId="7FFD5A6A" w:rsidR="00D31621" w:rsidRPr="00A37B23" w:rsidRDefault="00D31621" w:rsidP="00706764">
      <w:pPr>
        <w:spacing w:after="0" w:line="240" w:lineRule="auto"/>
        <w:rPr>
          <w:rFonts w:ascii="Times New Roman" w:hAnsi="Times New Roman"/>
          <w:b/>
          <w:sz w:val="24"/>
          <w:szCs w:val="24"/>
          <w:lang w:val="en-ZA"/>
        </w:rPr>
      </w:pPr>
      <w:r w:rsidRPr="00A37B23">
        <w:rPr>
          <w:rFonts w:ascii="Times New Roman" w:hAnsi="Times New Roman"/>
          <w:b/>
          <w:sz w:val="24"/>
          <w:szCs w:val="24"/>
          <w:lang w:val="en-ZA"/>
        </w:rPr>
        <w:t>Hypothesis Five</w:t>
      </w:r>
    </w:p>
    <w:p w14:paraId="1DC63808" w14:textId="417BA145" w:rsidR="00D31621" w:rsidRPr="00A37B23" w:rsidRDefault="00D31621" w:rsidP="00706764">
      <w:pPr>
        <w:spacing w:after="0" w:line="240" w:lineRule="auto"/>
        <w:rPr>
          <w:rFonts w:ascii="Times New Roman" w:hAnsi="Times New Roman"/>
          <w:iCs/>
          <w:sz w:val="24"/>
          <w:szCs w:val="24"/>
        </w:rPr>
      </w:pPr>
      <w:r w:rsidRPr="00A37B23">
        <w:rPr>
          <w:rFonts w:ascii="Times New Roman" w:hAnsi="Times New Roman"/>
          <w:sz w:val="24"/>
          <w:szCs w:val="24"/>
        </w:rPr>
        <w:t>To achieve objective five of the study, the null hypothesis stated as “</w:t>
      </w:r>
      <w:r w:rsidRPr="00A37B23">
        <w:rPr>
          <w:rFonts w:ascii="Times New Roman" w:hAnsi="Times New Roman"/>
          <w:iCs/>
          <w:sz w:val="24"/>
          <w:szCs w:val="24"/>
        </w:rPr>
        <w:t>There is no significant causal relationship between stock market returns and economic growth in Nigeria”</w:t>
      </w:r>
      <w:r w:rsidRPr="00A37B23">
        <w:rPr>
          <w:rFonts w:ascii="Times New Roman" w:hAnsi="Times New Roman"/>
          <w:sz w:val="24"/>
          <w:szCs w:val="24"/>
        </w:rPr>
        <w:t xml:space="preserve"> was tested using the Pairwise Granger Causality Results in Table </w:t>
      </w:r>
      <w:r w:rsidR="000A1A7B" w:rsidRPr="00A37B23">
        <w:rPr>
          <w:rFonts w:ascii="Times New Roman" w:hAnsi="Times New Roman"/>
          <w:sz w:val="24"/>
          <w:szCs w:val="24"/>
        </w:rPr>
        <w:t>16</w:t>
      </w:r>
    </w:p>
    <w:p w14:paraId="5860590E" w14:textId="5117D084" w:rsidR="00D31621" w:rsidRPr="00A37B23" w:rsidRDefault="00D31621" w:rsidP="00706764">
      <w:pPr>
        <w:spacing w:before="240" w:after="100" w:afterAutospacing="1" w:line="240" w:lineRule="auto"/>
        <w:rPr>
          <w:rFonts w:ascii="Times New Roman" w:hAnsi="Times New Roman"/>
          <w:sz w:val="24"/>
          <w:szCs w:val="24"/>
        </w:rPr>
      </w:pPr>
      <w:r w:rsidRPr="00A37B23">
        <w:rPr>
          <w:rFonts w:ascii="Times New Roman" w:hAnsi="Times New Roman"/>
          <w:b/>
          <w:i/>
          <w:sz w:val="24"/>
          <w:szCs w:val="24"/>
        </w:rPr>
        <w:t>Decision:</w:t>
      </w:r>
      <w:r w:rsidRPr="00A37B23">
        <w:rPr>
          <w:rFonts w:ascii="Times New Roman" w:hAnsi="Times New Roman"/>
          <w:sz w:val="24"/>
          <w:szCs w:val="24"/>
        </w:rPr>
        <w:t xml:space="preserve"> The results of Table </w:t>
      </w:r>
      <w:r w:rsidR="000A1A7B" w:rsidRPr="00A37B23">
        <w:rPr>
          <w:rFonts w:ascii="Times New Roman" w:hAnsi="Times New Roman"/>
          <w:sz w:val="24"/>
          <w:szCs w:val="24"/>
        </w:rPr>
        <w:t>16</w:t>
      </w:r>
      <w:r w:rsidRPr="00A37B23">
        <w:rPr>
          <w:rFonts w:ascii="Times New Roman" w:hAnsi="Times New Roman"/>
          <w:sz w:val="24"/>
          <w:szCs w:val="24"/>
        </w:rPr>
        <w:t xml:space="preserve"> show</w:t>
      </w:r>
      <w:r w:rsidR="000A1A7B" w:rsidRPr="00A37B23">
        <w:rPr>
          <w:rFonts w:ascii="Times New Roman" w:hAnsi="Times New Roman"/>
          <w:sz w:val="24"/>
          <w:szCs w:val="24"/>
        </w:rPr>
        <w:t>ed</w:t>
      </w:r>
      <w:r w:rsidRPr="00A37B23">
        <w:rPr>
          <w:rFonts w:ascii="Times New Roman" w:hAnsi="Times New Roman"/>
          <w:sz w:val="24"/>
          <w:szCs w:val="24"/>
        </w:rPr>
        <w:t xml:space="preserve"> that the p-value of 0.9872 between SMR (stock market returns) and RGDP (economic growth) is insignificant because it is greater than 5% level of significance. Thus, we cannot reject the null hypothesis that </w:t>
      </w:r>
      <w:r w:rsidRPr="00A37B23">
        <w:rPr>
          <w:rFonts w:ascii="Times New Roman" w:hAnsi="Times New Roman"/>
          <w:iCs/>
          <w:sz w:val="24"/>
          <w:szCs w:val="24"/>
        </w:rPr>
        <w:t xml:space="preserve">there is no significant causal relationship between stock market returns and economic growth in Nigeria and conclude that </w:t>
      </w:r>
      <w:r w:rsidRPr="00A37B23">
        <w:rPr>
          <w:rFonts w:ascii="Times New Roman" w:hAnsi="Times New Roman"/>
          <w:sz w:val="24"/>
          <w:szCs w:val="24"/>
        </w:rPr>
        <w:t xml:space="preserve">SMR does not Granger cause RGDP. But the converse appears not true between SMR and RGDP </w:t>
      </w:r>
      <w:r w:rsidRPr="00A37B23">
        <w:rPr>
          <w:rFonts w:ascii="Times New Roman" w:hAnsi="Times New Roman"/>
          <w:sz w:val="24"/>
          <w:szCs w:val="24"/>
        </w:rPr>
        <w:t>with a p-value of 0.0256 which is significant because the p-value is less than 5% level of significance. So, we reject</w:t>
      </w:r>
      <w:r w:rsidR="000A1A7B" w:rsidRPr="00A37B23">
        <w:rPr>
          <w:rFonts w:ascii="Times New Roman" w:hAnsi="Times New Roman"/>
          <w:sz w:val="24"/>
          <w:szCs w:val="24"/>
        </w:rPr>
        <w:t>ed</w:t>
      </w:r>
      <w:r w:rsidRPr="00A37B23">
        <w:rPr>
          <w:rFonts w:ascii="Times New Roman" w:hAnsi="Times New Roman"/>
          <w:sz w:val="24"/>
          <w:szCs w:val="24"/>
        </w:rPr>
        <w:t xml:space="preserve"> the null hypothesis, and conclude</w:t>
      </w:r>
      <w:r w:rsidR="000A1A7B" w:rsidRPr="00A37B23">
        <w:rPr>
          <w:rFonts w:ascii="Times New Roman" w:hAnsi="Times New Roman"/>
          <w:sz w:val="24"/>
          <w:szCs w:val="24"/>
        </w:rPr>
        <w:t>d</w:t>
      </w:r>
      <w:r w:rsidRPr="00A37B23">
        <w:rPr>
          <w:rFonts w:ascii="Times New Roman" w:hAnsi="Times New Roman"/>
          <w:sz w:val="24"/>
          <w:szCs w:val="24"/>
        </w:rPr>
        <w:t xml:space="preserve"> that RGDP Granger cause SMR. Thus, RGDP influence</w:t>
      </w:r>
      <w:r w:rsidR="000A1A7B" w:rsidRPr="00A37B23">
        <w:rPr>
          <w:rFonts w:ascii="Times New Roman" w:hAnsi="Times New Roman"/>
          <w:sz w:val="24"/>
          <w:szCs w:val="24"/>
        </w:rPr>
        <w:t>d</w:t>
      </w:r>
      <w:r w:rsidRPr="00A37B23">
        <w:rPr>
          <w:rFonts w:ascii="Times New Roman" w:hAnsi="Times New Roman"/>
          <w:sz w:val="24"/>
          <w:szCs w:val="24"/>
        </w:rPr>
        <w:t xml:space="preserve"> or affect</w:t>
      </w:r>
      <w:r w:rsidR="000A1A7B" w:rsidRPr="00A37B23">
        <w:rPr>
          <w:rFonts w:ascii="Times New Roman" w:hAnsi="Times New Roman"/>
          <w:sz w:val="24"/>
          <w:szCs w:val="24"/>
        </w:rPr>
        <w:t>ed</w:t>
      </w:r>
      <w:r w:rsidRPr="00A37B23">
        <w:rPr>
          <w:rFonts w:ascii="Times New Roman" w:hAnsi="Times New Roman"/>
          <w:sz w:val="24"/>
          <w:szCs w:val="24"/>
        </w:rPr>
        <w:t xml:space="preserve"> SMR but the converse is not true. It means that Granger causality is unidirectional between the series, SMR and RGDP, with causality running from running from RGDP to SMR.</w:t>
      </w:r>
    </w:p>
    <w:p w14:paraId="0345593D" w14:textId="1DCE4551" w:rsidR="00D31621" w:rsidRPr="00A37B23" w:rsidRDefault="000A1A7B" w:rsidP="000A1A7B">
      <w:pPr>
        <w:spacing w:after="0" w:line="240" w:lineRule="auto"/>
        <w:jc w:val="both"/>
        <w:rPr>
          <w:rFonts w:ascii="Times New Roman" w:hAnsi="Times New Roman"/>
          <w:b/>
          <w:sz w:val="24"/>
          <w:szCs w:val="24"/>
        </w:rPr>
      </w:pPr>
      <w:r w:rsidRPr="00A37B23">
        <w:rPr>
          <w:rFonts w:ascii="Times New Roman" w:hAnsi="Times New Roman"/>
          <w:b/>
          <w:sz w:val="24"/>
          <w:szCs w:val="24"/>
        </w:rPr>
        <w:t>DISCUSSION OF FINDINGS</w:t>
      </w:r>
    </w:p>
    <w:p w14:paraId="167D22E6" w14:textId="51C6AD95" w:rsidR="00D31621" w:rsidRPr="00A37B23" w:rsidRDefault="00D31621" w:rsidP="00C45F51">
      <w:pPr>
        <w:autoSpaceDE w:val="0"/>
        <w:autoSpaceDN w:val="0"/>
        <w:adjustRightInd w:val="0"/>
        <w:spacing w:after="0" w:line="240" w:lineRule="auto"/>
        <w:jc w:val="both"/>
        <w:rPr>
          <w:rFonts w:ascii="Times New Roman" w:hAnsi="Times New Roman"/>
          <w:sz w:val="24"/>
          <w:szCs w:val="24"/>
        </w:rPr>
      </w:pPr>
      <w:r w:rsidRPr="00A37B23">
        <w:rPr>
          <w:rFonts w:ascii="Times New Roman" w:hAnsi="Times New Roman"/>
          <w:iCs/>
          <w:sz w:val="24"/>
          <w:szCs w:val="24"/>
        </w:rPr>
        <w:t xml:space="preserve">The findings of the study </w:t>
      </w:r>
      <w:r w:rsidRPr="00A37B23">
        <w:rPr>
          <w:rFonts w:ascii="Times New Roman" w:hAnsi="Times New Roman"/>
          <w:sz w:val="24"/>
          <w:szCs w:val="24"/>
        </w:rPr>
        <w:t>reveal</w:t>
      </w:r>
      <w:r w:rsidR="000A1A7B" w:rsidRPr="00A37B23">
        <w:rPr>
          <w:rFonts w:ascii="Times New Roman" w:hAnsi="Times New Roman"/>
          <w:sz w:val="24"/>
          <w:szCs w:val="24"/>
        </w:rPr>
        <w:t>ed</w:t>
      </w:r>
      <w:r w:rsidRPr="00A37B23">
        <w:rPr>
          <w:rFonts w:ascii="Times New Roman" w:hAnsi="Times New Roman"/>
          <w:sz w:val="24"/>
          <w:szCs w:val="24"/>
        </w:rPr>
        <w:t xml:space="preserve"> bidirectional causality between M2/GDP (financial depth) and RGDP (economic growth) in Nigeria. The </w:t>
      </w:r>
      <w:r w:rsidRPr="00A37B23">
        <w:rPr>
          <w:rFonts w:ascii="Times New Roman" w:hAnsi="Times New Roman"/>
          <w:iCs/>
          <w:sz w:val="24"/>
          <w:szCs w:val="24"/>
        </w:rPr>
        <w:t xml:space="preserve">bidirectional relationship supports both supply-leading hypothesis (M2/GDP </w:t>
      </w:r>
      <w:r w:rsidRPr="00A37B23">
        <w:rPr>
          <w:rFonts w:ascii="Times New Roman" w:hAnsi="Times New Roman"/>
          <w:sz w:val="24"/>
          <w:szCs w:val="24"/>
        </w:rPr>
        <w:t>G</w:t>
      </w:r>
      <w:r w:rsidRPr="00A37B23">
        <w:rPr>
          <w:rFonts w:ascii="Times New Roman" w:hAnsi="Times New Roman"/>
          <w:iCs/>
          <w:sz w:val="24"/>
          <w:szCs w:val="24"/>
        </w:rPr>
        <w:t xml:space="preserve">ranger cause RGDP) and demand-following hypotheses (RGDP </w:t>
      </w:r>
      <w:r w:rsidRPr="00A37B23">
        <w:rPr>
          <w:rFonts w:ascii="Times New Roman" w:hAnsi="Times New Roman"/>
          <w:sz w:val="24"/>
          <w:szCs w:val="24"/>
        </w:rPr>
        <w:t>G</w:t>
      </w:r>
      <w:r w:rsidRPr="00A37B23">
        <w:rPr>
          <w:rFonts w:ascii="Times New Roman" w:hAnsi="Times New Roman"/>
          <w:iCs/>
          <w:sz w:val="24"/>
          <w:szCs w:val="24"/>
        </w:rPr>
        <w:t>anger cause RGDP) between the series in Nigeria.</w:t>
      </w:r>
      <w:r w:rsidRPr="00A37B23">
        <w:rPr>
          <w:rFonts w:ascii="Times New Roman" w:hAnsi="Times New Roman"/>
          <w:sz w:val="24"/>
          <w:szCs w:val="24"/>
        </w:rPr>
        <w:t xml:space="preserve"> </w:t>
      </w:r>
    </w:p>
    <w:p w14:paraId="59B08BB3" w14:textId="77777777" w:rsidR="00D31621" w:rsidRPr="00A37B23" w:rsidRDefault="00D31621" w:rsidP="00A37B23">
      <w:pPr>
        <w:spacing w:after="0" w:line="240" w:lineRule="auto"/>
        <w:rPr>
          <w:rFonts w:ascii="Times New Roman" w:hAnsi="Times New Roman"/>
          <w:i/>
          <w:sz w:val="24"/>
          <w:szCs w:val="24"/>
        </w:rPr>
      </w:pPr>
      <w:r w:rsidRPr="00A37B23">
        <w:rPr>
          <w:rFonts w:ascii="Times New Roman" w:hAnsi="Times New Roman"/>
          <w:sz w:val="24"/>
          <w:szCs w:val="24"/>
        </w:rPr>
        <w:t xml:space="preserve">The study also found a unidirectional causation between financial access (P/TDS) and economic growth (RGDP) with causation running from RGDP to P/TDS. The findings support the demand following hypothesis in Nigeria. </w:t>
      </w:r>
    </w:p>
    <w:p w14:paraId="64EC4112" w14:textId="7943E658" w:rsidR="00D31621" w:rsidRPr="00A37B23" w:rsidRDefault="00D31621" w:rsidP="00A37B23">
      <w:pPr>
        <w:autoSpaceDE w:val="0"/>
        <w:autoSpaceDN w:val="0"/>
        <w:adjustRightInd w:val="0"/>
        <w:spacing w:after="0" w:line="240" w:lineRule="auto"/>
        <w:rPr>
          <w:rFonts w:ascii="Times New Roman" w:hAnsi="Times New Roman"/>
          <w:sz w:val="24"/>
          <w:szCs w:val="24"/>
        </w:rPr>
      </w:pPr>
      <w:r w:rsidRPr="00A37B23">
        <w:rPr>
          <w:rFonts w:ascii="Times New Roman" w:hAnsi="Times New Roman"/>
          <w:sz w:val="24"/>
          <w:szCs w:val="24"/>
        </w:rPr>
        <w:t xml:space="preserve">The result reveals a unidirectional causation between LDS (financial efficiency) and RGDP (economic growth) with causation running from LDS to RGDP.  The findings support the supply leading hypothesis in Nigeria. It means that lending to deposit spread (a proxy of financial development) has significant influence on economic growth.  </w:t>
      </w:r>
    </w:p>
    <w:p w14:paraId="3065E0E9" w14:textId="77777777" w:rsidR="004A7F0A" w:rsidRPr="00A37B23" w:rsidRDefault="004A7F0A" w:rsidP="00C45F51">
      <w:pPr>
        <w:spacing w:after="0" w:line="240" w:lineRule="auto"/>
        <w:jc w:val="both"/>
        <w:rPr>
          <w:rFonts w:ascii="Times New Roman" w:hAnsi="Times New Roman"/>
          <w:sz w:val="24"/>
          <w:szCs w:val="24"/>
        </w:rPr>
      </w:pPr>
    </w:p>
    <w:p w14:paraId="568930B8" w14:textId="0B5F9EFD" w:rsidR="00D31621" w:rsidRPr="00A37B23" w:rsidRDefault="00D31621" w:rsidP="00A37B23">
      <w:pPr>
        <w:spacing w:after="0" w:line="240" w:lineRule="auto"/>
        <w:rPr>
          <w:rFonts w:ascii="Times New Roman" w:hAnsi="Times New Roman"/>
          <w:sz w:val="24"/>
          <w:szCs w:val="24"/>
        </w:rPr>
      </w:pPr>
      <w:r w:rsidRPr="00A37B23">
        <w:rPr>
          <w:rFonts w:ascii="Times New Roman" w:hAnsi="Times New Roman"/>
          <w:sz w:val="24"/>
          <w:szCs w:val="24"/>
        </w:rPr>
        <w:t xml:space="preserve">The study </w:t>
      </w:r>
      <w:r w:rsidR="004A7F0A" w:rsidRPr="00A37B23">
        <w:rPr>
          <w:rFonts w:ascii="Times New Roman" w:hAnsi="Times New Roman"/>
          <w:sz w:val="24"/>
          <w:szCs w:val="24"/>
        </w:rPr>
        <w:t xml:space="preserve">also revealed </w:t>
      </w:r>
      <w:r w:rsidRPr="00A37B23">
        <w:rPr>
          <w:rFonts w:ascii="Times New Roman" w:hAnsi="Times New Roman"/>
          <w:sz w:val="24"/>
          <w:szCs w:val="24"/>
        </w:rPr>
        <w:t xml:space="preserve">a unidirectional causality between LR (financial </w:t>
      </w:r>
      <w:r w:rsidR="00196EFE" w:rsidRPr="00A37B23">
        <w:rPr>
          <w:rFonts w:ascii="Times New Roman" w:hAnsi="Times New Roman"/>
          <w:sz w:val="24"/>
          <w:szCs w:val="24"/>
        </w:rPr>
        <w:t>stability) and</w:t>
      </w:r>
      <w:r w:rsidRPr="00A37B23">
        <w:rPr>
          <w:rFonts w:ascii="Times New Roman" w:hAnsi="Times New Roman"/>
          <w:sz w:val="24"/>
          <w:szCs w:val="24"/>
        </w:rPr>
        <w:t xml:space="preserve"> RGDP (economic growth) with causality running from LR to RGDP. This finding supports the supply leading hypothesis in Nigeria.  It means that Liquidity ratio (proxy for financial development) has significant influence on economic growth or can predict economic growth.  </w:t>
      </w:r>
    </w:p>
    <w:p w14:paraId="5B9F15B6" w14:textId="76F4CC22" w:rsidR="00C45F51" w:rsidRPr="00A37B23" w:rsidRDefault="00D31621" w:rsidP="00A37B23">
      <w:pPr>
        <w:spacing w:after="0" w:line="240" w:lineRule="auto"/>
        <w:rPr>
          <w:rFonts w:ascii="Times New Roman" w:hAnsi="Times New Roman"/>
          <w:sz w:val="24"/>
          <w:szCs w:val="24"/>
        </w:rPr>
      </w:pPr>
      <w:r w:rsidRPr="00A37B23">
        <w:rPr>
          <w:rFonts w:ascii="Times New Roman" w:hAnsi="Times New Roman"/>
          <w:sz w:val="24"/>
          <w:szCs w:val="24"/>
        </w:rPr>
        <w:lastRenderedPageBreak/>
        <w:t>The study found a unidirectional relationship between SMR and RGDP with causation running from RGDP to SMR. The findings support the demand leading hypothesis in Nigeria.</w:t>
      </w:r>
    </w:p>
    <w:p w14:paraId="31D22B83" w14:textId="6BD75771" w:rsidR="004A7F0A" w:rsidRPr="00A37B23" w:rsidRDefault="004A7F0A" w:rsidP="00C45F51">
      <w:pPr>
        <w:spacing w:after="0" w:line="240" w:lineRule="auto"/>
        <w:jc w:val="both"/>
        <w:rPr>
          <w:rFonts w:ascii="Times New Roman" w:hAnsi="Times New Roman"/>
          <w:b/>
          <w:bCs/>
          <w:sz w:val="24"/>
          <w:szCs w:val="24"/>
        </w:rPr>
      </w:pPr>
      <w:r w:rsidRPr="00A37B23">
        <w:rPr>
          <w:rFonts w:ascii="Times New Roman" w:hAnsi="Times New Roman"/>
          <w:b/>
          <w:bCs/>
          <w:sz w:val="24"/>
          <w:szCs w:val="24"/>
        </w:rPr>
        <w:t>These findings can thus be summarized thus;</w:t>
      </w:r>
    </w:p>
    <w:p w14:paraId="7427900C" w14:textId="6E630B8D" w:rsidR="00D31621" w:rsidRPr="00A37B23" w:rsidRDefault="00D31621" w:rsidP="00A37B23">
      <w:pPr>
        <w:spacing w:after="0" w:line="240" w:lineRule="auto"/>
        <w:rPr>
          <w:rFonts w:ascii="Times New Roman" w:hAnsi="Times New Roman"/>
          <w:sz w:val="24"/>
          <w:szCs w:val="24"/>
        </w:rPr>
      </w:pPr>
      <w:r w:rsidRPr="00A37B23">
        <w:rPr>
          <w:rFonts w:ascii="Times New Roman" w:hAnsi="Times New Roman"/>
          <w:sz w:val="24"/>
          <w:szCs w:val="24"/>
        </w:rPr>
        <w:t xml:space="preserve"> The ratio of money supply to GDP (M</w:t>
      </w:r>
      <w:r w:rsidRPr="00A37B23">
        <w:rPr>
          <w:rFonts w:ascii="Times New Roman" w:hAnsi="Times New Roman"/>
          <w:sz w:val="24"/>
          <w:szCs w:val="24"/>
          <w:vertAlign w:val="subscript"/>
        </w:rPr>
        <w:t>2</w:t>
      </w:r>
      <w:r w:rsidRPr="00A37B23">
        <w:rPr>
          <w:rFonts w:ascii="Times New Roman" w:hAnsi="Times New Roman"/>
          <w:sz w:val="24"/>
          <w:szCs w:val="24"/>
        </w:rPr>
        <w:t xml:space="preserve">/GDP) has a significant and bi-directional causal relationship </w:t>
      </w:r>
      <w:r w:rsidR="00196EFE" w:rsidRPr="00A37B23">
        <w:rPr>
          <w:rFonts w:ascii="Times New Roman" w:hAnsi="Times New Roman"/>
          <w:sz w:val="24"/>
          <w:szCs w:val="24"/>
        </w:rPr>
        <w:t>with RGDP</w:t>
      </w:r>
      <w:r w:rsidRPr="00A37B23">
        <w:rPr>
          <w:rFonts w:ascii="Times New Roman" w:hAnsi="Times New Roman"/>
          <w:sz w:val="24"/>
          <w:szCs w:val="24"/>
        </w:rPr>
        <w:t xml:space="preserve"> (economic growth) which supports both supply leading hypothesis and demand following hypothesis in Nigeria for the period under </w:t>
      </w:r>
      <w:r w:rsidR="00196EFE" w:rsidRPr="00A37B23">
        <w:rPr>
          <w:rFonts w:ascii="Times New Roman" w:hAnsi="Times New Roman"/>
          <w:sz w:val="24"/>
          <w:szCs w:val="24"/>
        </w:rPr>
        <w:t>review;</w:t>
      </w:r>
    </w:p>
    <w:p w14:paraId="2CCE1CA3" w14:textId="3A1FB28B" w:rsidR="00D31621" w:rsidRPr="00A37B23" w:rsidRDefault="00D31621" w:rsidP="00A37B23">
      <w:pPr>
        <w:pStyle w:val="ListParagraph"/>
        <w:numPr>
          <w:ilvl w:val="0"/>
          <w:numId w:val="24"/>
        </w:numPr>
        <w:tabs>
          <w:tab w:val="left" w:pos="1170"/>
        </w:tabs>
        <w:spacing w:after="0" w:line="240" w:lineRule="auto"/>
        <w:ind w:left="90"/>
        <w:rPr>
          <w:rFonts w:ascii="Times New Roman" w:hAnsi="Times New Roman"/>
          <w:sz w:val="24"/>
          <w:szCs w:val="24"/>
        </w:rPr>
      </w:pPr>
      <w:r w:rsidRPr="00A37B23">
        <w:rPr>
          <w:rFonts w:ascii="Times New Roman" w:hAnsi="Times New Roman"/>
          <w:sz w:val="24"/>
          <w:szCs w:val="24"/>
        </w:rPr>
        <w:t xml:space="preserve">The ratio of private debt to total debt securities </w:t>
      </w:r>
      <w:r w:rsidR="00196EFE" w:rsidRPr="00A37B23">
        <w:rPr>
          <w:rFonts w:ascii="Times New Roman" w:hAnsi="Times New Roman"/>
          <w:sz w:val="24"/>
          <w:szCs w:val="24"/>
        </w:rPr>
        <w:t>(P</w:t>
      </w:r>
      <w:r w:rsidRPr="00A37B23">
        <w:rPr>
          <w:rFonts w:ascii="Times New Roman" w:hAnsi="Times New Roman"/>
          <w:sz w:val="24"/>
          <w:szCs w:val="24"/>
        </w:rPr>
        <w:t>/</w:t>
      </w:r>
      <w:r w:rsidR="00196EFE" w:rsidRPr="00A37B23">
        <w:rPr>
          <w:rFonts w:ascii="Times New Roman" w:hAnsi="Times New Roman"/>
          <w:sz w:val="24"/>
          <w:szCs w:val="24"/>
        </w:rPr>
        <w:t>TDS) has an</w:t>
      </w:r>
      <w:r w:rsidRPr="00A37B23">
        <w:rPr>
          <w:rFonts w:ascii="Times New Roman" w:hAnsi="Times New Roman"/>
          <w:sz w:val="24"/>
          <w:szCs w:val="24"/>
        </w:rPr>
        <w:t xml:space="preserve"> </w:t>
      </w:r>
      <w:r w:rsidR="00196EFE" w:rsidRPr="00A37B23">
        <w:rPr>
          <w:rFonts w:ascii="Times New Roman" w:hAnsi="Times New Roman"/>
          <w:sz w:val="24"/>
          <w:szCs w:val="24"/>
        </w:rPr>
        <w:t>insignificant and</w:t>
      </w:r>
      <w:r w:rsidRPr="00A37B23">
        <w:rPr>
          <w:rFonts w:ascii="Times New Roman" w:hAnsi="Times New Roman"/>
          <w:sz w:val="24"/>
          <w:szCs w:val="24"/>
        </w:rPr>
        <w:t xml:space="preserve"> unidirectional causal relationship </w:t>
      </w:r>
      <w:r w:rsidR="00196EFE" w:rsidRPr="00A37B23">
        <w:rPr>
          <w:rFonts w:ascii="Times New Roman" w:hAnsi="Times New Roman"/>
          <w:sz w:val="24"/>
          <w:szCs w:val="24"/>
        </w:rPr>
        <w:t>with RGDP</w:t>
      </w:r>
      <w:r w:rsidRPr="00A37B23">
        <w:rPr>
          <w:rFonts w:ascii="Times New Roman" w:hAnsi="Times New Roman"/>
          <w:sz w:val="24"/>
          <w:szCs w:val="24"/>
        </w:rPr>
        <w:t xml:space="preserve"> (economic growth) with causality running from RGDP to P/</w:t>
      </w:r>
      <w:r w:rsidR="00196EFE" w:rsidRPr="00A37B23">
        <w:rPr>
          <w:rFonts w:ascii="Times New Roman" w:hAnsi="Times New Roman"/>
          <w:sz w:val="24"/>
          <w:szCs w:val="24"/>
        </w:rPr>
        <w:t>TDs which</w:t>
      </w:r>
      <w:r w:rsidRPr="00A37B23">
        <w:rPr>
          <w:rFonts w:ascii="Times New Roman" w:hAnsi="Times New Roman"/>
          <w:sz w:val="24"/>
          <w:szCs w:val="24"/>
        </w:rPr>
        <w:t xml:space="preserve"> supports demand following hypothesis in Nigeria for the period under study; </w:t>
      </w:r>
    </w:p>
    <w:p w14:paraId="7A2D71DA" w14:textId="4D463386" w:rsidR="00D61225" w:rsidRPr="00A37B23" w:rsidRDefault="00D31621" w:rsidP="00A37B23">
      <w:pPr>
        <w:pStyle w:val="ListParagraph"/>
        <w:numPr>
          <w:ilvl w:val="0"/>
          <w:numId w:val="24"/>
        </w:numPr>
        <w:spacing w:after="0" w:line="240" w:lineRule="auto"/>
        <w:ind w:left="0"/>
        <w:rPr>
          <w:rFonts w:ascii="Times New Roman" w:hAnsi="Times New Roman"/>
          <w:sz w:val="24"/>
          <w:szCs w:val="24"/>
        </w:rPr>
      </w:pPr>
      <w:r w:rsidRPr="00A37B23">
        <w:rPr>
          <w:rFonts w:ascii="Times New Roman" w:hAnsi="Times New Roman"/>
          <w:sz w:val="24"/>
          <w:szCs w:val="24"/>
        </w:rPr>
        <w:t xml:space="preserve">The Lending-deposit spread (LDS) has a significant and unidirectional causal </w:t>
      </w:r>
      <w:r w:rsidR="00196EFE" w:rsidRPr="00A37B23">
        <w:rPr>
          <w:rFonts w:ascii="Times New Roman" w:hAnsi="Times New Roman"/>
          <w:sz w:val="24"/>
          <w:szCs w:val="24"/>
        </w:rPr>
        <w:t>relationship with</w:t>
      </w:r>
      <w:r w:rsidRPr="00A37B23">
        <w:rPr>
          <w:rFonts w:ascii="Times New Roman" w:hAnsi="Times New Roman"/>
          <w:sz w:val="24"/>
          <w:szCs w:val="24"/>
        </w:rPr>
        <w:t xml:space="preserve"> RGDP (economic growth) with </w:t>
      </w:r>
      <w:r w:rsidR="00196EFE" w:rsidRPr="00A37B23">
        <w:rPr>
          <w:rFonts w:ascii="Times New Roman" w:hAnsi="Times New Roman"/>
          <w:sz w:val="24"/>
          <w:szCs w:val="24"/>
        </w:rPr>
        <w:t>causality running</w:t>
      </w:r>
      <w:r w:rsidRPr="00A37B23">
        <w:rPr>
          <w:rFonts w:ascii="Times New Roman" w:hAnsi="Times New Roman"/>
          <w:sz w:val="24"/>
          <w:szCs w:val="24"/>
        </w:rPr>
        <w:t xml:space="preserve"> </w:t>
      </w:r>
      <w:r w:rsidR="00196EFE" w:rsidRPr="00A37B23">
        <w:rPr>
          <w:rFonts w:ascii="Times New Roman" w:hAnsi="Times New Roman"/>
          <w:sz w:val="24"/>
          <w:szCs w:val="24"/>
        </w:rPr>
        <w:t>from LDS</w:t>
      </w:r>
      <w:r w:rsidRPr="00A37B23">
        <w:rPr>
          <w:rFonts w:ascii="Times New Roman" w:hAnsi="Times New Roman"/>
          <w:sz w:val="24"/>
          <w:szCs w:val="24"/>
        </w:rPr>
        <w:t xml:space="preserve"> to </w:t>
      </w:r>
      <w:r w:rsidR="00196EFE" w:rsidRPr="00A37B23">
        <w:rPr>
          <w:rFonts w:ascii="Times New Roman" w:hAnsi="Times New Roman"/>
          <w:sz w:val="24"/>
          <w:szCs w:val="24"/>
        </w:rPr>
        <w:t>RGDP which</w:t>
      </w:r>
      <w:r w:rsidRPr="00A37B23">
        <w:rPr>
          <w:rFonts w:ascii="Times New Roman" w:hAnsi="Times New Roman"/>
          <w:sz w:val="24"/>
          <w:szCs w:val="24"/>
        </w:rPr>
        <w:t xml:space="preserve"> supports supply leading hypothesis in Nigeria for the period under review;</w:t>
      </w:r>
    </w:p>
    <w:p w14:paraId="3C75B3D4" w14:textId="649F93A3" w:rsidR="00D61225" w:rsidRPr="00A37B23" w:rsidRDefault="00D31621" w:rsidP="00A37B23">
      <w:pPr>
        <w:pStyle w:val="ListParagraph"/>
        <w:numPr>
          <w:ilvl w:val="0"/>
          <w:numId w:val="24"/>
        </w:numPr>
        <w:spacing w:after="0" w:line="240" w:lineRule="auto"/>
        <w:ind w:left="0"/>
        <w:rPr>
          <w:rFonts w:ascii="Times New Roman" w:hAnsi="Times New Roman"/>
          <w:sz w:val="24"/>
          <w:szCs w:val="24"/>
        </w:rPr>
      </w:pPr>
      <w:r w:rsidRPr="00A37B23">
        <w:rPr>
          <w:rFonts w:ascii="Times New Roman" w:hAnsi="Times New Roman"/>
          <w:sz w:val="24"/>
          <w:szCs w:val="24"/>
        </w:rPr>
        <w:t xml:space="preserve">The Liquidity ratio (LR) has a significant and unidirectional causal </w:t>
      </w:r>
      <w:r w:rsidR="00196EFE" w:rsidRPr="00A37B23">
        <w:rPr>
          <w:rFonts w:ascii="Times New Roman" w:hAnsi="Times New Roman"/>
          <w:sz w:val="24"/>
          <w:szCs w:val="24"/>
        </w:rPr>
        <w:t>relationship with</w:t>
      </w:r>
      <w:r w:rsidRPr="00A37B23">
        <w:rPr>
          <w:rFonts w:ascii="Times New Roman" w:hAnsi="Times New Roman"/>
          <w:sz w:val="24"/>
          <w:szCs w:val="24"/>
        </w:rPr>
        <w:t xml:space="preserve"> RGDP (economic growth) with causality running from LR to </w:t>
      </w:r>
      <w:r w:rsidR="00196EFE" w:rsidRPr="00A37B23">
        <w:rPr>
          <w:rFonts w:ascii="Times New Roman" w:hAnsi="Times New Roman"/>
          <w:sz w:val="24"/>
          <w:szCs w:val="24"/>
        </w:rPr>
        <w:t>RGDP which</w:t>
      </w:r>
      <w:r w:rsidRPr="00A37B23">
        <w:rPr>
          <w:rFonts w:ascii="Times New Roman" w:hAnsi="Times New Roman"/>
          <w:sz w:val="24"/>
          <w:szCs w:val="24"/>
        </w:rPr>
        <w:t xml:space="preserve"> supports supply leading hypothesis in Nigeria for the period under review; and</w:t>
      </w:r>
    </w:p>
    <w:p w14:paraId="0A809AC5" w14:textId="77777777" w:rsidR="00D31621" w:rsidRPr="00A37B23" w:rsidRDefault="00D31621" w:rsidP="00A37B23">
      <w:pPr>
        <w:pStyle w:val="ListParagraph"/>
        <w:numPr>
          <w:ilvl w:val="0"/>
          <w:numId w:val="24"/>
        </w:numPr>
        <w:spacing w:after="0" w:line="240" w:lineRule="auto"/>
        <w:ind w:left="0"/>
        <w:rPr>
          <w:rFonts w:ascii="Times New Roman" w:hAnsi="Times New Roman"/>
          <w:sz w:val="24"/>
          <w:szCs w:val="24"/>
        </w:rPr>
      </w:pPr>
      <w:r w:rsidRPr="00A37B23">
        <w:rPr>
          <w:rFonts w:ascii="Times New Roman" w:hAnsi="Times New Roman"/>
          <w:sz w:val="24"/>
          <w:szCs w:val="24"/>
        </w:rPr>
        <w:t>The stock market returns (SMR) has an insignificant and unidirectional causal relationship with RGDP (economic growth) and causality running from RGDP to SMR which supports demand following hypothesis in Nigeria for the period under study.</w:t>
      </w:r>
    </w:p>
    <w:p w14:paraId="02BE2760" w14:textId="77777777" w:rsidR="00D61225" w:rsidRPr="00A37B23" w:rsidRDefault="00D61225" w:rsidP="00C45F51">
      <w:pPr>
        <w:pStyle w:val="ListParagraph"/>
        <w:spacing w:after="0" w:line="240" w:lineRule="auto"/>
        <w:ind w:left="0"/>
        <w:jc w:val="both"/>
        <w:rPr>
          <w:rFonts w:ascii="Times New Roman" w:hAnsi="Times New Roman"/>
          <w:sz w:val="24"/>
          <w:szCs w:val="24"/>
        </w:rPr>
      </w:pPr>
    </w:p>
    <w:p w14:paraId="53F93D01" w14:textId="0FD21C79" w:rsidR="00D61225" w:rsidRPr="00A37B23" w:rsidRDefault="00A37B23" w:rsidP="004A7F0A">
      <w:pPr>
        <w:spacing w:after="0" w:line="240" w:lineRule="auto"/>
        <w:jc w:val="both"/>
        <w:rPr>
          <w:rFonts w:ascii="Times New Roman" w:hAnsi="Times New Roman"/>
          <w:b/>
          <w:sz w:val="24"/>
          <w:szCs w:val="24"/>
        </w:rPr>
      </w:pPr>
      <w:r w:rsidRPr="00A37B23">
        <w:rPr>
          <w:rFonts w:ascii="Times New Roman" w:hAnsi="Times New Roman"/>
          <w:b/>
          <w:sz w:val="24"/>
          <w:szCs w:val="24"/>
        </w:rPr>
        <w:t>CONCLUSION</w:t>
      </w:r>
    </w:p>
    <w:p w14:paraId="1BA632DF" w14:textId="40ADE50D" w:rsidR="00877D65" w:rsidRPr="00A37B23" w:rsidRDefault="004A7F0A" w:rsidP="00A37B23">
      <w:pPr>
        <w:spacing w:after="0" w:line="240" w:lineRule="auto"/>
        <w:rPr>
          <w:rFonts w:ascii="Times New Roman" w:hAnsi="Times New Roman"/>
          <w:b/>
          <w:sz w:val="24"/>
          <w:szCs w:val="24"/>
        </w:rPr>
      </w:pPr>
      <w:r w:rsidRPr="00A37B23">
        <w:rPr>
          <w:rFonts w:ascii="Times New Roman" w:hAnsi="Times New Roman"/>
          <w:sz w:val="24"/>
          <w:szCs w:val="24"/>
        </w:rPr>
        <w:t xml:space="preserve">This study </w:t>
      </w:r>
      <w:r w:rsidR="00D31621" w:rsidRPr="00A37B23">
        <w:rPr>
          <w:rFonts w:ascii="Times New Roman" w:hAnsi="Times New Roman"/>
          <w:sz w:val="24"/>
          <w:szCs w:val="24"/>
        </w:rPr>
        <w:t xml:space="preserve">employed robust techniques such as Exponential General Autoregressive Conditional Heteroskedasticity (E-GARCH), Vector Autoregressive (VAR) models and Granger Causality test. The descriptive statistics of the model variables </w:t>
      </w:r>
      <w:r w:rsidR="00D31621" w:rsidRPr="00A37B23">
        <w:rPr>
          <w:rFonts w:ascii="Times New Roman" w:hAnsi="Times New Roman"/>
          <w:sz w:val="24"/>
          <w:szCs w:val="24"/>
        </w:rPr>
        <w:t>was examined using mean, standard deviation, minimum and maximum values as well as Jaque Bera statistics test of normality. The Augmented Dickey Fuller test was used to examine the unit root properties of the series and the result indicates that all the variables became stationary only after first differencing. This led to the use of Johansen cointegration test in testing for the long-run relationship or cointegration which revealed two cointegrating equations. Further, the econometric results reveal that the major determinants of economic growth measured by real GDP in Nigeria include past real GDP, M</w:t>
      </w:r>
      <w:r w:rsidR="00D31621" w:rsidRPr="00A37B23">
        <w:rPr>
          <w:rFonts w:ascii="Times New Roman" w:hAnsi="Times New Roman"/>
          <w:sz w:val="24"/>
          <w:szCs w:val="24"/>
          <w:vertAlign w:val="subscript"/>
        </w:rPr>
        <w:t>2</w:t>
      </w:r>
      <w:r w:rsidR="00D31621" w:rsidRPr="00A37B23">
        <w:rPr>
          <w:rFonts w:ascii="Times New Roman" w:hAnsi="Times New Roman"/>
          <w:sz w:val="24"/>
          <w:szCs w:val="24"/>
        </w:rPr>
        <w:t>/GDP (financial depth), P/TDS (financial access), LDS (financial efficiency), and LR (Financial stability</w:t>
      </w:r>
      <w:r w:rsidR="009A18A2" w:rsidRPr="00A37B23">
        <w:rPr>
          <w:rFonts w:ascii="Times New Roman" w:hAnsi="Times New Roman"/>
          <w:sz w:val="24"/>
          <w:szCs w:val="24"/>
        </w:rPr>
        <w:t>),</w:t>
      </w:r>
      <w:r w:rsidR="00D31621" w:rsidRPr="00A37B23">
        <w:rPr>
          <w:rFonts w:ascii="Times New Roman" w:hAnsi="Times New Roman"/>
          <w:sz w:val="24"/>
          <w:szCs w:val="24"/>
        </w:rPr>
        <w:t xml:space="preserve"> stock market returns as well </w:t>
      </w:r>
      <w:r w:rsidR="009A18A2" w:rsidRPr="00A37B23">
        <w:rPr>
          <w:rFonts w:ascii="Times New Roman" w:hAnsi="Times New Roman"/>
          <w:sz w:val="24"/>
          <w:szCs w:val="24"/>
        </w:rPr>
        <w:t>as inflation</w:t>
      </w:r>
      <w:r w:rsidR="00D31621" w:rsidRPr="00A37B23">
        <w:rPr>
          <w:rFonts w:ascii="Times New Roman" w:hAnsi="Times New Roman"/>
          <w:sz w:val="24"/>
          <w:szCs w:val="24"/>
        </w:rPr>
        <w:t xml:space="preserve"> and exchange rates. </w:t>
      </w:r>
      <w:r w:rsidR="00877D65" w:rsidRPr="00A37B23">
        <w:rPr>
          <w:rFonts w:ascii="Times New Roman" w:hAnsi="Times New Roman"/>
          <w:b/>
          <w:sz w:val="24"/>
          <w:szCs w:val="24"/>
        </w:rPr>
        <w:t xml:space="preserve"> </w:t>
      </w:r>
    </w:p>
    <w:p w14:paraId="51FA67E2" w14:textId="6A3905F4" w:rsidR="00D31621" w:rsidRPr="00A37B23" w:rsidRDefault="00D31621" w:rsidP="00A37B23">
      <w:pPr>
        <w:spacing w:after="0" w:line="240" w:lineRule="auto"/>
        <w:rPr>
          <w:rFonts w:ascii="Times New Roman" w:hAnsi="Times New Roman"/>
          <w:b/>
          <w:sz w:val="24"/>
          <w:szCs w:val="24"/>
        </w:rPr>
      </w:pPr>
      <w:r w:rsidRPr="00A37B23">
        <w:rPr>
          <w:rFonts w:ascii="Times New Roman" w:hAnsi="Times New Roman"/>
          <w:sz w:val="24"/>
          <w:szCs w:val="24"/>
        </w:rPr>
        <w:t xml:space="preserve">The study </w:t>
      </w:r>
      <w:r w:rsidR="004A7F0A" w:rsidRPr="00A37B23">
        <w:rPr>
          <w:rFonts w:ascii="Times New Roman" w:hAnsi="Times New Roman"/>
          <w:sz w:val="24"/>
          <w:szCs w:val="24"/>
        </w:rPr>
        <w:t xml:space="preserve">showed a </w:t>
      </w:r>
      <w:r w:rsidRPr="00A37B23">
        <w:rPr>
          <w:rFonts w:ascii="Times New Roman" w:hAnsi="Times New Roman"/>
          <w:sz w:val="24"/>
          <w:szCs w:val="24"/>
        </w:rPr>
        <w:t>mixed findings – bidirectional causality supporting both supply-leading and demand following hypotheses and unidirectional causality supporting either supply leading hypothesis or demand following hypothesis. The study therefore concludes that, financial development and stock market returns are crucial for the growth of the Nigerian economy.</w:t>
      </w:r>
    </w:p>
    <w:p w14:paraId="0E701EE6" w14:textId="77777777" w:rsidR="00877D65" w:rsidRPr="00A37B23" w:rsidRDefault="00877D65" w:rsidP="00C45F51">
      <w:pPr>
        <w:pStyle w:val="NoSpacing"/>
        <w:ind w:firstLine="720"/>
        <w:jc w:val="both"/>
        <w:rPr>
          <w:rFonts w:ascii="Times New Roman" w:eastAsia="Times New Roman" w:hAnsi="Times New Roman"/>
          <w:b/>
          <w:sz w:val="24"/>
          <w:szCs w:val="24"/>
        </w:rPr>
      </w:pPr>
    </w:p>
    <w:p w14:paraId="4AC0FCEB" w14:textId="77777777" w:rsidR="004A7F0A" w:rsidRPr="00A37B23" w:rsidRDefault="004A7F0A" w:rsidP="004A7F0A">
      <w:pPr>
        <w:pStyle w:val="NoSpacing"/>
        <w:jc w:val="both"/>
        <w:rPr>
          <w:rFonts w:ascii="Times New Roman" w:eastAsia="Times New Roman" w:hAnsi="Times New Roman"/>
          <w:sz w:val="24"/>
          <w:szCs w:val="24"/>
        </w:rPr>
      </w:pPr>
      <w:r w:rsidRPr="00A37B23">
        <w:rPr>
          <w:rFonts w:ascii="Times New Roman" w:eastAsia="Times New Roman" w:hAnsi="Times New Roman"/>
          <w:sz w:val="24"/>
          <w:szCs w:val="24"/>
        </w:rPr>
        <w:t>The study therefore presented the following recommendation b</w:t>
      </w:r>
      <w:r w:rsidR="00D31621" w:rsidRPr="00A37B23">
        <w:rPr>
          <w:rFonts w:ascii="Times New Roman" w:eastAsia="Times New Roman" w:hAnsi="Times New Roman"/>
          <w:sz w:val="24"/>
          <w:szCs w:val="24"/>
        </w:rPr>
        <w:t>ased on the findings</w:t>
      </w:r>
      <w:r w:rsidRPr="00A37B23">
        <w:rPr>
          <w:rFonts w:ascii="Times New Roman" w:eastAsia="Times New Roman" w:hAnsi="Times New Roman"/>
          <w:sz w:val="24"/>
          <w:szCs w:val="24"/>
        </w:rPr>
        <w:t>;</w:t>
      </w:r>
      <w:r w:rsidR="00D31621" w:rsidRPr="00A37B23">
        <w:rPr>
          <w:rFonts w:ascii="Times New Roman" w:eastAsia="Times New Roman" w:hAnsi="Times New Roman"/>
          <w:sz w:val="24"/>
          <w:szCs w:val="24"/>
        </w:rPr>
        <w:t xml:space="preserve"> </w:t>
      </w:r>
    </w:p>
    <w:p w14:paraId="4F328050" w14:textId="77777777" w:rsidR="004A7F0A" w:rsidRPr="00A37B23" w:rsidRDefault="004A7F0A" w:rsidP="004A7F0A">
      <w:pPr>
        <w:pStyle w:val="NoSpacing"/>
        <w:jc w:val="both"/>
        <w:rPr>
          <w:rFonts w:ascii="Times New Roman" w:eastAsia="Times New Roman" w:hAnsi="Times New Roman"/>
          <w:sz w:val="24"/>
          <w:szCs w:val="24"/>
        </w:rPr>
      </w:pPr>
    </w:p>
    <w:p w14:paraId="2034476F" w14:textId="28A64080" w:rsidR="004A6109" w:rsidRPr="00A37B23" w:rsidRDefault="004A7F0A" w:rsidP="00A37B23">
      <w:pPr>
        <w:pStyle w:val="NoSpacing"/>
        <w:numPr>
          <w:ilvl w:val="1"/>
          <w:numId w:val="15"/>
        </w:numPr>
        <w:ind w:left="284"/>
        <w:rPr>
          <w:rFonts w:ascii="Times New Roman" w:eastAsia="Times New Roman" w:hAnsi="Times New Roman"/>
          <w:sz w:val="24"/>
          <w:szCs w:val="24"/>
        </w:rPr>
      </w:pPr>
      <w:r w:rsidRPr="00A37B23">
        <w:rPr>
          <w:rFonts w:ascii="Times New Roman" w:eastAsia="Times New Roman" w:hAnsi="Times New Roman"/>
          <w:sz w:val="24"/>
          <w:szCs w:val="24"/>
        </w:rPr>
        <w:t>P</w:t>
      </w:r>
      <w:r w:rsidR="004A6109" w:rsidRPr="00A37B23">
        <w:rPr>
          <w:rFonts w:ascii="Times New Roman" w:eastAsia="Times New Roman" w:hAnsi="Times New Roman"/>
          <w:sz w:val="24"/>
          <w:szCs w:val="24"/>
        </w:rPr>
        <w:t>romoting financial dev</w:t>
      </w:r>
      <w:r w:rsidR="00D73063" w:rsidRPr="00A37B23">
        <w:rPr>
          <w:rFonts w:ascii="Times New Roman" w:eastAsia="Times New Roman" w:hAnsi="Times New Roman"/>
          <w:sz w:val="24"/>
          <w:szCs w:val="24"/>
        </w:rPr>
        <w:t xml:space="preserve">elopment and economic growth in </w:t>
      </w:r>
      <w:r w:rsidR="004A6109" w:rsidRPr="00A37B23">
        <w:rPr>
          <w:rFonts w:ascii="Times New Roman" w:eastAsia="Times New Roman" w:hAnsi="Times New Roman"/>
          <w:sz w:val="24"/>
          <w:szCs w:val="24"/>
        </w:rPr>
        <w:t>Nigeria by implementing financial reforms and focusing on a robust financial system, legal system, and business environment for quality investments, real sector growth, and job creation.</w:t>
      </w:r>
    </w:p>
    <w:p w14:paraId="10A53E7A" w14:textId="1E75C620" w:rsidR="004A6109" w:rsidRPr="00A37B23" w:rsidRDefault="004A7F0A" w:rsidP="00A37B23">
      <w:pPr>
        <w:pStyle w:val="ListParagraph"/>
        <w:numPr>
          <w:ilvl w:val="1"/>
          <w:numId w:val="15"/>
        </w:numPr>
        <w:spacing w:after="0" w:line="240" w:lineRule="auto"/>
        <w:ind w:left="284"/>
        <w:rPr>
          <w:rFonts w:ascii="Times New Roman" w:eastAsia="Times New Roman" w:hAnsi="Times New Roman"/>
          <w:sz w:val="24"/>
          <w:szCs w:val="24"/>
        </w:rPr>
      </w:pPr>
      <w:r w:rsidRPr="00A37B23">
        <w:rPr>
          <w:rFonts w:ascii="Times New Roman" w:eastAsia="Times New Roman" w:hAnsi="Times New Roman"/>
          <w:sz w:val="24"/>
          <w:szCs w:val="24"/>
        </w:rPr>
        <w:t>I</w:t>
      </w:r>
      <w:r w:rsidR="004A6109" w:rsidRPr="00A37B23">
        <w:rPr>
          <w:rFonts w:ascii="Times New Roman" w:eastAsia="Times New Roman" w:hAnsi="Times New Roman"/>
          <w:sz w:val="24"/>
          <w:szCs w:val="24"/>
        </w:rPr>
        <w:t>mplement</w:t>
      </w:r>
      <w:r w:rsidRPr="00A37B23">
        <w:rPr>
          <w:rFonts w:ascii="Times New Roman" w:eastAsia="Times New Roman" w:hAnsi="Times New Roman"/>
          <w:sz w:val="24"/>
          <w:szCs w:val="24"/>
        </w:rPr>
        <w:t>ation of</w:t>
      </w:r>
      <w:r w:rsidR="004A6109" w:rsidRPr="00A37B23">
        <w:rPr>
          <w:rFonts w:ascii="Times New Roman" w:eastAsia="Times New Roman" w:hAnsi="Times New Roman"/>
          <w:sz w:val="24"/>
          <w:szCs w:val="24"/>
        </w:rPr>
        <w:t xml:space="preserve"> policies to improve financial inclusion, access, capital accumulation, credit creation, economic activities, investment, and growth</w:t>
      </w:r>
      <w:r w:rsidRPr="00A37B23">
        <w:rPr>
          <w:rFonts w:ascii="Times New Roman" w:eastAsia="Times New Roman" w:hAnsi="Times New Roman"/>
          <w:sz w:val="24"/>
          <w:szCs w:val="24"/>
        </w:rPr>
        <w:t xml:space="preserve"> by the government</w:t>
      </w:r>
      <w:r w:rsidR="004A6109" w:rsidRPr="00A37B23">
        <w:rPr>
          <w:rFonts w:ascii="Times New Roman" w:eastAsia="Times New Roman" w:hAnsi="Times New Roman"/>
          <w:sz w:val="24"/>
          <w:szCs w:val="24"/>
        </w:rPr>
        <w:t xml:space="preserve"> </w:t>
      </w:r>
      <w:r w:rsidR="00696059" w:rsidRPr="00A37B23">
        <w:rPr>
          <w:rFonts w:ascii="Times New Roman" w:eastAsia="Times New Roman" w:hAnsi="Times New Roman"/>
          <w:sz w:val="24"/>
          <w:szCs w:val="24"/>
        </w:rPr>
        <w:t xml:space="preserve">through </w:t>
      </w:r>
      <w:r w:rsidR="004A6109" w:rsidRPr="00A37B23">
        <w:rPr>
          <w:rFonts w:ascii="Times New Roman" w:eastAsia="Times New Roman" w:hAnsi="Times New Roman"/>
          <w:sz w:val="24"/>
          <w:szCs w:val="24"/>
        </w:rPr>
        <w:t xml:space="preserve">concessionary intervention funds targeted at critical sectors like agriculture, manufacturing, </w:t>
      </w:r>
      <w:r w:rsidR="004A6109" w:rsidRPr="00A37B23">
        <w:rPr>
          <w:rFonts w:ascii="Times New Roman" w:eastAsia="Times New Roman" w:hAnsi="Times New Roman"/>
          <w:sz w:val="24"/>
          <w:szCs w:val="24"/>
        </w:rPr>
        <w:lastRenderedPageBreak/>
        <w:t>and mining, channeled through deposit money banks to Small and Medium Enterprises (SMEs), which are key engines of economic growth.</w:t>
      </w:r>
    </w:p>
    <w:p w14:paraId="2E5A76EF" w14:textId="0A9AF9F2" w:rsidR="00BA4733" w:rsidRPr="00A37B23" w:rsidRDefault="00696059" w:rsidP="00A37B23">
      <w:pPr>
        <w:pStyle w:val="ListParagraph"/>
        <w:numPr>
          <w:ilvl w:val="1"/>
          <w:numId w:val="15"/>
        </w:numPr>
        <w:spacing w:after="0" w:line="240" w:lineRule="auto"/>
        <w:ind w:left="567"/>
        <w:rPr>
          <w:rFonts w:ascii="Times New Roman" w:eastAsia="Times New Roman" w:hAnsi="Times New Roman"/>
          <w:sz w:val="24"/>
          <w:szCs w:val="24"/>
        </w:rPr>
      </w:pPr>
      <w:r w:rsidRPr="00A37B23">
        <w:rPr>
          <w:rFonts w:ascii="Times New Roman" w:eastAsia="Times New Roman" w:hAnsi="Times New Roman"/>
          <w:sz w:val="24"/>
          <w:szCs w:val="24"/>
        </w:rPr>
        <w:t>S</w:t>
      </w:r>
      <w:r w:rsidR="004A6109" w:rsidRPr="00A37B23">
        <w:rPr>
          <w:rFonts w:ascii="Times New Roman" w:eastAsia="Times New Roman" w:hAnsi="Times New Roman"/>
          <w:sz w:val="24"/>
          <w:szCs w:val="24"/>
        </w:rPr>
        <w:t>trengthening Nigeria's forward-looking approach to bank regulation and supervision to maintain adequate liquidity ratios,</w:t>
      </w:r>
      <w:r w:rsidRPr="00A37B23">
        <w:rPr>
          <w:rFonts w:ascii="Times New Roman" w:eastAsia="Times New Roman" w:hAnsi="Times New Roman"/>
          <w:sz w:val="24"/>
          <w:szCs w:val="24"/>
        </w:rPr>
        <w:t xml:space="preserve"> thus </w:t>
      </w:r>
      <w:r w:rsidR="004A6109" w:rsidRPr="00A37B23">
        <w:rPr>
          <w:rFonts w:ascii="Times New Roman" w:eastAsia="Times New Roman" w:hAnsi="Times New Roman"/>
          <w:sz w:val="24"/>
          <w:szCs w:val="24"/>
        </w:rPr>
        <w:t>enhancing banks' capacity to meet financial obligations, withstand short-term pressures, boost trust, and maintain financial system stability.</w:t>
      </w:r>
    </w:p>
    <w:p w14:paraId="390CFFE1" w14:textId="5D02E24A" w:rsidR="00696059" w:rsidRPr="00A37B23" w:rsidRDefault="00696059" w:rsidP="00A37B23">
      <w:pPr>
        <w:pStyle w:val="ListParagraph"/>
        <w:numPr>
          <w:ilvl w:val="1"/>
          <w:numId w:val="15"/>
        </w:numPr>
        <w:spacing w:after="0" w:line="240" w:lineRule="auto"/>
        <w:ind w:left="567"/>
        <w:rPr>
          <w:rFonts w:ascii="Times New Roman" w:eastAsia="Times New Roman" w:hAnsi="Times New Roman"/>
          <w:sz w:val="24"/>
          <w:szCs w:val="24"/>
        </w:rPr>
      </w:pPr>
      <w:r w:rsidRPr="00A37B23">
        <w:rPr>
          <w:rFonts w:ascii="Times New Roman" w:eastAsia="Times New Roman" w:hAnsi="Times New Roman"/>
          <w:sz w:val="24"/>
          <w:szCs w:val="24"/>
        </w:rPr>
        <w:t xml:space="preserve">Since </w:t>
      </w:r>
      <w:r w:rsidR="00BA4733" w:rsidRPr="00A37B23">
        <w:rPr>
          <w:rFonts w:ascii="Times New Roman" w:eastAsia="Times New Roman" w:hAnsi="Times New Roman"/>
          <w:sz w:val="24"/>
          <w:szCs w:val="24"/>
        </w:rPr>
        <w:t>RGDP Granger can lead to stock market returns, indicating the financial system's sensitivity</w:t>
      </w:r>
      <w:r w:rsidR="00A37B23" w:rsidRPr="00A37B23">
        <w:rPr>
          <w:rFonts w:ascii="Times New Roman" w:eastAsia="Times New Roman" w:hAnsi="Times New Roman"/>
          <w:sz w:val="24"/>
          <w:szCs w:val="24"/>
        </w:rPr>
        <w:t>,</w:t>
      </w:r>
      <w:r w:rsidR="00BA4733" w:rsidRPr="00A37B23">
        <w:rPr>
          <w:rFonts w:ascii="Times New Roman" w:eastAsia="Times New Roman" w:hAnsi="Times New Roman"/>
          <w:sz w:val="24"/>
          <w:szCs w:val="24"/>
        </w:rPr>
        <w:t xml:space="preserve"> a risk-based approach </w:t>
      </w:r>
      <w:r w:rsidRPr="00A37B23">
        <w:rPr>
          <w:rFonts w:ascii="Times New Roman" w:eastAsia="Times New Roman" w:hAnsi="Times New Roman"/>
          <w:sz w:val="24"/>
          <w:szCs w:val="24"/>
        </w:rPr>
        <w:t xml:space="preserve">should be engaged </w:t>
      </w:r>
      <w:r w:rsidR="00BA4733" w:rsidRPr="00A37B23">
        <w:rPr>
          <w:rFonts w:ascii="Times New Roman" w:eastAsia="Times New Roman" w:hAnsi="Times New Roman"/>
          <w:sz w:val="24"/>
          <w:szCs w:val="24"/>
        </w:rPr>
        <w:t>for listed companies,</w:t>
      </w:r>
      <w:r w:rsidRPr="00A37B23">
        <w:rPr>
          <w:rFonts w:ascii="Times New Roman" w:eastAsia="Times New Roman" w:hAnsi="Times New Roman"/>
          <w:sz w:val="24"/>
          <w:szCs w:val="24"/>
        </w:rPr>
        <w:t xml:space="preserve"> to ensure</w:t>
      </w:r>
      <w:r w:rsidR="00BA4733" w:rsidRPr="00A37B23">
        <w:rPr>
          <w:rFonts w:ascii="Times New Roman" w:eastAsia="Times New Roman" w:hAnsi="Times New Roman"/>
          <w:sz w:val="24"/>
          <w:szCs w:val="24"/>
        </w:rPr>
        <w:t xml:space="preserve"> early identification of risks, and sound corporate governance. </w:t>
      </w:r>
    </w:p>
    <w:p w14:paraId="5F917388" w14:textId="52B01403" w:rsidR="00BA4733" w:rsidRPr="00A37B23" w:rsidRDefault="00BA4733" w:rsidP="00A37B23">
      <w:pPr>
        <w:pStyle w:val="ListParagraph"/>
        <w:numPr>
          <w:ilvl w:val="1"/>
          <w:numId w:val="15"/>
        </w:numPr>
        <w:spacing w:after="0" w:line="240" w:lineRule="auto"/>
        <w:ind w:left="567"/>
        <w:rPr>
          <w:rFonts w:ascii="Times New Roman" w:eastAsia="Times New Roman" w:hAnsi="Times New Roman"/>
          <w:sz w:val="24"/>
          <w:szCs w:val="24"/>
        </w:rPr>
      </w:pPr>
      <w:r w:rsidRPr="00A37B23">
        <w:rPr>
          <w:rFonts w:ascii="Times New Roman" w:eastAsia="Times New Roman" w:hAnsi="Times New Roman"/>
          <w:sz w:val="24"/>
          <w:szCs w:val="24"/>
        </w:rPr>
        <w:t>The economy should focus on the ease of doing business in the stock market, as it provides cheap long-term funding. This could involve reducing the cost of doing business in both primary and secondary markets.</w:t>
      </w:r>
    </w:p>
    <w:p w14:paraId="6A0A17E6" w14:textId="04EB37D2" w:rsidR="00BA4733" w:rsidRPr="00A37B23" w:rsidRDefault="00BA4733" w:rsidP="00A37B23">
      <w:pPr>
        <w:pStyle w:val="ListParagraph"/>
        <w:numPr>
          <w:ilvl w:val="1"/>
          <w:numId w:val="15"/>
        </w:numPr>
        <w:spacing w:after="0" w:line="240" w:lineRule="auto"/>
        <w:ind w:left="567"/>
        <w:rPr>
          <w:rFonts w:ascii="Times New Roman" w:eastAsia="Times New Roman" w:hAnsi="Times New Roman"/>
          <w:sz w:val="24"/>
          <w:szCs w:val="24"/>
        </w:rPr>
      </w:pPr>
      <w:r w:rsidRPr="00A37B23">
        <w:rPr>
          <w:rFonts w:ascii="Times New Roman" w:eastAsia="Times New Roman" w:hAnsi="Times New Roman"/>
          <w:sz w:val="24"/>
          <w:szCs w:val="24"/>
        </w:rPr>
        <w:t>The study suggests that financial development and economic growth are bidirectional, supporting both supply-leading and demand hypotheses. To achieve price stability and accelerated growth, attention should be given to money supply, economic growth determinants like investment, human capital development, and research.</w:t>
      </w:r>
    </w:p>
    <w:p w14:paraId="2043B730" w14:textId="77777777" w:rsidR="00BA4733" w:rsidRPr="00A37B23" w:rsidRDefault="00BA4733" w:rsidP="00C45F51">
      <w:pPr>
        <w:spacing w:after="0" w:line="240" w:lineRule="auto"/>
        <w:ind w:left="720"/>
        <w:jc w:val="both"/>
        <w:rPr>
          <w:rFonts w:ascii="Times New Roman" w:hAnsi="Times New Roman"/>
          <w:b/>
          <w:sz w:val="24"/>
          <w:szCs w:val="24"/>
        </w:rPr>
      </w:pPr>
    </w:p>
    <w:p w14:paraId="60D75DBD" w14:textId="38B4DC95" w:rsidR="00FF6DD8" w:rsidRPr="00A37B23" w:rsidRDefault="00802410" w:rsidP="00802410">
      <w:pPr>
        <w:spacing w:after="0" w:line="240" w:lineRule="auto"/>
        <w:rPr>
          <w:rFonts w:ascii="Times New Roman" w:hAnsi="Times New Roman"/>
          <w:b/>
          <w:sz w:val="24"/>
          <w:szCs w:val="24"/>
        </w:rPr>
      </w:pPr>
      <w:r w:rsidRPr="00A37B23">
        <w:rPr>
          <w:rFonts w:ascii="Times New Roman" w:hAnsi="Times New Roman"/>
          <w:b/>
          <w:sz w:val="24"/>
          <w:szCs w:val="24"/>
        </w:rPr>
        <w:t>REFERENCES</w:t>
      </w:r>
    </w:p>
    <w:p w14:paraId="045A9EC6" w14:textId="6F66A171" w:rsidR="00D31621" w:rsidRPr="00A37B23" w:rsidRDefault="00D31621" w:rsidP="00A37B23">
      <w:pPr>
        <w:spacing w:after="0" w:line="240" w:lineRule="auto"/>
        <w:rPr>
          <w:rFonts w:ascii="Times New Roman" w:hAnsi="Times New Roman"/>
          <w:b/>
          <w:sz w:val="24"/>
          <w:szCs w:val="24"/>
        </w:rPr>
      </w:pPr>
      <w:r w:rsidRPr="00A37B23">
        <w:rPr>
          <w:rFonts w:ascii="Times New Roman" w:eastAsia="Times New Roman" w:hAnsi="Times New Roman"/>
          <w:sz w:val="24"/>
          <w:szCs w:val="24"/>
        </w:rPr>
        <w:t>Ahmad, A.U. Adam, A. Ahmad, T. A. &amp; Umar, A.M. (2015). Stock market returns and</w:t>
      </w:r>
      <w:r w:rsidR="00A37B23">
        <w:rPr>
          <w:rFonts w:ascii="Times New Roman" w:eastAsia="Times New Roman" w:hAnsi="Times New Roman"/>
          <w:sz w:val="24"/>
          <w:szCs w:val="24"/>
        </w:rPr>
        <w:t xml:space="preserve"> </w:t>
      </w:r>
      <w:r w:rsidRPr="00A37B23">
        <w:rPr>
          <w:rFonts w:ascii="Times New Roman" w:eastAsia="Times New Roman" w:hAnsi="Times New Roman"/>
          <w:sz w:val="24"/>
          <w:szCs w:val="24"/>
        </w:rPr>
        <w:t xml:space="preserve">macroeconomic variables in nigeria: Testing for dynamic linkages with a structural break. </w:t>
      </w:r>
      <w:r w:rsidRPr="00A37B23">
        <w:rPr>
          <w:rFonts w:ascii="Times New Roman" w:eastAsia="Times New Roman" w:hAnsi="Times New Roman"/>
          <w:i/>
          <w:sz w:val="24"/>
          <w:szCs w:val="24"/>
        </w:rPr>
        <w:t>Scholars Academic and Scientific Publishers.</w:t>
      </w:r>
      <w:r w:rsidRPr="00A37B23">
        <w:rPr>
          <w:rFonts w:ascii="Times New Roman" w:eastAsia="Times New Roman" w:hAnsi="Times New Roman"/>
          <w:sz w:val="24"/>
          <w:szCs w:val="24"/>
        </w:rPr>
        <w:t xml:space="preserve"> </w:t>
      </w:r>
      <w:r w:rsidRPr="00A37B23">
        <w:rPr>
          <w:rFonts w:ascii="Times New Roman" w:eastAsia="Times New Roman" w:hAnsi="Times New Roman"/>
          <w:i/>
          <w:sz w:val="24"/>
          <w:szCs w:val="24"/>
        </w:rPr>
        <w:t>2</w:t>
      </w:r>
      <w:r w:rsidRPr="00A37B23">
        <w:rPr>
          <w:rFonts w:ascii="Times New Roman" w:eastAsia="Times New Roman" w:hAnsi="Times New Roman"/>
          <w:sz w:val="24"/>
          <w:szCs w:val="24"/>
        </w:rPr>
        <w:t>(8A), 816-828</w:t>
      </w:r>
    </w:p>
    <w:p w14:paraId="79C85D08" w14:textId="0B5027A0" w:rsidR="00D31621" w:rsidRPr="00A37B23" w:rsidRDefault="00D31621" w:rsidP="00A37B23">
      <w:pPr>
        <w:spacing w:after="0" w:line="240" w:lineRule="auto"/>
        <w:rPr>
          <w:rFonts w:ascii="Times New Roman" w:hAnsi="Times New Roman"/>
          <w:iCs/>
          <w:sz w:val="24"/>
          <w:szCs w:val="24"/>
        </w:rPr>
      </w:pPr>
      <w:r w:rsidRPr="00A37B23">
        <w:rPr>
          <w:rFonts w:ascii="Times New Roman" w:hAnsi="Times New Roman"/>
          <w:sz w:val="24"/>
          <w:szCs w:val="24"/>
        </w:rPr>
        <w:t>Akingunola, R.O., Olusegun, A.A., Oluwaseyi B., &amp; Olusoyi, S.G. (2013)</w:t>
      </w:r>
      <w:r w:rsidRPr="00A37B23">
        <w:rPr>
          <w:rFonts w:ascii="Times New Roman" w:hAnsi="Times New Roman"/>
          <w:bCs/>
          <w:sz w:val="24"/>
          <w:szCs w:val="24"/>
        </w:rPr>
        <w:t xml:space="preserve">. </w:t>
      </w:r>
      <w:r w:rsidRPr="00A37B23">
        <w:rPr>
          <w:rFonts w:ascii="Times New Roman" w:hAnsi="Times New Roman"/>
          <w:iCs/>
          <w:sz w:val="24"/>
          <w:szCs w:val="24"/>
        </w:rPr>
        <w:t>The Effect of the</w:t>
      </w:r>
      <w:r w:rsidR="00A37B23">
        <w:rPr>
          <w:rFonts w:ascii="Times New Roman" w:hAnsi="Times New Roman"/>
          <w:iCs/>
          <w:sz w:val="24"/>
          <w:szCs w:val="24"/>
        </w:rPr>
        <w:t xml:space="preserve"> </w:t>
      </w:r>
      <w:r w:rsidRPr="00A37B23">
        <w:rPr>
          <w:rFonts w:ascii="Times New Roman" w:hAnsi="Times New Roman"/>
          <w:iCs/>
          <w:sz w:val="24"/>
          <w:szCs w:val="24"/>
        </w:rPr>
        <w:t xml:space="preserve">financial liberalisation on economic growth. </w:t>
      </w:r>
      <w:r w:rsidRPr="00A37B23">
        <w:rPr>
          <w:rFonts w:ascii="Times New Roman" w:hAnsi="Times New Roman"/>
          <w:i/>
          <w:iCs/>
          <w:sz w:val="24"/>
          <w:szCs w:val="24"/>
        </w:rPr>
        <w:t>International Journal of Academic Research in Economics and M</w:t>
      </w:r>
      <w:r w:rsidR="00A37B23">
        <w:rPr>
          <w:rFonts w:ascii="Times New Roman" w:hAnsi="Times New Roman"/>
          <w:i/>
          <w:iCs/>
          <w:sz w:val="24"/>
          <w:szCs w:val="24"/>
        </w:rPr>
        <w:t>a</w:t>
      </w:r>
      <w:r w:rsidRPr="00A37B23">
        <w:rPr>
          <w:rFonts w:ascii="Times New Roman" w:hAnsi="Times New Roman"/>
          <w:i/>
          <w:iCs/>
          <w:sz w:val="24"/>
          <w:szCs w:val="24"/>
        </w:rPr>
        <w:t>nagement Sciences</w:t>
      </w:r>
      <w:r w:rsidRPr="00A37B23">
        <w:rPr>
          <w:rFonts w:ascii="Times New Roman" w:hAnsi="Times New Roman"/>
          <w:iCs/>
          <w:sz w:val="24"/>
          <w:szCs w:val="24"/>
        </w:rPr>
        <w:t xml:space="preserve">, </w:t>
      </w:r>
      <w:r w:rsidRPr="00A37B23">
        <w:rPr>
          <w:rFonts w:ascii="Times New Roman" w:hAnsi="Times New Roman"/>
          <w:i/>
          <w:iCs/>
          <w:sz w:val="24"/>
          <w:szCs w:val="24"/>
        </w:rPr>
        <w:t>2</w:t>
      </w:r>
      <w:r w:rsidRPr="00A37B23">
        <w:rPr>
          <w:rFonts w:ascii="Times New Roman" w:hAnsi="Times New Roman"/>
          <w:iCs/>
          <w:sz w:val="24"/>
          <w:szCs w:val="24"/>
        </w:rPr>
        <w:t>(1), 123-155</w:t>
      </w:r>
    </w:p>
    <w:p w14:paraId="6885E857" w14:textId="701E622E" w:rsidR="00FA23C0" w:rsidRPr="00A37B23" w:rsidRDefault="00FA23C0" w:rsidP="0015709E">
      <w:pPr>
        <w:spacing w:before="240" w:after="0" w:line="240" w:lineRule="auto"/>
        <w:rPr>
          <w:rFonts w:ascii="Times New Roman" w:hAnsi="Times New Roman"/>
          <w:sz w:val="24"/>
          <w:szCs w:val="24"/>
        </w:rPr>
      </w:pPr>
      <w:r w:rsidRPr="00A37B23">
        <w:rPr>
          <w:rFonts w:ascii="Times New Roman" w:hAnsi="Times New Roman"/>
          <w:sz w:val="24"/>
          <w:szCs w:val="24"/>
        </w:rPr>
        <w:t xml:space="preserve">Ajekwe T., Yua H. and Tyona T. (2024). Alternative Securities Market and Long-Term Capital Market Financing in Nigeria, </w:t>
      </w:r>
      <w:r w:rsidRPr="00A37B23">
        <w:rPr>
          <w:rFonts w:ascii="Times New Roman" w:hAnsi="Times New Roman"/>
          <w:i/>
          <w:sz w:val="24"/>
          <w:szCs w:val="24"/>
        </w:rPr>
        <w:t>International Journal of Development and Economic Sustainability,</w:t>
      </w:r>
      <w:r w:rsidRPr="00A37B23">
        <w:rPr>
          <w:rFonts w:ascii="Times New Roman" w:hAnsi="Times New Roman"/>
          <w:sz w:val="24"/>
          <w:szCs w:val="24"/>
        </w:rPr>
        <w:t xml:space="preserve"> 12(2), 1-26</w:t>
      </w:r>
    </w:p>
    <w:p w14:paraId="79CA13F6" w14:textId="7A511EEC" w:rsidR="006C4B46" w:rsidRPr="00A37B23" w:rsidRDefault="006C4B46" w:rsidP="0015709E">
      <w:pPr>
        <w:spacing w:before="240" w:after="0" w:line="240" w:lineRule="auto"/>
        <w:rPr>
          <w:rFonts w:ascii="Times New Roman" w:hAnsi="Times New Roman"/>
          <w:sz w:val="24"/>
          <w:szCs w:val="24"/>
        </w:rPr>
      </w:pPr>
      <w:bookmarkStart w:id="1" w:name="_Hlk198141572"/>
      <w:bookmarkStart w:id="2" w:name="_Hlk197614582"/>
      <w:r w:rsidRPr="00A37B23">
        <w:rPr>
          <w:rFonts w:ascii="Times New Roman" w:hAnsi="Times New Roman"/>
          <w:sz w:val="24"/>
          <w:szCs w:val="24"/>
        </w:rPr>
        <w:t>Ajekwe, T., Yua H., Epor S.O. and Victor U. (2024)</w:t>
      </w:r>
      <w:bookmarkEnd w:id="1"/>
      <w:r w:rsidRPr="00A37B23">
        <w:rPr>
          <w:rFonts w:ascii="Times New Roman" w:hAnsi="Times New Roman"/>
          <w:sz w:val="24"/>
          <w:szCs w:val="24"/>
        </w:rPr>
        <w:t xml:space="preserve">. </w:t>
      </w:r>
      <w:bookmarkEnd w:id="2"/>
      <w:r w:rsidRPr="00A37B23">
        <w:rPr>
          <w:rFonts w:ascii="Times New Roman" w:hAnsi="Times New Roman"/>
          <w:sz w:val="24"/>
          <w:szCs w:val="24"/>
        </w:rPr>
        <w:t>Exploring the New Financing Initiative for SMEs: The Role of Nigeria’s Alternative Securities Market ASeM).</w:t>
      </w:r>
      <w:r w:rsidR="00A37B23" w:rsidRPr="00A37B23">
        <w:rPr>
          <w:rFonts w:ascii="Times New Roman" w:hAnsi="Times New Roman"/>
          <w:sz w:val="24"/>
          <w:szCs w:val="24"/>
        </w:rPr>
        <w:t xml:space="preserve"> </w:t>
      </w:r>
      <w:r w:rsidRPr="00A37B23">
        <w:rPr>
          <w:rFonts w:ascii="Times New Roman" w:hAnsi="Times New Roman"/>
          <w:i/>
          <w:iCs/>
          <w:sz w:val="24"/>
          <w:szCs w:val="24"/>
        </w:rPr>
        <w:t xml:space="preserve">International Journal of Economics and Financial Management, </w:t>
      </w:r>
      <w:r w:rsidRPr="00A37B23">
        <w:rPr>
          <w:rFonts w:ascii="Times New Roman" w:hAnsi="Times New Roman"/>
          <w:sz w:val="24"/>
          <w:szCs w:val="24"/>
        </w:rPr>
        <w:t>9(3), 26-37</w:t>
      </w:r>
    </w:p>
    <w:p w14:paraId="53C48201" w14:textId="786FBF9E" w:rsidR="00D31621" w:rsidRPr="00A37B23" w:rsidRDefault="00D31621" w:rsidP="0015709E">
      <w:pPr>
        <w:spacing w:before="240" w:after="0" w:line="240" w:lineRule="auto"/>
        <w:rPr>
          <w:rFonts w:ascii="Times New Roman" w:hAnsi="Times New Roman"/>
          <w:bCs/>
          <w:iCs/>
          <w:sz w:val="24"/>
          <w:szCs w:val="24"/>
        </w:rPr>
      </w:pPr>
      <w:r w:rsidRPr="00A37B23">
        <w:rPr>
          <w:rFonts w:ascii="Times New Roman" w:hAnsi="Times New Roman"/>
          <w:bCs/>
          <w:iCs/>
          <w:sz w:val="24"/>
          <w:szCs w:val="24"/>
        </w:rPr>
        <w:t xml:space="preserve">Al-Rjoub, S. A., &amp; Azzam, H. (2012). Financial crises, stock returns and volatility in an emerging stock market: the case of Jordan. </w:t>
      </w:r>
      <w:r w:rsidRPr="00A37B23">
        <w:rPr>
          <w:rFonts w:ascii="Times New Roman" w:hAnsi="Times New Roman"/>
          <w:bCs/>
          <w:i/>
          <w:iCs/>
          <w:sz w:val="24"/>
          <w:szCs w:val="24"/>
        </w:rPr>
        <w:t>Journal of Economic Studies</w:t>
      </w:r>
      <w:r w:rsidRPr="00A37B23">
        <w:rPr>
          <w:rFonts w:ascii="Times New Roman" w:hAnsi="Times New Roman"/>
          <w:bCs/>
          <w:iCs/>
          <w:sz w:val="24"/>
          <w:szCs w:val="24"/>
        </w:rPr>
        <w:t xml:space="preserve">, </w:t>
      </w:r>
      <w:r w:rsidRPr="00A37B23">
        <w:rPr>
          <w:rFonts w:ascii="Times New Roman" w:hAnsi="Times New Roman"/>
          <w:bCs/>
          <w:i/>
          <w:iCs/>
          <w:sz w:val="24"/>
          <w:szCs w:val="24"/>
        </w:rPr>
        <w:t>39</w:t>
      </w:r>
      <w:r w:rsidRPr="00A37B23">
        <w:rPr>
          <w:rFonts w:ascii="Times New Roman" w:hAnsi="Times New Roman"/>
          <w:bCs/>
          <w:iCs/>
          <w:sz w:val="24"/>
          <w:szCs w:val="24"/>
        </w:rPr>
        <w:t>(2), 178-211.</w:t>
      </w:r>
    </w:p>
    <w:p w14:paraId="342E6D45" w14:textId="7A0FD3D3" w:rsidR="00D31621" w:rsidRPr="00A37B23" w:rsidRDefault="00D31621" w:rsidP="0015709E">
      <w:pPr>
        <w:spacing w:before="240" w:after="0" w:line="240" w:lineRule="auto"/>
        <w:rPr>
          <w:rFonts w:ascii="Times New Roman" w:hAnsi="Times New Roman"/>
          <w:bCs/>
          <w:iCs/>
          <w:sz w:val="24"/>
          <w:szCs w:val="24"/>
        </w:rPr>
      </w:pPr>
      <w:r w:rsidRPr="00A37B23">
        <w:rPr>
          <w:rFonts w:ascii="Times New Roman" w:hAnsi="Times New Roman"/>
          <w:bCs/>
          <w:iCs/>
          <w:sz w:val="24"/>
          <w:szCs w:val="24"/>
        </w:rPr>
        <w:t>Arestis, P. (2006). Financial liberalization and the relationship between finance and growth. A</w:t>
      </w:r>
      <w:r w:rsidR="00A37B23">
        <w:rPr>
          <w:rFonts w:ascii="Times New Roman" w:hAnsi="Times New Roman"/>
          <w:bCs/>
          <w:iCs/>
          <w:sz w:val="24"/>
          <w:szCs w:val="24"/>
        </w:rPr>
        <w:t xml:space="preserve"> </w:t>
      </w:r>
      <w:r w:rsidRPr="00A37B23">
        <w:rPr>
          <w:rFonts w:ascii="Times New Roman" w:hAnsi="Times New Roman"/>
          <w:bCs/>
          <w:iCs/>
          <w:sz w:val="24"/>
          <w:szCs w:val="24"/>
        </w:rPr>
        <w:t xml:space="preserve"> Handbook of Alternative Monetary Economics.</w:t>
      </w:r>
    </w:p>
    <w:p w14:paraId="752A20A4" w14:textId="0A8F4561" w:rsidR="00D31621" w:rsidRPr="00A37B23" w:rsidRDefault="00D31621" w:rsidP="0015709E">
      <w:pPr>
        <w:autoSpaceDE w:val="0"/>
        <w:autoSpaceDN w:val="0"/>
        <w:adjustRightInd w:val="0"/>
        <w:spacing w:before="240" w:after="0" w:line="240" w:lineRule="auto"/>
        <w:rPr>
          <w:rFonts w:ascii="Times New Roman" w:hAnsi="Times New Roman"/>
          <w:sz w:val="24"/>
          <w:szCs w:val="24"/>
        </w:rPr>
      </w:pPr>
      <w:r w:rsidRPr="00A37B23">
        <w:rPr>
          <w:rFonts w:ascii="Times New Roman" w:hAnsi="Times New Roman"/>
          <w:sz w:val="24"/>
          <w:szCs w:val="24"/>
        </w:rPr>
        <w:t xml:space="preserve">Arestis, P., Demetriades, P. O., &amp; Luintel. K. B. (2001). Financial development and economic growth: The role of stock markets: </w:t>
      </w:r>
      <w:r w:rsidRPr="00A37B23">
        <w:rPr>
          <w:rFonts w:ascii="Times New Roman" w:hAnsi="Times New Roman"/>
          <w:i/>
          <w:sz w:val="24"/>
          <w:szCs w:val="24"/>
        </w:rPr>
        <w:t>Journal of Money, Credit and Banking</w:t>
      </w:r>
      <w:r w:rsidRPr="00A37B23">
        <w:rPr>
          <w:rFonts w:ascii="Times New Roman" w:hAnsi="Times New Roman"/>
          <w:sz w:val="24"/>
          <w:szCs w:val="24"/>
        </w:rPr>
        <w:t xml:space="preserve">, </w:t>
      </w:r>
      <w:r w:rsidRPr="00A37B23">
        <w:rPr>
          <w:rFonts w:ascii="Times New Roman" w:hAnsi="Times New Roman"/>
          <w:i/>
          <w:sz w:val="24"/>
          <w:szCs w:val="24"/>
        </w:rPr>
        <w:t>33</w:t>
      </w:r>
      <w:r w:rsidRPr="00A37B23">
        <w:rPr>
          <w:rFonts w:ascii="Times New Roman" w:hAnsi="Times New Roman"/>
          <w:sz w:val="24"/>
          <w:szCs w:val="24"/>
        </w:rPr>
        <w:t>:16-41.</w:t>
      </w:r>
    </w:p>
    <w:p w14:paraId="01B86408" w14:textId="75776A81" w:rsidR="00FF6DD8" w:rsidRPr="00A37B23" w:rsidRDefault="00D31621" w:rsidP="0015709E">
      <w:pPr>
        <w:autoSpaceDE w:val="0"/>
        <w:autoSpaceDN w:val="0"/>
        <w:adjustRightInd w:val="0"/>
        <w:spacing w:before="240" w:after="0" w:line="240" w:lineRule="auto"/>
        <w:rPr>
          <w:rFonts w:ascii="Times New Roman" w:hAnsi="Times New Roman"/>
          <w:sz w:val="24"/>
          <w:szCs w:val="24"/>
        </w:rPr>
      </w:pPr>
      <w:r w:rsidRPr="00A37B23">
        <w:rPr>
          <w:rFonts w:ascii="Times New Roman" w:hAnsi="Times New Roman"/>
          <w:bCs/>
          <w:sz w:val="24"/>
          <w:szCs w:val="24"/>
        </w:rPr>
        <w:t>Asemota, O. J., &amp; Ekejiuba, U. C. (</w:t>
      </w:r>
      <w:r w:rsidRPr="00A37B23">
        <w:rPr>
          <w:rFonts w:ascii="Times New Roman" w:hAnsi="Times New Roman"/>
          <w:iCs/>
          <w:sz w:val="24"/>
          <w:szCs w:val="24"/>
        </w:rPr>
        <w:t>2017).</w:t>
      </w:r>
      <w:r w:rsidRPr="00A37B23">
        <w:rPr>
          <w:rFonts w:ascii="Times New Roman" w:hAnsi="Times New Roman"/>
          <w:sz w:val="24"/>
          <w:szCs w:val="24"/>
        </w:rPr>
        <w:t xml:space="preserve"> </w:t>
      </w:r>
      <w:r w:rsidRPr="00A37B23">
        <w:rPr>
          <w:rFonts w:ascii="Times New Roman" w:hAnsi="Times New Roman"/>
          <w:bCs/>
          <w:sz w:val="24"/>
          <w:szCs w:val="24"/>
        </w:rPr>
        <w:t>An application of asymmetric GARCH models on volatility of banks equity in Nigeria’s stock market.</w:t>
      </w:r>
      <w:r w:rsidRPr="00A37B23">
        <w:rPr>
          <w:rFonts w:ascii="Times New Roman" w:hAnsi="Times New Roman"/>
          <w:i/>
          <w:iCs/>
          <w:sz w:val="24"/>
          <w:szCs w:val="24"/>
        </w:rPr>
        <w:t xml:space="preserve"> CBN</w:t>
      </w:r>
      <w:r w:rsidR="00FF6DD8" w:rsidRPr="00A37B23">
        <w:rPr>
          <w:rFonts w:ascii="Times New Roman" w:hAnsi="Times New Roman"/>
          <w:i/>
          <w:iCs/>
          <w:sz w:val="24"/>
          <w:szCs w:val="24"/>
        </w:rPr>
        <w:t xml:space="preserve"> Journal of Applied Statistics,8</w:t>
      </w:r>
      <w:r w:rsidRPr="00A37B23">
        <w:rPr>
          <w:rFonts w:ascii="Times New Roman" w:hAnsi="Times New Roman"/>
          <w:i/>
          <w:iCs/>
          <w:sz w:val="24"/>
          <w:szCs w:val="24"/>
        </w:rPr>
        <w:t>(</w:t>
      </w:r>
      <w:r w:rsidRPr="00A37B23">
        <w:rPr>
          <w:rFonts w:ascii="Times New Roman" w:hAnsi="Times New Roman"/>
          <w:iCs/>
          <w:sz w:val="24"/>
          <w:szCs w:val="24"/>
        </w:rPr>
        <w:t>1</w:t>
      </w:r>
      <w:r w:rsidRPr="00A37B23">
        <w:rPr>
          <w:rFonts w:ascii="Times New Roman" w:hAnsi="Times New Roman"/>
          <w:i/>
          <w:iCs/>
          <w:sz w:val="24"/>
          <w:szCs w:val="24"/>
        </w:rPr>
        <w:t>)</w:t>
      </w:r>
      <w:r w:rsidRPr="00A37B23">
        <w:rPr>
          <w:rFonts w:ascii="Times New Roman" w:hAnsi="Times New Roman"/>
          <w:sz w:val="24"/>
          <w:szCs w:val="24"/>
        </w:rPr>
        <w:t>73</w:t>
      </w:r>
    </w:p>
    <w:p w14:paraId="6410B8F0" w14:textId="6451728A" w:rsidR="00DC3001" w:rsidRPr="00A37B23" w:rsidRDefault="00DC3001" w:rsidP="0015709E">
      <w:pPr>
        <w:spacing w:before="240" w:after="0" w:line="240" w:lineRule="auto"/>
        <w:rPr>
          <w:rFonts w:ascii="Times New Roman" w:hAnsi="Times New Roman"/>
          <w:sz w:val="24"/>
          <w:szCs w:val="24"/>
          <w:shd w:val="clear" w:color="auto" w:fill="FFFFFF"/>
        </w:rPr>
      </w:pPr>
      <w:r w:rsidRPr="00A37B23">
        <w:rPr>
          <w:rFonts w:ascii="Times New Roman" w:hAnsi="Times New Roman"/>
          <w:sz w:val="24"/>
          <w:szCs w:val="24"/>
          <w:shd w:val="clear" w:color="auto" w:fill="FFFFFF"/>
        </w:rPr>
        <w:t xml:space="preserve">Akwam, P. O., &amp; Yua, H. (2021). Effect of Financial Products on the Performance of Selected Deposit Money Banks in Nigeria: 2005-2019. </w:t>
      </w:r>
      <w:r w:rsidRPr="00A37B23">
        <w:rPr>
          <w:rFonts w:ascii="Times New Roman" w:hAnsi="Times New Roman"/>
          <w:i/>
          <w:sz w:val="24"/>
          <w:szCs w:val="24"/>
          <w:shd w:val="clear" w:color="auto" w:fill="FFFFFF"/>
        </w:rPr>
        <w:t>European Journal of Accounting, Auditing</w:t>
      </w:r>
      <w:r w:rsidR="00A37B23">
        <w:rPr>
          <w:rFonts w:ascii="Times New Roman" w:hAnsi="Times New Roman"/>
          <w:i/>
          <w:sz w:val="24"/>
          <w:szCs w:val="24"/>
          <w:shd w:val="clear" w:color="auto" w:fill="FFFFFF"/>
        </w:rPr>
        <w:t xml:space="preserve"> </w:t>
      </w:r>
      <w:r w:rsidRPr="00A37B23">
        <w:rPr>
          <w:rFonts w:ascii="Times New Roman" w:hAnsi="Times New Roman"/>
          <w:i/>
          <w:sz w:val="24"/>
          <w:szCs w:val="24"/>
          <w:shd w:val="clear" w:color="auto" w:fill="FFFFFF"/>
        </w:rPr>
        <w:t xml:space="preserve"> and Finance Research,</w:t>
      </w:r>
      <w:r w:rsidRPr="00A37B23">
        <w:rPr>
          <w:rFonts w:ascii="Times New Roman" w:hAnsi="Times New Roman"/>
          <w:sz w:val="24"/>
          <w:szCs w:val="24"/>
          <w:shd w:val="clear" w:color="auto" w:fill="FFFFFF"/>
        </w:rPr>
        <w:t xml:space="preserve"> 9, 124-143.</w:t>
      </w:r>
    </w:p>
    <w:p w14:paraId="6F99973E" w14:textId="397F5ACF" w:rsidR="00D31621" w:rsidRPr="00A37B23" w:rsidRDefault="00D31621" w:rsidP="0015709E">
      <w:pPr>
        <w:autoSpaceDE w:val="0"/>
        <w:autoSpaceDN w:val="0"/>
        <w:adjustRightInd w:val="0"/>
        <w:spacing w:before="240" w:after="0" w:line="240" w:lineRule="auto"/>
        <w:rPr>
          <w:rFonts w:ascii="Times New Roman" w:hAnsi="Times New Roman"/>
          <w:bCs/>
          <w:sz w:val="24"/>
          <w:szCs w:val="24"/>
        </w:rPr>
      </w:pPr>
      <w:r w:rsidRPr="00A37B23">
        <w:rPr>
          <w:rFonts w:ascii="Times New Roman" w:hAnsi="Times New Roman"/>
          <w:sz w:val="24"/>
          <w:szCs w:val="24"/>
        </w:rPr>
        <w:t xml:space="preserve">Beck, T., &amp; Levine, T. (2003). Stock markets, banks, and growth: Panel evidence. </w:t>
      </w:r>
      <w:r w:rsidRPr="00A37B23">
        <w:rPr>
          <w:rFonts w:ascii="Times New Roman" w:hAnsi="Times New Roman"/>
          <w:i/>
          <w:sz w:val="24"/>
          <w:szCs w:val="24"/>
        </w:rPr>
        <w:t>Journal of</w:t>
      </w:r>
      <w:r w:rsidR="00231A19">
        <w:rPr>
          <w:rFonts w:ascii="Times New Roman" w:hAnsi="Times New Roman"/>
          <w:i/>
          <w:sz w:val="24"/>
          <w:szCs w:val="24"/>
        </w:rPr>
        <w:t xml:space="preserve"> </w:t>
      </w:r>
      <w:r w:rsidRPr="00A37B23">
        <w:rPr>
          <w:rFonts w:ascii="Times New Roman" w:hAnsi="Times New Roman"/>
          <w:i/>
          <w:sz w:val="24"/>
          <w:szCs w:val="24"/>
        </w:rPr>
        <w:t xml:space="preserve"> Banking and Finance, 28</w:t>
      </w:r>
      <w:r w:rsidRPr="00A37B23">
        <w:rPr>
          <w:rFonts w:ascii="Times New Roman" w:hAnsi="Times New Roman"/>
          <w:sz w:val="24"/>
          <w:szCs w:val="24"/>
        </w:rPr>
        <w:t>(3), 423-442.</w:t>
      </w:r>
    </w:p>
    <w:p w14:paraId="6B42457E" w14:textId="44606C51" w:rsidR="00D31621" w:rsidRPr="00A37B23" w:rsidRDefault="00D31621" w:rsidP="0015709E">
      <w:pPr>
        <w:spacing w:before="240" w:after="0" w:line="240" w:lineRule="auto"/>
        <w:rPr>
          <w:rFonts w:ascii="Times New Roman" w:hAnsi="Times New Roman"/>
          <w:bCs/>
          <w:iCs/>
          <w:sz w:val="24"/>
          <w:szCs w:val="24"/>
        </w:rPr>
      </w:pPr>
      <w:r w:rsidRPr="00A37B23">
        <w:rPr>
          <w:rFonts w:ascii="Times New Roman" w:hAnsi="Times New Roman"/>
          <w:bCs/>
          <w:iCs/>
          <w:sz w:val="24"/>
          <w:szCs w:val="24"/>
        </w:rPr>
        <w:lastRenderedPageBreak/>
        <w:t xml:space="preserve">Beck, T., Demirguc-Kunt, A., &amp; Levine, R. (2003). Law, endowments and finance. </w:t>
      </w:r>
      <w:r w:rsidRPr="00A37B23">
        <w:rPr>
          <w:rFonts w:ascii="Times New Roman" w:hAnsi="Times New Roman"/>
          <w:bCs/>
          <w:i/>
          <w:iCs/>
          <w:sz w:val="24"/>
          <w:szCs w:val="24"/>
        </w:rPr>
        <w:t>Journal of</w:t>
      </w:r>
      <w:r w:rsidR="00231A19">
        <w:rPr>
          <w:rFonts w:ascii="Times New Roman" w:hAnsi="Times New Roman"/>
          <w:bCs/>
          <w:i/>
          <w:iCs/>
          <w:sz w:val="24"/>
          <w:szCs w:val="24"/>
        </w:rPr>
        <w:t xml:space="preserve"> </w:t>
      </w:r>
      <w:r w:rsidRPr="00A37B23">
        <w:rPr>
          <w:rFonts w:ascii="Times New Roman" w:hAnsi="Times New Roman"/>
          <w:bCs/>
          <w:i/>
          <w:iCs/>
          <w:sz w:val="24"/>
          <w:szCs w:val="24"/>
        </w:rPr>
        <w:t xml:space="preserve"> Financial Economics,</w:t>
      </w:r>
      <w:r w:rsidRPr="00A37B23">
        <w:rPr>
          <w:rFonts w:ascii="Times New Roman" w:hAnsi="Times New Roman"/>
          <w:bCs/>
          <w:iCs/>
          <w:sz w:val="24"/>
          <w:szCs w:val="24"/>
        </w:rPr>
        <w:t xml:space="preserve"> </w:t>
      </w:r>
      <w:r w:rsidRPr="00A37B23">
        <w:rPr>
          <w:rFonts w:ascii="Times New Roman" w:hAnsi="Times New Roman"/>
          <w:bCs/>
          <w:i/>
          <w:iCs/>
          <w:sz w:val="24"/>
          <w:szCs w:val="24"/>
        </w:rPr>
        <w:t>70</w:t>
      </w:r>
      <w:r w:rsidRPr="00A37B23">
        <w:rPr>
          <w:rFonts w:ascii="Times New Roman" w:hAnsi="Times New Roman"/>
          <w:bCs/>
          <w:iCs/>
          <w:sz w:val="24"/>
          <w:szCs w:val="24"/>
        </w:rPr>
        <w:t>(2):137-181.</w:t>
      </w:r>
    </w:p>
    <w:p w14:paraId="6870DB99" w14:textId="77777777" w:rsidR="00FF6DD8" w:rsidRPr="00A37B23" w:rsidRDefault="00D31621" w:rsidP="0015709E">
      <w:pPr>
        <w:spacing w:before="240" w:after="0" w:line="240" w:lineRule="auto"/>
        <w:jc w:val="both"/>
        <w:rPr>
          <w:rFonts w:ascii="Times New Roman" w:hAnsi="Times New Roman"/>
          <w:bCs/>
          <w:iCs/>
          <w:sz w:val="24"/>
          <w:szCs w:val="24"/>
        </w:rPr>
      </w:pPr>
      <w:r w:rsidRPr="00A37B23">
        <w:rPr>
          <w:rFonts w:ascii="Times New Roman" w:hAnsi="Times New Roman"/>
          <w:bCs/>
          <w:iCs/>
          <w:sz w:val="24"/>
          <w:szCs w:val="24"/>
        </w:rPr>
        <w:t xml:space="preserve">Demetriades, P.O., &amp; Hussein, K.A. (1996). Does financial development cause economic </w:t>
      </w:r>
    </w:p>
    <w:p w14:paraId="7E9DB725" w14:textId="1B35625F" w:rsidR="00D31621" w:rsidRPr="00A37B23" w:rsidRDefault="00D31621" w:rsidP="0015709E">
      <w:pPr>
        <w:spacing w:before="240" w:after="0" w:line="240" w:lineRule="auto"/>
        <w:rPr>
          <w:rFonts w:ascii="Times New Roman" w:hAnsi="Times New Roman"/>
          <w:bCs/>
          <w:iCs/>
          <w:sz w:val="24"/>
          <w:szCs w:val="24"/>
        </w:rPr>
      </w:pPr>
      <w:r w:rsidRPr="00A37B23">
        <w:rPr>
          <w:rFonts w:ascii="Times New Roman" w:hAnsi="Times New Roman"/>
          <w:bCs/>
          <w:iCs/>
          <w:sz w:val="24"/>
          <w:szCs w:val="24"/>
        </w:rPr>
        <w:t xml:space="preserve">growth? Time-series evidence from 16 countries. </w:t>
      </w:r>
      <w:r w:rsidRPr="00A37B23">
        <w:rPr>
          <w:rFonts w:ascii="Times New Roman" w:hAnsi="Times New Roman"/>
          <w:bCs/>
          <w:i/>
          <w:iCs/>
          <w:sz w:val="24"/>
          <w:szCs w:val="24"/>
        </w:rPr>
        <w:t>Journal of Development Economics, 51</w:t>
      </w:r>
      <w:r w:rsidRPr="00A37B23">
        <w:rPr>
          <w:rFonts w:ascii="Times New Roman" w:hAnsi="Times New Roman"/>
          <w:bCs/>
          <w:iCs/>
          <w:sz w:val="24"/>
          <w:szCs w:val="24"/>
        </w:rPr>
        <w:t>(2), 387-412.</w:t>
      </w:r>
    </w:p>
    <w:p w14:paraId="11D317F4" w14:textId="45D1C635" w:rsidR="00D31621" w:rsidRPr="00A37B23" w:rsidRDefault="00D31621" w:rsidP="0015709E">
      <w:pPr>
        <w:spacing w:before="240" w:after="0" w:line="240" w:lineRule="auto"/>
        <w:rPr>
          <w:rFonts w:ascii="Times New Roman" w:hAnsi="Times New Roman"/>
          <w:i/>
          <w:iCs/>
          <w:sz w:val="24"/>
          <w:szCs w:val="24"/>
        </w:rPr>
      </w:pPr>
      <w:r w:rsidRPr="00A37B23">
        <w:rPr>
          <w:rFonts w:ascii="Times New Roman" w:hAnsi="Times New Roman"/>
          <w:iCs/>
          <w:sz w:val="24"/>
          <w:szCs w:val="24"/>
        </w:rPr>
        <w:t>Dickey,</w:t>
      </w:r>
      <w:r w:rsidR="00231A19">
        <w:rPr>
          <w:rFonts w:ascii="Times New Roman" w:hAnsi="Times New Roman"/>
          <w:iCs/>
          <w:sz w:val="24"/>
          <w:szCs w:val="24"/>
        </w:rPr>
        <w:t xml:space="preserve"> </w:t>
      </w:r>
      <w:r w:rsidRPr="00A37B23">
        <w:rPr>
          <w:rFonts w:ascii="Times New Roman" w:hAnsi="Times New Roman"/>
          <w:iCs/>
          <w:sz w:val="24"/>
          <w:szCs w:val="24"/>
        </w:rPr>
        <w:t xml:space="preserve">D.A., &amp; Fuller, W.A. (1979). Distribution of the estimators for autoregressive time series with a unit root. </w:t>
      </w:r>
      <w:r w:rsidRPr="00A37B23">
        <w:rPr>
          <w:rFonts w:ascii="Times New Roman" w:hAnsi="Times New Roman"/>
          <w:i/>
          <w:iCs/>
          <w:sz w:val="24"/>
          <w:szCs w:val="24"/>
        </w:rPr>
        <w:t xml:space="preserve">Journal of the American Statistical Association, </w:t>
      </w:r>
      <w:r w:rsidRPr="00A37B23">
        <w:rPr>
          <w:rFonts w:ascii="Times New Roman" w:hAnsi="Times New Roman"/>
          <w:iCs/>
          <w:sz w:val="24"/>
          <w:szCs w:val="24"/>
        </w:rPr>
        <w:t>74,427-431.</w:t>
      </w:r>
      <w:r w:rsidRPr="00A37B23">
        <w:rPr>
          <w:rFonts w:ascii="Times New Roman" w:hAnsi="Times New Roman"/>
          <w:i/>
          <w:iCs/>
          <w:sz w:val="24"/>
          <w:szCs w:val="24"/>
        </w:rPr>
        <w:t xml:space="preserve"> </w:t>
      </w:r>
    </w:p>
    <w:p w14:paraId="4D8A5F44" w14:textId="227100C0" w:rsidR="00D31621" w:rsidRPr="00A37B23" w:rsidRDefault="00D31621" w:rsidP="0015709E">
      <w:pPr>
        <w:spacing w:before="240" w:after="0" w:line="240" w:lineRule="auto"/>
        <w:rPr>
          <w:rFonts w:ascii="Times New Roman" w:hAnsi="Times New Roman"/>
          <w:sz w:val="24"/>
          <w:szCs w:val="24"/>
        </w:rPr>
      </w:pPr>
      <w:r w:rsidRPr="00A37B23">
        <w:rPr>
          <w:rFonts w:ascii="Times New Roman" w:hAnsi="Times New Roman"/>
          <w:sz w:val="24"/>
          <w:szCs w:val="24"/>
        </w:rPr>
        <w:t>Dritsaki,</w:t>
      </w:r>
      <w:r w:rsidR="00231A19">
        <w:rPr>
          <w:rFonts w:ascii="Times New Roman" w:hAnsi="Times New Roman"/>
          <w:sz w:val="24"/>
          <w:szCs w:val="24"/>
        </w:rPr>
        <w:t xml:space="preserve"> </w:t>
      </w:r>
      <w:r w:rsidRPr="00A37B23">
        <w:rPr>
          <w:rFonts w:ascii="Times New Roman" w:hAnsi="Times New Roman"/>
          <w:sz w:val="24"/>
          <w:szCs w:val="24"/>
        </w:rPr>
        <w:t xml:space="preserve">C. &amp; Dritsaki B. M. (2005). The </w:t>
      </w:r>
      <w:r w:rsidR="009A18A2" w:rsidRPr="00A37B23">
        <w:rPr>
          <w:rFonts w:ascii="Times New Roman" w:hAnsi="Times New Roman"/>
          <w:sz w:val="24"/>
          <w:szCs w:val="24"/>
        </w:rPr>
        <w:t>causal</w:t>
      </w:r>
      <w:r w:rsidRPr="00A37B23">
        <w:rPr>
          <w:rFonts w:ascii="Times New Roman" w:hAnsi="Times New Roman"/>
          <w:sz w:val="24"/>
          <w:szCs w:val="24"/>
        </w:rPr>
        <w:t xml:space="preserve"> relationship between stock, credit market and</w:t>
      </w:r>
      <w:r w:rsidR="00231A19">
        <w:rPr>
          <w:rFonts w:ascii="Times New Roman" w:hAnsi="Times New Roman"/>
          <w:sz w:val="24"/>
          <w:szCs w:val="24"/>
        </w:rPr>
        <w:t xml:space="preserve"> </w:t>
      </w:r>
      <w:r w:rsidRPr="00A37B23">
        <w:rPr>
          <w:rFonts w:ascii="Times New Roman" w:hAnsi="Times New Roman"/>
          <w:sz w:val="24"/>
          <w:szCs w:val="24"/>
        </w:rPr>
        <w:t xml:space="preserve">economic development: </w:t>
      </w:r>
      <w:r w:rsidR="009A18A2" w:rsidRPr="00A37B23">
        <w:rPr>
          <w:rFonts w:ascii="Times New Roman" w:hAnsi="Times New Roman"/>
          <w:sz w:val="24"/>
          <w:szCs w:val="24"/>
        </w:rPr>
        <w:t>Empirical evidence</w:t>
      </w:r>
      <w:r w:rsidRPr="00A37B23">
        <w:rPr>
          <w:rFonts w:ascii="Times New Roman" w:hAnsi="Times New Roman"/>
          <w:sz w:val="24"/>
          <w:szCs w:val="24"/>
        </w:rPr>
        <w:t xml:space="preserve"> of Greece, economic change and restricting, </w:t>
      </w:r>
      <w:r w:rsidRPr="00A37B23">
        <w:rPr>
          <w:rFonts w:ascii="Times New Roman" w:hAnsi="Times New Roman"/>
          <w:i/>
          <w:sz w:val="24"/>
          <w:szCs w:val="24"/>
        </w:rPr>
        <w:t>38</w:t>
      </w:r>
      <w:r w:rsidRPr="00A37B23">
        <w:rPr>
          <w:rFonts w:ascii="Times New Roman" w:hAnsi="Times New Roman"/>
          <w:sz w:val="24"/>
          <w:szCs w:val="24"/>
        </w:rPr>
        <w:t>, 113-127</w:t>
      </w:r>
    </w:p>
    <w:p w14:paraId="4978F705" w14:textId="2C50CFA9" w:rsidR="00D31621" w:rsidRPr="00A37B23" w:rsidRDefault="00D31621" w:rsidP="0015709E">
      <w:pPr>
        <w:spacing w:before="240" w:after="0" w:line="240" w:lineRule="auto"/>
        <w:jc w:val="both"/>
        <w:rPr>
          <w:rFonts w:ascii="Times New Roman" w:hAnsi="Times New Roman"/>
          <w:sz w:val="24"/>
          <w:szCs w:val="24"/>
        </w:rPr>
      </w:pPr>
      <w:r w:rsidRPr="00A37B23">
        <w:rPr>
          <w:rFonts w:ascii="Times New Roman" w:hAnsi="Times New Roman"/>
          <w:sz w:val="24"/>
          <w:szCs w:val="24"/>
        </w:rPr>
        <w:t>Emenuga, C. (1997). Development of stock markets in sub-Saharan Africa:</w:t>
      </w:r>
      <w:r w:rsidRPr="00A37B23">
        <w:rPr>
          <w:rFonts w:ascii="Times New Roman" w:hAnsi="Times New Roman"/>
          <w:i/>
          <w:sz w:val="24"/>
          <w:szCs w:val="24"/>
        </w:rPr>
        <w:t xml:space="preserve"> African Development </w:t>
      </w:r>
      <w:r w:rsidR="00FF6DD8" w:rsidRPr="00A37B23">
        <w:rPr>
          <w:rFonts w:ascii="Times New Roman" w:hAnsi="Times New Roman"/>
          <w:i/>
          <w:sz w:val="24"/>
          <w:szCs w:val="24"/>
        </w:rPr>
        <w:tab/>
      </w:r>
      <w:r w:rsidRPr="00A37B23">
        <w:rPr>
          <w:rFonts w:ascii="Times New Roman" w:hAnsi="Times New Roman"/>
          <w:i/>
          <w:sz w:val="24"/>
          <w:szCs w:val="24"/>
        </w:rPr>
        <w:t>Review</w:t>
      </w:r>
      <w:r w:rsidRPr="00A37B23">
        <w:rPr>
          <w:rFonts w:ascii="Times New Roman" w:hAnsi="Times New Roman"/>
          <w:sz w:val="24"/>
          <w:szCs w:val="24"/>
        </w:rPr>
        <w:t xml:space="preserve">, </w:t>
      </w:r>
      <w:r w:rsidRPr="00A37B23">
        <w:rPr>
          <w:rFonts w:ascii="Times New Roman" w:hAnsi="Times New Roman"/>
          <w:i/>
          <w:sz w:val="24"/>
          <w:szCs w:val="24"/>
        </w:rPr>
        <w:t>9</w:t>
      </w:r>
      <w:r w:rsidRPr="00A37B23">
        <w:rPr>
          <w:rFonts w:ascii="Times New Roman" w:hAnsi="Times New Roman"/>
          <w:sz w:val="24"/>
          <w:szCs w:val="24"/>
        </w:rPr>
        <w:t xml:space="preserve">(1), 156-185. </w:t>
      </w:r>
    </w:p>
    <w:p w14:paraId="797EFEE7" w14:textId="2247716B" w:rsidR="004B0ECD" w:rsidRPr="00A37B23" w:rsidRDefault="004B0ECD" w:rsidP="0015709E">
      <w:pPr>
        <w:spacing w:before="240" w:after="0" w:line="240" w:lineRule="auto"/>
        <w:ind w:left="-10" w:right="90"/>
        <w:rPr>
          <w:rFonts w:ascii="Times New Roman" w:hAnsi="Times New Roman"/>
          <w:sz w:val="24"/>
          <w:szCs w:val="24"/>
          <w:shd w:val="clear" w:color="auto" w:fill="FFFFFF"/>
        </w:rPr>
      </w:pPr>
      <w:bookmarkStart w:id="3" w:name="_Hlk197615258"/>
      <w:r w:rsidRPr="00A37B23">
        <w:rPr>
          <w:rFonts w:ascii="Times New Roman" w:hAnsi="Times New Roman"/>
          <w:sz w:val="24"/>
          <w:szCs w:val="24"/>
        </w:rPr>
        <w:t>Ejinkonye, R.C., Yua, H., &amp; Nwanko, B.C., and Mbanefo, P.A. (2023</w:t>
      </w:r>
      <w:bookmarkEnd w:id="3"/>
      <w:r w:rsidRPr="00A37B23">
        <w:rPr>
          <w:rFonts w:ascii="Times New Roman" w:hAnsi="Times New Roman"/>
          <w:sz w:val="24"/>
          <w:szCs w:val="24"/>
        </w:rPr>
        <w:t>). Effect of Financial</w:t>
      </w:r>
      <w:r w:rsidR="00231A19">
        <w:rPr>
          <w:rFonts w:ascii="Times New Roman" w:hAnsi="Times New Roman"/>
          <w:sz w:val="24"/>
          <w:szCs w:val="24"/>
        </w:rPr>
        <w:t xml:space="preserve"> </w:t>
      </w:r>
      <w:r w:rsidR="009A18A2" w:rsidRPr="00A37B23">
        <w:rPr>
          <w:rFonts w:ascii="Times New Roman" w:hAnsi="Times New Roman"/>
          <w:sz w:val="24"/>
          <w:szCs w:val="24"/>
        </w:rPr>
        <w:t>Inclusion on</w:t>
      </w:r>
      <w:r w:rsidRPr="00A37B23">
        <w:rPr>
          <w:rFonts w:ascii="Times New Roman" w:hAnsi="Times New Roman"/>
          <w:sz w:val="24"/>
          <w:szCs w:val="24"/>
        </w:rPr>
        <w:t xml:space="preserve"> financial Intermediation in Nigeria: 2000-2021. </w:t>
      </w:r>
      <w:r w:rsidRPr="00A37B23">
        <w:rPr>
          <w:rFonts w:ascii="Times New Roman" w:hAnsi="Times New Roman"/>
          <w:i/>
          <w:sz w:val="24"/>
          <w:szCs w:val="24"/>
        </w:rPr>
        <w:t>Journal of Management science,</w:t>
      </w:r>
      <w:r w:rsidRPr="00A37B23">
        <w:rPr>
          <w:rFonts w:ascii="Times New Roman" w:hAnsi="Times New Roman"/>
          <w:sz w:val="24"/>
          <w:szCs w:val="24"/>
        </w:rPr>
        <w:t>60(60), 337-350</w:t>
      </w:r>
      <w:r w:rsidRPr="00A37B23">
        <w:rPr>
          <w:rFonts w:ascii="Times New Roman" w:hAnsi="Times New Roman"/>
          <w:sz w:val="24"/>
          <w:szCs w:val="24"/>
          <w:shd w:val="clear" w:color="auto" w:fill="FFFFFF"/>
        </w:rPr>
        <w:t>.</w:t>
      </w:r>
    </w:p>
    <w:p w14:paraId="2EB67566" w14:textId="2F244496" w:rsidR="004B0ECD" w:rsidRPr="00A37B23" w:rsidRDefault="004B0ECD" w:rsidP="0015709E">
      <w:pPr>
        <w:spacing w:before="240" w:after="0" w:line="240" w:lineRule="auto"/>
        <w:ind w:right="90"/>
        <w:rPr>
          <w:rFonts w:ascii="Times New Roman" w:hAnsi="Times New Roman"/>
          <w:sz w:val="24"/>
          <w:szCs w:val="24"/>
          <w:shd w:val="clear" w:color="auto" w:fill="FFFFFF"/>
        </w:rPr>
      </w:pPr>
      <w:bookmarkStart w:id="4" w:name="_Hlk197614808"/>
      <w:bookmarkStart w:id="5" w:name="_Hlk198149935"/>
      <w:r w:rsidRPr="00A37B23">
        <w:rPr>
          <w:rFonts w:ascii="Times New Roman" w:hAnsi="Times New Roman"/>
          <w:sz w:val="24"/>
          <w:szCs w:val="24"/>
          <w:shd w:val="clear" w:color="auto" w:fill="FFFFFF"/>
        </w:rPr>
        <w:t xml:space="preserve">Epor, O.S., Yua H.  Nwakoby, C. (2023). </w:t>
      </w:r>
      <w:bookmarkEnd w:id="4"/>
      <w:r w:rsidRPr="00A37B23">
        <w:rPr>
          <w:rFonts w:ascii="Times New Roman" w:hAnsi="Times New Roman"/>
          <w:sz w:val="24"/>
          <w:szCs w:val="24"/>
          <w:shd w:val="clear" w:color="auto" w:fill="FFFFFF"/>
        </w:rPr>
        <w:t>Fiscal Policy, Prvate Investment and Manufacturing Sector Performance: Empirical Evidence from Nigeria With</w:t>
      </w:r>
      <w:r w:rsidR="00231A19">
        <w:rPr>
          <w:rFonts w:ascii="Times New Roman" w:hAnsi="Times New Roman"/>
          <w:sz w:val="24"/>
          <w:szCs w:val="24"/>
          <w:shd w:val="clear" w:color="auto" w:fill="FFFFFF"/>
        </w:rPr>
        <w:t xml:space="preserve"> </w:t>
      </w:r>
      <w:r w:rsidRPr="00A37B23">
        <w:rPr>
          <w:rFonts w:ascii="Times New Roman" w:hAnsi="Times New Roman"/>
          <w:sz w:val="24"/>
          <w:szCs w:val="24"/>
          <w:shd w:val="clear" w:color="auto" w:fill="FFFFFF"/>
        </w:rPr>
        <w:t xml:space="preserve">Ardl Technique, </w:t>
      </w:r>
      <w:r w:rsidRPr="00A37B23">
        <w:rPr>
          <w:rFonts w:ascii="Times New Roman" w:hAnsi="Times New Roman"/>
          <w:i/>
          <w:sz w:val="24"/>
          <w:szCs w:val="24"/>
          <w:shd w:val="clear" w:color="auto" w:fill="FFFFFF"/>
        </w:rPr>
        <w:t>African Journal of Economics and Sustainable Development</w:t>
      </w:r>
      <w:r w:rsidRPr="00A37B23">
        <w:rPr>
          <w:rFonts w:ascii="Times New Roman" w:hAnsi="Times New Roman"/>
          <w:i/>
          <w:sz w:val="24"/>
          <w:szCs w:val="24"/>
        </w:rPr>
        <w:t xml:space="preserve">, </w:t>
      </w:r>
      <w:r w:rsidRPr="00A37B23">
        <w:rPr>
          <w:rFonts w:ascii="Times New Roman" w:hAnsi="Times New Roman"/>
          <w:sz w:val="24"/>
          <w:szCs w:val="24"/>
        </w:rPr>
        <w:t>6(1),</w:t>
      </w:r>
      <w:r w:rsidRPr="00A37B23">
        <w:rPr>
          <w:rFonts w:ascii="Times New Roman" w:hAnsi="Times New Roman"/>
          <w:sz w:val="24"/>
          <w:szCs w:val="24"/>
          <w:shd w:val="clear" w:color="auto" w:fill="FFFFFF"/>
        </w:rPr>
        <w:t>137-151.</w:t>
      </w:r>
    </w:p>
    <w:p w14:paraId="4B0E3CC8" w14:textId="2C868198" w:rsidR="004B0ECD" w:rsidRPr="00A37B23" w:rsidRDefault="004B0ECD" w:rsidP="0015709E">
      <w:pPr>
        <w:spacing w:before="240" w:after="0" w:line="240" w:lineRule="auto"/>
        <w:rPr>
          <w:rFonts w:ascii="Times New Roman" w:hAnsi="Times New Roman"/>
          <w:sz w:val="24"/>
          <w:szCs w:val="24"/>
        </w:rPr>
      </w:pPr>
      <w:r w:rsidRPr="00A37B23">
        <w:rPr>
          <w:rFonts w:ascii="Times New Roman" w:eastAsia="Arial Unicode MS" w:hAnsi="Times New Roman"/>
          <w:sz w:val="24"/>
          <w:szCs w:val="24"/>
        </w:rPr>
        <w:t>Epor, S.O</w:t>
      </w:r>
      <w:r w:rsidRPr="00A37B23">
        <w:rPr>
          <w:rFonts w:ascii="Times New Roman" w:hAnsi="Times New Roman"/>
          <w:sz w:val="24"/>
          <w:szCs w:val="24"/>
        </w:rPr>
        <w:t>, Yua, H.,</w:t>
      </w:r>
      <w:r w:rsidRPr="00A37B23">
        <w:rPr>
          <w:rFonts w:ascii="Times New Roman" w:eastAsia="Arial Unicode MS" w:hAnsi="Times New Roman"/>
          <w:sz w:val="24"/>
          <w:szCs w:val="24"/>
        </w:rPr>
        <w:t xml:space="preserve">and Utor, E (2023). </w:t>
      </w:r>
      <w:r w:rsidRPr="00A37B23">
        <w:rPr>
          <w:rFonts w:ascii="Times New Roman" w:hAnsi="Times New Roman"/>
          <w:sz w:val="24"/>
          <w:szCs w:val="24"/>
        </w:rPr>
        <w:t>Exploring the asymmetric impacts of inflation on interest rate spread: Evidence from Nigeria with nonlinear ARDL and asymmetric causality.</w:t>
      </w:r>
      <w:r w:rsidRPr="00A37B23">
        <w:rPr>
          <w:rFonts w:ascii="Times New Roman" w:hAnsi="Times New Roman"/>
          <w:i/>
          <w:sz w:val="24"/>
          <w:szCs w:val="24"/>
        </w:rPr>
        <w:t>A</w:t>
      </w:r>
      <w:r w:rsidRPr="00A37B23">
        <w:rPr>
          <w:rFonts w:ascii="Times New Roman" w:hAnsi="Times New Roman"/>
          <w:i/>
          <w:sz w:val="24"/>
          <w:szCs w:val="24"/>
          <w:shd w:val="clear" w:color="auto" w:fill="FFFFFF"/>
        </w:rPr>
        <w:t>frican Banking and Finance Review Journal</w:t>
      </w:r>
      <w:r w:rsidRPr="00A37B23">
        <w:rPr>
          <w:rFonts w:ascii="Times New Roman" w:hAnsi="Times New Roman"/>
          <w:sz w:val="24"/>
          <w:szCs w:val="24"/>
          <w:shd w:val="clear" w:color="auto" w:fill="FFFFFF"/>
        </w:rPr>
        <w:t>, 7(7), 100-119.</w:t>
      </w:r>
    </w:p>
    <w:p w14:paraId="495D77CD" w14:textId="0D7F1C5E" w:rsidR="004B0ECD" w:rsidRPr="00A37B23" w:rsidRDefault="009A18A2" w:rsidP="0015709E">
      <w:pPr>
        <w:spacing w:before="240" w:after="0" w:line="240" w:lineRule="auto"/>
        <w:ind w:right="90"/>
        <w:rPr>
          <w:rFonts w:ascii="Times New Roman" w:hAnsi="Times New Roman"/>
          <w:sz w:val="24"/>
          <w:szCs w:val="24"/>
        </w:rPr>
      </w:pPr>
      <w:bookmarkStart w:id="6" w:name="_Hlk197613966"/>
      <w:bookmarkStart w:id="7" w:name="_Hlk197618020"/>
      <w:bookmarkEnd w:id="5"/>
      <w:r w:rsidRPr="00A37B23">
        <w:rPr>
          <w:rFonts w:ascii="Times New Roman" w:hAnsi="Times New Roman"/>
          <w:sz w:val="24"/>
          <w:szCs w:val="24"/>
        </w:rPr>
        <w:t>Gbemisola, O.</w:t>
      </w:r>
      <w:r w:rsidR="004B0ECD" w:rsidRPr="00A37B23">
        <w:rPr>
          <w:rFonts w:ascii="Times New Roman" w:hAnsi="Times New Roman"/>
          <w:sz w:val="24"/>
          <w:szCs w:val="24"/>
        </w:rPr>
        <w:t xml:space="preserve">,   </w:t>
      </w:r>
      <w:r w:rsidRPr="00A37B23">
        <w:rPr>
          <w:rFonts w:ascii="Times New Roman" w:hAnsi="Times New Roman"/>
          <w:sz w:val="24"/>
          <w:szCs w:val="24"/>
        </w:rPr>
        <w:t>Ayotunde, A.A.</w:t>
      </w:r>
      <w:r w:rsidR="004B0ECD" w:rsidRPr="00A37B23">
        <w:rPr>
          <w:rFonts w:ascii="Times New Roman" w:hAnsi="Times New Roman"/>
          <w:sz w:val="24"/>
          <w:szCs w:val="24"/>
        </w:rPr>
        <w:t xml:space="preserve">,   </w:t>
      </w:r>
      <w:r w:rsidRPr="00A37B23">
        <w:rPr>
          <w:rFonts w:ascii="Times New Roman" w:hAnsi="Times New Roman"/>
          <w:sz w:val="24"/>
          <w:szCs w:val="24"/>
        </w:rPr>
        <w:t>Yua, H.</w:t>
      </w:r>
      <w:r w:rsidR="004B0ECD" w:rsidRPr="00A37B23">
        <w:rPr>
          <w:rFonts w:ascii="Times New Roman" w:hAnsi="Times New Roman"/>
          <w:sz w:val="24"/>
          <w:szCs w:val="24"/>
        </w:rPr>
        <w:t xml:space="preserve">,   and   Oluwaseun   </w:t>
      </w:r>
      <w:r w:rsidRPr="00A37B23">
        <w:rPr>
          <w:rFonts w:ascii="Times New Roman" w:hAnsi="Times New Roman"/>
          <w:sz w:val="24"/>
          <w:szCs w:val="24"/>
        </w:rPr>
        <w:t>E, E.O.</w:t>
      </w:r>
      <w:r w:rsidR="004B0ECD" w:rsidRPr="00A37B23">
        <w:rPr>
          <w:rFonts w:ascii="Times New Roman" w:hAnsi="Times New Roman"/>
          <w:sz w:val="24"/>
          <w:szCs w:val="24"/>
        </w:rPr>
        <w:t xml:space="preserve">   (2022</w:t>
      </w:r>
      <w:bookmarkEnd w:id="6"/>
      <w:r w:rsidR="004B0ECD" w:rsidRPr="00A37B23">
        <w:rPr>
          <w:rFonts w:ascii="Times New Roman" w:hAnsi="Times New Roman"/>
          <w:sz w:val="24"/>
          <w:szCs w:val="24"/>
        </w:rPr>
        <w:t xml:space="preserve">). </w:t>
      </w:r>
    </w:p>
    <w:p w14:paraId="0947C054" w14:textId="5BA18D8C" w:rsidR="004B0ECD" w:rsidRPr="00A37B23" w:rsidRDefault="004B0ECD" w:rsidP="0015709E">
      <w:pPr>
        <w:spacing w:before="240" w:after="0" w:line="240" w:lineRule="auto"/>
        <w:ind w:right="90"/>
        <w:rPr>
          <w:rFonts w:ascii="Times New Roman" w:hAnsi="Times New Roman"/>
          <w:sz w:val="24"/>
          <w:szCs w:val="24"/>
        </w:rPr>
      </w:pPr>
      <w:r w:rsidRPr="00A37B23">
        <w:rPr>
          <w:rFonts w:ascii="Times New Roman" w:hAnsi="Times New Roman"/>
          <w:sz w:val="24"/>
          <w:szCs w:val="24"/>
        </w:rPr>
        <w:t>Exploring</w:t>
      </w:r>
      <w:r w:rsidR="0038701A" w:rsidRPr="00A37B23">
        <w:rPr>
          <w:rFonts w:ascii="Times New Roman" w:hAnsi="Times New Roman"/>
          <w:sz w:val="24"/>
          <w:szCs w:val="24"/>
        </w:rPr>
        <w:t xml:space="preserve"> </w:t>
      </w:r>
      <w:r w:rsidRPr="00A37B23">
        <w:rPr>
          <w:rFonts w:ascii="Times New Roman" w:hAnsi="Times New Roman"/>
          <w:sz w:val="24"/>
          <w:szCs w:val="24"/>
        </w:rPr>
        <w:t>the Effectiveness of Entrepreneurship Development Programs (EDS) on Graduated Students Intention towards Self-</w:t>
      </w:r>
      <w:r w:rsidR="009A18A2" w:rsidRPr="00A37B23">
        <w:rPr>
          <w:rFonts w:ascii="Times New Roman" w:hAnsi="Times New Roman"/>
          <w:sz w:val="24"/>
          <w:szCs w:val="24"/>
        </w:rPr>
        <w:t>Employment, International</w:t>
      </w:r>
      <w:r w:rsidRPr="00A37B23">
        <w:rPr>
          <w:rFonts w:ascii="Times New Roman" w:hAnsi="Times New Roman"/>
          <w:i/>
          <w:sz w:val="24"/>
          <w:szCs w:val="24"/>
        </w:rPr>
        <w:t xml:space="preserve">    Conference on Innovative and Advances in Interdisciplinary Research. </w:t>
      </w:r>
      <w:r w:rsidRPr="00A37B23">
        <w:rPr>
          <w:rFonts w:ascii="Times New Roman" w:hAnsi="Times New Roman"/>
          <w:sz w:val="24"/>
          <w:szCs w:val="24"/>
        </w:rPr>
        <w:t>Mewar University</w:t>
      </w:r>
      <w:r w:rsidRPr="00A37B23">
        <w:rPr>
          <w:rFonts w:ascii="Times New Roman" w:hAnsi="Times New Roman"/>
          <w:i/>
          <w:sz w:val="24"/>
          <w:szCs w:val="24"/>
        </w:rPr>
        <w:t>.</w:t>
      </w:r>
    </w:p>
    <w:p w14:paraId="691B4AD3" w14:textId="1BADA637" w:rsidR="004B0ECD" w:rsidRPr="00A37B23" w:rsidRDefault="004B0ECD" w:rsidP="0015709E">
      <w:pPr>
        <w:tabs>
          <w:tab w:val="left" w:pos="90"/>
        </w:tabs>
        <w:spacing w:before="240" w:after="0" w:line="240" w:lineRule="auto"/>
        <w:ind w:right="180"/>
        <w:rPr>
          <w:rFonts w:ascii="Times New Roman" w:hAnsi="Times New Roman"/>
          <w:sz w:val="24"/>
          <w:szCs w:val="24"/>
        </w:rPr>
      </w:pPr>
      <w:bookmarkStart w:id="8" w:name="_Hlk197614135"/>
      <w:r w:rsidRPr="00A37B23">
        <w:rPr>
          <w:rStyle w:val="Strong"/>
          <w:rFonts w:ascii="Times New Roman" w:eastAsiaTheme="minorEastAsia" w:hAnsi="Times New Roman"/>
          <w:b w:val="0"/>
          <w:bCs w:val="0"/>
          <w:sz w:val="24"/>
          <w:szCs w:val="24"/>
          <w:shd w:val="clear" w:color="auto" w:fill="FFFFFF"/>
        </w:rPr>
        <w:t xml:space="preserve">Ityavyar D.V. &amp; Yua H. (2023). </w:t>
      </w:r>
      <w:bookmarkEnd w:id="8"/>
      <w:r w:rsidRPr="00A37B23">
        <w:rPr>
          <w:rStyle w:val="Strong"/>
          <w:rFonts w:ascii="Times New Roman" w:eastAsiaTheme="minorEastAsia" w:hAnsi="Times New Roman"/>
          <w:b w:val="0"/>
          <w:bCs w:val="0"/>
          <w:sz w:val="24"/>
          <w:szCs w:val="24"/>
          <w:shd w:val="clear" w:color="auto" w:fill="FFFFFF"/>
        </w:rPr>
        <w:t>The Influence of International Financial Reporting Standards on Financial Performance and Taxation of Selected Listed Firms in Nigeria.</w:t>
      </w:r>
      <w:r w:rsidRPr="00A37B23">
        <w:rPr>
          <w:rStyle w:val="Strong"/>
          <w:rFonts w:ascii="Times New Roman" w:eastAsiaTheme="minorEastAsia" w:hAnsi="Times New Roman"/>
          <w:sz w:val="24"/>
          <w:szCs w:val="24"/>
          <w:shd w:val="clear" w:color="auto" w:fill="FFFFFF"/>
        </w:rPr>
        <w:t xml:space="preserve"> </w:t>
      </w:r>
      <w:r w:rsidRPr="00A37B23">
        <w:rPr>
          <w:rFonts w:ascii="Times New Roman" w:hAnsi="Times New Roman"/>
          <w:i/>
          <w:sz w:val="24"/>
          <w:szCs w:val="24"/>
        </w:rPr>
        <w:t>British Journal of Management and Marketing Studies</w:t>
      </w:r>
      <w:r w:rsidRPr="00A37B23">
        <w:rPr>
          <w:rFonts w:ascii="Times New Roman" w:hAnsi="Times New Roman"/>
          <w:sz w:val="24"/>
          <w:szCs w:val="24"/>
        </w:rPr>
        <w:t xml:space="preserve"> 6(1), 51-67.</w:t>
      </w:r>
      <w:r w:rsidRPr="00A37B23">
        <w:rPr>
          <w:rFonts w:ascii="Times New Roman" w:hAnsi="Times New Roman"/>
          <w:i/>
          <w:sz w:val="24"/>
          <w:szCs w:val="24"/>
        </w:rPr>
        <w:t xml:space="preserve"> </w:t>
      </w:r>
      <w:bookmarkEnd w:id="7"/>
    </w:p>
    <w:p w14:paraId="21A1148E" w14:textId="1C816D75" w:rsidR="00D31621" w:rsidRPr="00A37B23" w:rsidRDefault="00D31621" w:rsidP="0015709E">
      <w:pPr>
        <w:spacing w:before="240" w:after="0" w:line="240" w:lineRule="auto"/>
        <w:rPr>
          <w:rFonts w:ascii="Times New Roman" w:hAnsi="Times New Roman"/>
          <w:sz w:val="24"/>
          <w:szCs w:val="24"/>
        </w:rPr>
      </w:pPr>
      <w:r w:rsidRPr="00A37B23">
        <w:rPr>
          <w:rFonts w:ascii="Times New Roman" w:hAnsi="Times New Roman"/>
          <w:sz w:val="24"/>
          <w:szCs w:val="24"/>
        </w:rPr>
        <w:t xml:space="preserve">Ghirmay, T. (2006). Financial development, investment, productivity and economic growth. </w:t>
      </w:r>
      <w:r w:rsidRPr="00A37B23">
        <w:rPr>
          <w:rFonts w:ascii="Times New Roman" w:hAnsi="Times New Roman"/>
          <w:i/>
          <w:sz w:val="24"/>
          <w:szCs w:val="24"/>
        </w:rPr>
        <w:t>The</w:t>
      </w:r>
      <w:r w:rsidR="00231A19">
        <w:rPr>
          <w:rFonts w:ascii="Times New Roman" w:hAnsi="Times New Roman"/>
          <w:i/>
          <w:sz w:val="24"/>
          <w:szCs w:val="24"/>
        </w:rPr>
        <w:t xml:space="preserve"> </w:t>
      </w:r>
      <w:r w:rsidRPr="00A37B23">
        <w:rPr>
          <w:rFonts w:ascii="Times New Roman" w:hAnsi="Times New Roman"/>
          <w:i/>
          <w:sz w:val="24"/>
          <w:szCs w:val="24"/>
        </w:rPr>
        <w:t xml:space="preserve"> US Southwestern Economic Review</w:t>
      </w:r>
      <w:r w:rsidRPr="00A37B23">
        <w:rPr>
          <w:rFonts w:ascii="Times New Roman" w:hAnsi="Times New Roman"/>
          <w:sz w:val="24"/>
          <w:szCs w:val="24"/>
        </w:rPr>
        <w:t xml:space="preserve">, </w:t>
      </w:r>
      <w:r w:rsidRPr="00A37B23">
        <w:rPr>
          <w:rFonts w:ascii="Times New Roman" w:hAnsi="Times New Roman"/>
          <w:i/>
          <w:sz w:val="24"/>
          <w:szCs w:val="24"/>
        </w:rPr>
        <w:t>33</w:t>
      </w:r>
      <w:r w:rsidRPr="00A37B23">
        <w:rPr>
          <w:rFonts w:ascii="Times New Roman" w:hAnsi="Times New Roman"/>
          <w:sz w:val="24"/>
          <w:szCs w:val="24"/>
        </w:rPr>
        <w:t>(1), 23-40</w:t>
      </w:r>
    </w:p>
    <w:p w14:paraId="40959E1B" w14:textId="0746B6B7" w:rsidR="00D31621" w:rsidRPr="00A37B23" w:rsidRDefault="00D31621" w:rsidP="0015709E">
      <w:pPr>
        <w:spacing w:before="240" w:after="0" w:line="240" w:lineRule="auto"/>
        <w:rPr>
          <w:rFonts w:ascii="Times New Roman" w:hAnsi="Times New Roman"/>
          <w:bCs/>
          <w:iCs/>
          <w:sz w:val="24"/>
          <w:szCs w:val="24"/>
        </w:rPr>
      </w:pPr>
      <w:r w:rsidRPr="00A37B23">
        <w:rPr>
          <w:rFonts w:ascii="Times New Roman" w:hAnsi="Times New Roman"/>
          <w:bCs/>
          <w:iCs/>
          <w:sz w:val="24"/>
          <w:szCs w:val="24"/>
        </w:rPr>
        <w:t xml:space="preserve">Guo, H. (2002). Stock market returns, volatility, and future output. The Federal Reserve Bank of St. Louis, </w:t>
      </w:r>
      <w:r w:rsidRPr="00A37B23">
        <w:rPr>
          <w:rFonts w:ascii="Times New Roman" w:hAnsi="Times New Roman"/>
          <w:bCs/>
          <w:i/>
          <w:iCs/>
          <w:sz w:val="24"/>
          <w:szCs w:val="24"/>
        </w:rPr>
        <w:t>84</w:t>
      </w:r>
      <w:r w:rsidRPr="00A37B23">
        <w:rPr>
          <w:rFonts w:ascii="Times New Roman" w:hAnsi="Times New Roman"/>
          <w:bCs/>
          <w:iCs/>
          <w:sz w:val="24"/>
          <w:szCs w:val="24"/>
        </w:rPr>
        <w:t>, 75-86.</w:t>
      </w:r>
    </w:p>
    <w:p w14:paraId="7F60313B" w14:textId="29D6E705" w:rsidR="00D31621" w:rsidRPr="00A37B23" w:rsidRDefault="00D31621" w:rsidP="0015709E">
      <w:pPr>
        <w:spacing w:before="240" w:after="0" w:line="240" w:lineRule="auto"/>
        <w:jc w:val="both"/>
        <w:rPr>
          <w:rFonts w:ascii="Times New Roman" w:hAnsi="Times New Roman"/>
          <w:bCs/>
          <w:iCs/>
          <w:sz w:val="24"/>
          <w:szCs w:val="24"/>
        </w:rPr>
      </w:pPr>
      <w:r w:rsidRPr="00A37B23">
        <w:rPr>
          <w:rFonts w:ascii="Times New Roman" w:hAnsi="Times New Roman"/>
          <w:bCs/>
          <w:iCs/>
          <w:sz w:val="24"/>
          <w:szCs w:val="24"/>
        </w:rPr>
        <w:t xml:space="preserve">Hassan. K., Sanchez. B., &amp; Yu. J. (2011). Financial development and economic growth: New </w:t>
      </w:r>
      <w:r w:rsidR="00FF6DD8" w:rsidRPr="00A37B23">
        <w:rPr>
          <w:rFonts w:ascii="Times New Roman" w:hAnsi="Times New Roman"/>
          <w:bCs/>
          <w:iCs/>
          <w:sz w:val="24"/>
          <w:szCs w:val="24"/>
        </w:rPr>
        <w:tab/>
      </w:r>
      <w:r w:rsidRPr="00A37B23">
        <w:rPr>
          <w:rFonts w:ascii="Times New Roman" w:hAnsi="Times New Roman"/>
          <w:bCs/>
          <w:iCs/>
          <w:sz w:val="24"/>
          <w:szCs w:val="24"/>
        </w:rPr>
        <w:t xml:space="preserve">evidence from panel data. </w:t>
      </w:r>
      <w:r w:rsidRPr="00A37B23">
        <w:rPr>
          <w:rFonts w:ascii="Times New Roman" w:hAnsi="Times New Roman"/>
          <w:bCs/>
          <w:i/>
          <w:iCs/>
          <w:sz w:val="24"/>
          <w:szCs w:val="24"/>
        </w:rPr>
        <w:t>The Quarterly Review of Economics and Finance</w:t>
      </w:r>
      <w:r w:rsidRPr="00A37B23">
        <w:rPr>
          <w:rFonts w:ascii="Times New Roman" w:hAnsi="Times New Roman"/>
          <w:bCs/>
          <w:iCs/>
          <w:sz w:val="24"/>
          <w:szCs w:val="24"/>
        </w:rPr>
        <w:t xml:space="preserve">, </w:t>
      </w:r>
      <w:r w:rsidRPr="00A37B23">
        <w:rPr>
          <w:rFonts w:ascii="Times New Roman" w:hAnsi="Times New Roman"/>
          <w:bCs/>
          <w:i/>
          <w:iCs/>
          <w:sz w:val="24"/>
          <w:szCs w:val="24"/>
        </w:rPr>
        <w:t>51</w:t>
      </w:r>
      <w:r w:rsidRPr="00A37B23">
        <w:rPr>
          <w:rFonts w:ascii="Times New Roman" w:hAnsi="Times New Roman"/>
          <w:bCs/>
          <w:iCs/>
          <w:sz w:val="24"/>
          <w:szCs w:val="24"/>
        </w:rPr>
        <w:t>, 88-104.</w:t>
      </w:r>
    </w:p>
    <w:p w14:paraId="46DCC583" w14:textId="6EA6F556" w:rsidR="00D31621" w:rsidRPr="00A37B23" w:rsidRDefault="00D31621" w:rsidP="0015709E">
      <w:pPr>
        <w:spacing w:before="240" w:after="0" w:line="240" w:lineRule="auto"/>
        <w:rPr>
          <w:rFonts w:ascii="Times New Roman" w:hAnsi="Times New Roman"/>
          <w:bCs/>
          <w:iCs/>
          <w:sz w:val="24"/>
          <w:szCs w:val="24"/>
        </w:rPr>
      </w:pPr>
      <w:r w:rsidRPr="00A37B23">
        <w:rPr>
          <w:rFonts w:ascii="Times New Roman" w:hAnsi="Times New Roman"/>
          <w:bCs/>
          <w:iCs/>
          <w:sz w:val="24"/>
          <w:szCs w:val="24"/>
        </w:rPr>
        <w:t>Hermes, N., &amp; Lensink, R. (2000). Foreign direct investment, financial development and economic growth.</w:t>
      </w:r>
      <w:r w:rsidR="00231A19">
        <w:rPr>
          <w:rFonts w:ascii="Times New Roman" w:hAnsi="Times New Roman"/>
          <w:bCs/>
          <w:iCs/>
          <w:sz w:val="24"/>
          <w:szCs w:val="24"/>
        </w:rPr>
        <w:t xml:space="preserve"> </w:t>
      </w:r>
      <w:r w:rsidRPr="00A37B23">
        <w:rPr>
          <w:rFonts w:ascii="Times New Roman" w:hAnsi="Times New Roman"/>
          <w:bCs/>
          <w:i/>
          <w:iCs/>
          <w:sz w:val="24"/>
          <w:szCs w:val="24"/>
        </w:rPr>
        <w:t>Journal of Development Studies, 40</w:t>
      </w:r>
      <w:r w:rsidRPr="00A37B23">
        <w:rPr>
          <w:rFonts w:ascii="Times New Roman" w:hAnsi="Times New Roman"/>
          <w:bCs/>
          <w:iCs/>
          <w:sz w:val="24"/>
          <w:szCs w:val="24"/>
        </w:rPr>
        <w:t xml:space="preserve"> (1), 83-116.</w:t>
      </w:r>
    </w:p>
    <w:p w14:paraId="1E920C5B" w14:textId="77777777" w:rsidR="00D31621" w:rsidRPr="00A37B23" w:rsidRDefault="00D31621" w:rsidP="0015709E">
      <w:pPr>
        <w:autoSpaceDE w:val="0"/>
        <w:autoSpaceDN w:val="0"/>
        <w:adjustRightInd w:val="0"/>
        <w:spacing w:before="240" w:after="0" w:line="240" w:lineRule="auto"/>
        <w:jc w:val="both"/>
        <w:rPr>
          <w:rFonts w:ascii="Times New Roman" w:hAnsi="Times New Roman"/>
          <w:iCs/>
          <w:sz w:val="24"/>
          <w:szCs w:val="24"/>
        </w:rPr>
      </w:pPr>
      <w:r w:rsidRPr="00A37B23">
        <w:rPr>
          <w:rFonts w:ascii="Times New Roman" w:hAnsi="Times New Roman"/>
          <w:sz w:val="24"/>
          <w:szCs w:val="24"/>
        </w:rPr>
        <w:t xml:space="preserve">Hossain, M. (2010). </w:t>
      </w:r>
      <w:r w:rsidRPr="00A37B23">
        <w:rPr>
          <w:rFonts w:ascii="Times New Roman" w:hAnsi="Times New Roman"/>
          <w:iCs/>
          <w:sz w:val="24"/>
          <w:szCs w:val="24"/>
        </w:rPr>
        <w:t xml:space="preserve">Financial reforms and persistently high bank interest spreads in </w:t>
      </w:r>
    </w:p>
    <w:p w14:paraId="27791B5A" w14:textId="4F10D693" w:rsidR="00D31621" w:rsidRPr="00A37B23" w:rsidRDefault="00231A19" w:rsidP="0015709E">
      <w:pPr>
        <w:autoSpaceDE w:val="0"/>
        <w:autoSpaceDN w:val="0"/>
        <w:adjustRightInd w:val="0"/>
        <w:spacing w:before="240" w:after="0" w:line="240" w:lineRule="auto"/>
        <w:rPr>
          <w:rFonts w:ascii="Times New Roman" w:hAnsi="Times New Roman"/>
          <w:i/>
          <w:iCs/>
          <w:sz w:val="24"/>
          <w:szCs w:val="24"/>
        </w:rPr>
      </w:pPr>
      <w:r>
        <w:rPr>
          <w:rFonts w:ascii="Times New Roman" w:hAnsi="Times New Roman"/>
          <w:iCs/>
          <w:sz w:val="24"/>
          <w:szCs w:val="24"/>
        </w:rPr>
        <w:t>B</w:t>
      </w:r>
      <w:r w:rsidR="00D31621" w:rsidRPr="00A37B23">
        <w:rPr>
          <w:rFonts w:ascii="Times New Roman" w:hAnsi="Times New Roman"/>
          <w:iCs/>
          <w:sz w:val="24"/>
          <w:szCs w:val="24"/>
        </w:rPr>
        <w:t>angladesh:</w:t>
      </w:r>
      <w:r>
        <w:rPr>
          <w:rFonts w:ascii="Times New Roman" w:hAnsi="Times New Roman"/>
          <w:iCs/>
          <w:sz w:val="24"/>
          <w:szCs w:val="24"/>
        </w:rPr>
        <w:t xml:space="preserve"> </w:t>
      </w:r>
      <w:r w:rsidR="00D31621" w:rsidRPr="00A37B23">
        <w:rPr>
          <w:rFonts w:ascii="Times New Roman" w:hAnsi="Times New Roman"/>
          <w:iCs/>
          <w:sz w:val="24"/>
          <w:szCs w:val="24"/>
        </w:rPr>
        <w:t>pitfalls in institutional development?</w:t>
      </w:r>
      <w:r w:rsidR="00D31621" w:rsidRPr="00A37B23">
        <w:rPr>
          <w:rFonts w:ascii="Times New Roman" w:hAnsi="Times New Roman"/>
          <w:sz w:val="24"/>
          <w:szCs w:val="24"/>
        </w:rPr>
        <w:t xml:space="preserve"> </w:t>
      </w:r>
      <w:r w:rsidR="00D31621" w:rsidRPr="00A37B23">
        <w:rPr>
          <w:rFonts w:ascii="Times New Roman" w:hAnsi="Times New Roman"/>
          <w:i/>
          <w:sz w:val="24"/>
          <w:szCs w:val="24"/>
        </w:rPr>
        <w:t>Retrieved from</w:t>
      </w:r>
      <w:r w:rsidR="0015709E">
        <w:rPr>
          <w:rFonts w:ascii="Times New Roman" w:hAnsi="Times New Roman"/>
          <w:i/>
          <w:sz w:val="24"/>
          <w:szCs w:val="24"/>
        </w:rPr>
        <w:t xml:space="preserve"> </w:t>
      </w:r>
      <w:r w:rsidR="00D31621" w:rsidRPr="00A37B23">
        <w:rPr>
          <w:rFonts w:ascii="Times New Roman" w:hAnsi="Times New Roman"/>
          <w:i/>
          <w:sz w:val="24"/>
          <w:szCs w:val="24"/>
        </w:rPr>
        <w:t>http://mpra.ub.unimuenchen.de/24755/1/Hossain_IRS.pdf</w:t>
      </w:r>
    </w:p>
    <w:p w14:paraId="66AFDF22" w14:textId="362109EC" w:rsidR="00D31621" w:rsidRPr="00A37B23" w:rsidRDefault="00D31621" w:rsidP="0015709E">
      <w:pPr>
        <w:spacing w:before="240" w:after="0" w:line="240" w:lineRule="auto"/>
        <w:rPr>
          <w:rFonts w:ascii="Times New Roman" w:hAnsi="Times New Roman"/>
          <w:iCs/>
          <w:sz w:val="24"/>
          <w:szCs w:val="24"/>
        </w:rPr>
      </w:pPr>
      <w:r w:rsidRPr="00A37B23">
        <w:rPr>
          <w:rFonts w:ascii="Times New Roman" w:hAnsi="Times New Roman"/>
          <w:iCs/>
          <w:sz w:val="24"/>
          <w:szCs w:val="24"/>
        </w:rPr>
        <w:t xml:space="preserve">Hunjra, A. I., Chani, M. I., Ijaz, M. S., Farooq, M., &amp; Khan, K. (2014). The impact </w:t>
      </w:r>
      <w:r w:rsidRPr="00A37B23">
        <w:rPr>
          <w:rFonts w:ascii="Times New Roman" w:hAnsi="Times New Roman"/>
          <w:iCs/>
          <w:sz w:val="24"/>
          <w:szCs w:val="24"/>
        </w:rPr>
        <w:lastRenderedPageBreak/>
        <w:t>of macroeconomic variables on stock prices in Pakistan. Munich Personal RePEc Archive Paper No. 60791. Online at http://mpra.ub.uni-muenchen.de/60791/</w:t>
      </w:r>
    </w:p>
    <w:p w14:paraId="74469E92" w14:textId="427F99F7" w:rsidR="00D31621" w:rsidRPr="00A37B23" w:rsidRDefault="00D31621" w:rsidP="0015709E">
      <w:pPr>
        <w:spacing w:before="240" w:after="0" w:line="240" w:lineRule="auto"/>
        <w:rPr>
          <w:rFonts w:ascii="Times New Roman" w:hAnsi="Times New Roman"/>
          <w:i/>
          <w:sz w:val="24"/>
          <w:szCs w:val="24"/>
        </w:rPr>
      </w:pPr>
      <w:r w:rsidRPr="00A37B23">
        <w:rPr>
          <w:rFonts w:ascii="Times New Roman" w:hAnsi="Times New Roman"/>
          <w:sz w:val="24"/>
          <w:szCs w:val="24"/>
        </w:rPr>
        <w:t xml:space="preserve">Ikoku, E.I., &amp; Okorie,G.O.(2010). The performance of the Nigerian Stock Exchange Sectoral Indices: January 2009 – December 2010. </w:t>
      </w:r>
      <w:r w:rsidRPr="00A37B23">
        <w:rPr>
          <w:rFonts w:ascii="Times New Roman" w:hAnsi="Times New Roman"/>
          <w:i/>
          <w:sz w:val="24"/>
          <w:szCs w:val="24"/>
        </w:rPr>
        <w:t>Central Bank of Nigeria Bullion</w:t>
      </w:r>
    </w:p>
    <w:p w14:paraId="543E4B49" w14:textId="77777777" w:rsidR="00FF6DD8" w:rsidRPr="00A37B23" w:rsidRDefault="00D31621" w:rsidP="0015709E">
      <w:pPr>
        <w:autoSpaceDE w:val="0"/>
        <w:autoSpaceDN w:val="0"/>
        <w:adjustRightInd w:val="0"/>
        <w:spacing w:before="240" w:after="0" w:line="240" w:lineRule="auto"/>
        <w:rPr>
          <w:rFonts w:ascii="Times New Roman" w:hAnsi="Times New Roman"/>
          <w:bCs/>
          <w:sz w:val="24"/>
          <w:szCs w:val="24"/>
        </w:rPr>
      </w:pPr>
      <w:r w:rsidRPr="00A37B23">
        <w:rPr>
          <w:rFonts w:ascii="Times New Roman" w:hAnsi="Times New Roman"/>
          <w:bCs/>
          <w:sz w:val="24"/>
          <w:szCs w:val="24"/>
        </w:rPr>
        <w:t xml:space="preserve">Izunobi, A. O., Nzotta, S.M., Ebiringa, O. T., Akujuobi, A. B. C., &amp; Chigbu, E. E. </w:t>
      </w:r>
    </w:p>
    <w:p w14:paraId="74DB2049" w14:textId="1D67EEC8" w:rsidR="00FF6DD8" w:rsidRPr="00A37B23" w:rsidRDefault="00D31621" w:rsidP="0015709E">
      <w:pPr>
        <w:autoSpaceDE w:val="0"/>
        <w:autoSpaceDN w:val="0"/>
        <w:adjustRightInd w:val="0"/>
        <w:spacing w:before="240" w:after="0" w:line="240" w:lineRule="auto"/>
        <w:jc w:val="both"/>
        <w:rPr>
          <w:rFonts w:ascii="Times New Roman" w:hAnsi="Times New Roman"/>
          <w:bCs/>
          <w:sz w:val="24"/>
          <w:szCs w:val="24"/>
        </w:rPr>
      </w:pPr>
      <w:r w:rsidRPr="00A37B23">
        <w:rPr>
          <w:rFonts w:ascii="Times New Roman" w:hAnsi="Times New Roman"/>
          <w:bCs/>
          <w:sz w:val="24"/>
          <w:szCs w:val="24"/>
        </w:rPr>
        <w:t>(2017</w:t>
      </w:r>
      <w:r w:rsidR="00F121E0" w:rsidRPr="00A37B23">
        <w:rPr>
          <w:rFonts w:ascii="Times New Roman" w:hAnsi="Times New Roman"/>
          <w:bCs/>
          <w:sz w:val="24"/>
          <w:szCs w:val="24"/>
        </w:rPr>
        <w:t>). Macroeconomic</w:t>
      </w:r>
      <w:r w:rsidRPr="00A37B23">
        <w:rPr>
          <w:rFonts w:ascii="Times New Roman" w:hAnsi="Times New Roman"/>
          <w:bCs/>
          <w:sz w:val="24"/>
          <w:szCs w:val="24"/>
        </w:rPr>
        <w:t xml:space="preserve"> variables volatility in the Nigerian stock market: </w:t>
      </w:r>
      <w:r w:rsidR="00F121E0" w:rsidRPr="00A37B23">
        <w:rPr>
          <w:rFonts w:ascii="Times New Roman" w:hAnsi="Times New Roman"/>
          <w:bCs/>
          <w:sz w:val="24"/>
          <w:szCs w:val="24"/>
        </w:rPr>
        <w:t>An empirical</w:t>
      </w:r>
    </w:p>
    <w:p w14:paraId="15727886" w14:textId="374042A7" w:rsidR="00D31621" w:rsidRPr="00A37B23" w:rsidRDefault="00D31621" w:rsidP="0015709E">
      <w:pPr>
        <w:autoSpaceDE w:val="0"/>
        <w:autoSpaceDN w:val="0"/>
        <w:adjustRightInd w:val="0"/>
        <w:spacing w:before="240" w:after="0" w:line="240" w:lineRule="auto"/>
        <w:rPr>
          <w:rFonts w:ascii="Times New Roman" w:hAnsi="Times New Roman"/>
          <w:bCs/>
          <w:sz w:val="24"/>
          <w:szCs w:val="24"/>
        </w:rPr>
      </w:pPr>
      <w:r w:rsidRPr="00A37B23">
        <w:rPr>
          <w:rFonts w:ascii="Times New Roman" w:hAnsi="Times New Roman"/>
          <w:bCs/>
          <w:sz w:val="24"/>
          <w:szCs w:val="24"/>
        </w:rPr>
        <w:t xml:space="preserve">analysis. </w:t>
      </w:r>
      <w:r w:rsidRPr="00A37B23">
        <w:rPr>
          <w:rFonts w:ascii="Times New Roman" w:hAnsi="Times New Roman"/>
          <w:bCs/>
          <w:i/>
          <w:iCs/>
          <w:sz w:val="24"/>
          <w:szCs w:val="24"/>
        </w:rPr>
        <w:t xml:space="preserve">International Journal of Managerial Studies and Research ,5 </w:t>
      </w:r>
      <w:r w:rsidR="00F121E0" w:rsidRPr="00A37B23">
        <w:rPr>
          <w:rFonts w:ascii="Times New Roman" w:hAnsi="Times New Roman"/>
          <w:bCs/>
          <w:iCs/>
          <w:sz w:val="24"/>
          <w:szCs w:val="24"/>
        </w:rPr>
        <w:t>(6</w:t>
      </w:r>
      <w:r w:rsidRPr="00A37B23">
        <w:rPr>
          <w:rFonts w:ascii="Times New Roman" w:hAnsi="Times New Roman"/>
          <w:bCs/>
          <w:iCs/>
          <w:sz w:val="24"/>
          <w:szCs w:val="24"/>
        </w:rPr>
        <w:t>) 1-13</w:t>
      </w:r>
      <w:r w:rsidRPr="00A37B23">
        <w:rPr>
          <w:rFonts w:ascii="Times New Roman" w:hAnsi="Times New Roman"/>
          <w:bCs/>
          <w:i/>
          <w:iCs/>
          <w:sz w:val="24"/>
          <w:szCs w:val="24"/>
        </w:rPr>
        <w:t xml:space="preserve"> </w:t>
      </w:r>
      <w:r w:rsidRPr="00A37B23">
        <w:rPr>
          <w:rFonts w:ascii="Times New Roman" w:hAnsi="Times New Roman"/>
          <w:bCs/>
          <w:sz w:val="24"/>
          <w:szCs w:val="24"/>
        </w:rPr>
        <w:t xml:space="preserve"> </w:t>
      </w:r>
    </w:p>
    <w:p w14:paraId="638664A6" w14:textId="77777777" w:rsidR="00F33309" w:rsidRPr="00A37B23" w:rsidRDefault="00D31621" w:rsidP="0015709E">
      <w:pPr>
        <w:spacing w:before="240" w:after="0" w:line="240" w:lineRule="auto"/>
        <w:jc w:val="both"/>
        <w:rPr>
          <w:rFonts w:ascii="Times New Roman" w:hAnsi="Times New Roman"/>
          <w:bCs/>
          <w:iCs/>
          <w:sz w:val="24"/>
          <w:szCs w:val="24"/>
        </w:rPr>
      </w:pPr>
      <w:r w:rsidRPr="00A37B23">
        <w:rPr>
          <w:rFonts w:ascii="Times New Roman" w:hAnsi="Times New Roman"/>
          <w:bCs/>
          <w:iCs/>
          <w:sz w:val="24"/>
          <w:szCs w:val="24"/>
        </w:rPr>
        <w:t>Khan, M. A., &amp; Qayyum, A. (2006)</w:t>
      </w:r>
      <w:r w:rsidRPr="00A37B23">
        <w:rPr>
          <w:rFonts w:ascii="Times New Roman" w:hAnsi="Times New Roman"/>
          <w:bCs/>
          <w:i/>
          <w:iCs/>
          <w:sz w:val="24"/>
          <w:szCs w:val="24"/>
        </w:rPr>
        <w:t xml:space="preserve">. </w:t>
      </w:r>
      <w:r w:rsidRPr="00A37B23">
        <w:rPr>
          <w:rFonts w:ascii="Times New Roman" w:hAnsi="Times New Roman"/>
          <w:bCs/>
          <w:iCs/>
          <w:sz w:val="24"/>
          <w:szCs w:val="24"/>
        </w:rPr>
        <w:t xml:space="preserve">Trade liberalization, financial sector reforms, and </w:t>
      </w:r>
    </w:p>
    <w:p w14:paraId="35D02872" w14:textId="137C8011" w:rsidR="00D31621" w:rsidRPr="00A37B23" w:rsidRDefault="00D31621" w:rsidP="0015709E">
      <w:pPr>
        <w:spacing w:before="240" w:after="0" w:line="240" w:lineRule="auto"/>
        <w:jc w:val="both"/>
        <w:rPr>
          <w:rFonts w:ascii="Times New Roman" w:hAnsi="Times New Roman"/>
          <w:bCs/>
          <w:i/>
          <w:iCs/>
          <w:sz w:val="24"/>
          <w:szCs w:val="24"/>
        </w:rPr>
      </w:pPr>
      <w:r w:rsidRPr="00A37B23">
        <w:rPr>
          <w:rFonts w:ascii="Times New Roman" w:hAnsi="Times New Roman"/>
          <w:bCs/>
          <w:iCs/>
          <w:sz w:val="24"/>
          <w:szCs w:val="24"/>
        </w:rPr>
        <w:t>growth,</w:t>
      </w:r>
      <w:r w:rsidR="00231A19">
        <w:rPr>
          <w:rFonts w:ascii="Times New Roman" w:hAnsi="Times New Roman"/>
          <w:bCs/>
          <w:i/>
          <w:iCs/>
          <w:sz w:val="24"/>
          <w:szCs w:val="24"/>
        </w:rPr>
        <w:t xml:space="preserve"> </w:t>
      </w:r>
      <w:r w:rsidRPr="00A37B23">
        <w:rPr>
          <w:rFonts w:ascii="Times New Roman" w:hAnsi="Times New Roman"/>
          <w:bCs/>
          <w:i/>
          <w:iCs/>
          <w:sz w:val="24"/>
          <w:szCs w:val="24"/>
        </w:rPr>
        <w:t>The Pakistan Development Review, 45</w:t>
      </w:r>
      <w:r w:rsidRPr="00A37B23">
        <w:rPr>
          <w:rFonts w:ascii="Times New Roman" w:hAnsi="Times New Roman"/>
          <w:bCs/>
          <w:iCs/>
          <w:sz w:val="24"/>
          <w:szCs w:val="24"/>
        </w:rPr>
        <w:t>(4),2-38</w:t>
      </w:r>
      <w:r w:rsidRPr="00A37B23">
        <w:rPr>
          <w:rFonts w:ascii="Times New Roman" w:hAnsi="Times New Roman"/>
          <w:bCs/>
          <w:i/>
          <w:iCs/>
          <w:sz w:val="24"/>
          <w:szCs w:val="24"/>
        </w:rPr>
        <w:t xml:space="preserve"> </w:t>
      </w:r>
    </w:p>
    <w:p w14:paraId="586B617E" w14:textId="6A9A46FE" w:rsidR="00D31621" w:rsidRPr="00A37B23" w:rsidRDefault="00D31621" w:rsidP="0015709E">
      <w:pPr>
        <w:spacing w:before="240" w:after="0" w:line="240" w:lineRule="auto"/>
        <w:rPr>
          <w:rFonts w:ascii="Times New Roman" w:hAnsi="Times New Roman"/>
          <w:iCs/>
          <w:sz w:val="24"/>
          <w:szCs w:val="24"/>
        </w:rPr>
      </w:pPr>
      <w:r w:rsidRPr="00A37B23">
        <w:rPr>
          <w:rFonts w:ascii="Times New Roman" w:hAnsi="Times New Roman"/>
          <w:iCs/>
          <w:sz w:val="24"/>
          <w:szCs w:val="24"/>
        </w:rPr>
        <w:t xml:space="preserve">Kibria, U., Mahmood, Y., Kamran, M., Arshad, M. U., Perveen, R., &amp; Sajid, M. (2014). The </w:t>
      </w:r>
      <w:r w:rsidR="00F33309" w:rsidRPr="00A37B23">
        <w:rPr>
          <w:rFonts w:ascii="Times New Roman" w:hAnsi="Times New Roman"/>
          <w:iCs/>
          <w:sz w:val="24"/>
          <w:szCs w:val="24"/>
        </w:rPr>
        <w:tab/>
      </w:r>
      <w:r w:rsidRPr="00A37B23">
        <w:rPr>
          <w:rFonts w:ascii="Times New Roman" w:hAnsi="Times New Roman"/>
          <w:iCs/>
          <w:sz w:val="24"/>
          <w:szCs w:val="24"/>
        </w:rPr>
        <w:t xml:space="preserve">impact of macroeconomic variables on stock market returns: A case of Pakistan. </w:t>
      </w:r>
      <w:r w:rsidR="00F33309" w:rsidRPr="00A37B23">
        <w:rPr>
          <w:rFonts w:ascii="Times New Roman" w:hAnsi="Times New Roman"/>
          <w:iCs/>
          <w:sz w:val="24"/>
          <w:szCs w:val="24"/>
        </w:rPr>
        <w:tab/>
      </w:r>
      <w:r w:rsidRPr="00A37B23">
        <w:rPr>
          <w:rFonts w:ascii="Times New Roman" w:hAnsi="Times New Roman"/>
          <w:i/>
          <w:iCs/>
          <w:sz w:val="24"/>
          <w:szCs w:val="24"/>
        </w:rPr>
        <w:t>Research Journal of Management Sciences</w:t>
      </w:r>
      <w:r w:rsidRPr="00A37B23">
        <w:rPr>
          <w:rFonts w:ascii="Times New Roman" w:hAnsi="Times New Roman"/>
          <w:iCs/>
          <w:sz w:val="24"/>
          <w:szCs w:val="24"/>
        </w:rPr>
        <w:t>. ISSN, 2319, 1171</w:t>
      </w:r>
    </w:p>
    <w:p w14:paraId="3FB7F56B" w14:textId="6FDAA524" w:rsidR="00D31621" w:rsidRPr="00A37B23" w:rsidRDefault="00D31621" w:rsidP="0015709E">
      <w:pPr>
        <w:spacing w:before="240" w:after="0" w:line="240" w:lineRule="auto"/>
        <w:rPr>
          <w:rFonts w:ascii="Times New Roman" w:hAnsi="Times New Roman"/>
          <w:i/>
          <w:sz w:val="24"/>
          <w:szCs w:val="24"/>
        </w:rPr>
      </w:pPr>
      <w:r w:rsidRPr="00A37B23">
        <w:rPr>
          <w:rFonts w:ascii="Times New Roman" w:hAnsi="Times New Roman"/>
          <w:sz w:val="24"/>
          <w:szCs w:val="24"/>
        </w:rPr>
        <w:t xml:space="preserve">King, R. G., &amp; Levine, R. (1993). Finance and Growth: Schumpeter Might be Right. </w:t>
      </w:r>
      <w:r w:rsidRPr="00A37B23">
        <w:rPr>
          <w:rFonts w:ascii="Times New Roman" w:hAnsi="Times New Roman"/>
          <w:i/>
          <w:iCs/>
          <w:sz w:val="24"/>
          <w:szCs w:val="24"/>
        </w:rPr>
        <w:t>The</w:t>
      </w:r>
      <w:r w:rsidR="00231A19">
        <w:rPr>
          <w:rFonts w:ascii="Times New Roman" w:hAnsi="Times New Roman"/>
          <w:i/>
          <w:iCs/>
          <w:sz w:val="24"/>
          <w:szCs w:val="24"/>
        </w:rPr>
        <w:t xml:space="preserve"> </w:t>
      </w:r>
      <w:r w:rsidRPr="00A37B23">
        <w:rPr>
          <w:rFonts w:ascii="Times New Roman" w:hAnsi="Times New Roman"/>
          <w:i/>
          <w:iCs/>
          <w:sz w:val="24"/>
          <w:szCs w:val="24"/>
        </w:rPr>
        <w:t xml:space="preserve"> Quarterly Journal of Economics,</w:t>
      </w:r>
      <w:r w:rsidRPr="00A37B23">
        <w:rPr>
          <w:rFonts w:ascii="Times New Roman" w:hAnsi="Times New Roman"/>
          <w:i/>
          <w:sz w:val="24"/>
          <w:szCs w:val="24"/>
        </w:rPr>
        <w:t xml:space="preserve"> 108</w:t>
      </w:r>
      <w:r w:rsidRPr="00A37B23">
        <w:rPr>
          <w:rFonts w:ascii="Times New Roman" w:hAnsi="Times New Roman"/>
          <w:sz w:val="24"/>
          <w:szCs w:val="24"/>
        </w:rPr>
        <w:t>(3),717-738.</w:t>
      </w:r>
    </w:p>
    <w:p w14:paraId="625CD973" w14:textId="60F7046D" w:rsidR="00D31621" w:rsidRPr="00A37B23" w:rsidRDefault="00D31621" w:rsidP="0015709E">
      <w:pPr>
        <w:spacing w:before="240" w:after="0" w:line="240" w:lineRule="auto"/>
        <w:rPr>
          <w:rFonts w:ascii="Times New Roman" w:hAnsi="Times New Roman"/>
          <w:bCs/>
          <w:iCs/>
          <w:sz w:val="24"/>
          <w:szCs w:val="24"/>
        </w:rPr>
      </w:pPr>
      <w:r w:rsidRPr="00A37B23">
        <w:rPr>
          <w:rFonts w:ascii="Times New Roman" w:hAnsi="Times New Roman"/>
          <w:bCs/>
          <w:iCs/>
          <w:sz w:val="24"/>
          <w:szCs w:val="24"/>
        </w:rPr>
        <w:t>Klein, M., &amp; Olivei, G. (1999). Capital account liberalization, financial depth, and economic</w:t>
      </w:r>
      <w:r w:rsidR="00231A19">
        <w:rPr>
          <w:rFonts w:ascii="Times New Roman" w:hAnsi="Times New Roman"/>
          <w:bCs/>
          <w:iCs/>
          <w:sz w:val="24"/>
          <w:szCs w:val="24"/>
        </w:rPr>
        <w:t xml:space="preserve"> </w:t>
      </w:r>
      <w:r w:rsidRPr="00A37B23">
        <w:rPr>
          <w:rFonts w:ascii="Times New Roman" w:hAnsi="Times New Roman"/>
          <w:bCs/>
          <w:iCs/>
          <w:sz w:val="24"/>
          <w:szCs w:val="24"/>
        </w:rPr>
        <w:t xml:space="preserve">growth. </w:t>
      </w:r>
      <w:r w:rsidRPr="00A37B23">
        <w:rPr>
          <w:rFonts w:ascii="Times New Roman" w:hAnsi="Times New Roman"/>
          <w:sz w:val="24"/>
          <w:szCs w:val="24"/>
        </w:rPr>
        <w:t>Working Paper No. 99-6, Federal Reserve Bank of Boston</w:t>
      </w:r>
      <w:r w:rsidRPr="00A37B23">
        <w:rPr>
          <w:rFonts w:ascii="Times New Roman" w:hAnsi="Times New Roman"/>
          <w:bCs/>
          <w:iCs/>
          <w:sz w:val="24"/>
          <w:szCs w:val="24"/>
        </w:rPr>
        <w:t>.</w:t>
      </w:r>
    </w:p>
    <w:p w14:paraId="04C5402C" w14:textId="77777777" w:rsidR="00D31621" w:rsidRPr="00A37B23" w:rsidRDefault="00D31621" w:rsidP="0015709E">
      <w:pPr>
        <w:pStyle w:val="NormalWeb"/>
        <w:spacing w:before="240" w:beforeAutospacing="0" w:after="0" w:afterAutospacing="0"/>
        <w:jc w:val="both"/>
      </w:pPr>
      <w:r w:rsidRPr="00A37B23">
        <w:t xml:space="preserve">Ndako U. B. (2010). Stock markets, banks and economic growth: Time series evidence </w:t>
      </w:r>
    </w:p>
    <w:p w14:paraId="1E3B8C10" w14:textId="77777777" w:rsidR="00D31621" w:rsidRPr="00A37B23" w:rsidRDefault="00D31621" w:rsidP="0015709E">
      <w:pPr>
        <w:pStyle w:val="NormalWeb"/>
        <w:spacing w:before="240" w:beforeAutospacing="0" w:after="0" w:afterAutospacing="0"/>
      </w:pPr>
      <w:r w:rsidRPr="00A37B23">
        <w:t xml:space="preserve">from South Africa. </w:t>
      </w:r>
      <w:r w:rsidRPr="00A37B23">
        <w:rPr>
          <w:i/>
        </w:rPr>
        <w:t>The African Finance Journal,</w:t>
      </w:r>
      <w:r w:rsidRPr="00A37B23">
        <w:t xml:space="preserve"> </w:t>
      </w:r>
      <w:r w:rsidRPr="00A37B23">
        <w:rPr>
          <w:i/>
        </w:rPr>
        <w:t>2</w:t>
      </w:r>
      <w:r w:rsidRPr="00A37B23">
        <w:t xml:space="preserve">, 72- 92 </w:t>
      </w:r>
    </w:p>
    <w:p w14:paraId="6D78FE81" w14:textId="77777777" w:rsidR="00110235" w:rsidRPr="00A37B23" w:rsidRDefault="00D31621" w:rsidP="0015709E">
      <w:pPr>
        <w:pStyle w:val="Default"/>
        <w:spacing w:before="240"/>
        <w:jc w:val="both"/>
        <w:rPr>
          <w:bCs/>
          <w:color w:val="auto"/>
        </w:rPr>
      </w:pPr>
      <w:r w:rsidRPr="00A37B23">
        <w:rPr>
          <w:bCs/>
          <w:color w:val="auto"/>
        </w:rPr>
        <w:t>Nkoro, E., &amp; Aham, K.U. (2013).</w:t>
      </w:r>
      <w:r w:rsidRPr="00A37B23">
        <w:rPr>
          <w:b/>
          <w:bCs/>
          <w:color w:val="auto"/>
        </w:rPr>
        <w:t xml:space="preserve"> </w:t>
      </w:r>
      <w:r w:rsidRPr="00A37B23">
        <w:rPr>
          <w:bCs/>
          <w:color w:val="auto"/>
        </w:rPr>
        <w:t>Financial sector development-economic growth nexus:</w:t>
      </w:r>
    </w:p>
    <w:p w14:paraId="55C879A6" w14:textId="77777777" w:rsidR="00D31621" w:rsidRPr="00A37B23" w:rsidRDefault="00D31621" w:rsidP="0015709E">
      <w:pPr>
        <w:pStyle w:val="Default"/>
        <w:spacing w:before="240"/>
        <w:rPr>
          <w:bCs/>
          <w:color w:val="auto"/>
        </w:rPr>
      </w:pPr>
      <w:r w:rsidRPr="00A37B23">
        <w:rPr>
          <w:bCs/>
          <w:color w:val="auto"/>
        </w:rPr>
        <w:t>Empirical evidence from Nigeria.</w:t>
      </w:r>
      <w:r w:rsidRPr="00A37B23">
        <w:rPr>
          <w:i/>
          <w:iCs/>
          <w:color w:val="auto"/>
        </w:rPr>
        <w:t xml:space="preserve"> American International Journal of Contemporary Research, 3,</w:t>
      </w:r>
      <w:r w:rsidRPr="00A37B23">
        <w:rPr>
          <w:iCs/>
          <w:color w:val="auto"/>
        </w:rPr>
        <w:t xml:space="preserve"> (2) </w:t>
      </w:r>
      <w:r w:rsidRPr="00A37B23">
        <w:rPr>
          <w:color w:val="auto"/>
        </w:rPr>
        <w:t>87-94</w:t>
      </w:r>
    </w:p>
    <w:p w14:paraId="32D73EDC" w14:textId="49C656B3" w:rsidR="00D31621" w:rsidRPr="00A37B23" w:rsidRDefault="00D31621" w:rsidP="0015709E">
      <w:pPr>
        <w:spacing w:before="240" w:after="0" w:line="240" w:lineRule="auto"/>
        <w:jc w:val="both"/>
        <w:rPr>
          <w:rFonts w:ascii="Times New Roman" w:hAnsi="Times New Roman"/>
          <w:bCs/>
          <w:sz w:val="24"/>
          <w:szCs w:val="24"/>
        </w:rPr>
      </w:pPr>
      <w:r w:rsidRPr="00A37B23">
        <w:rPr>
          <w:rFonts w:ascii="Times New Roman" w:hAnsi="Times New Roman"/>
          <w:sz w:val="24"/>
          <w:szCs w:val="24"/>
        </w:rPr>
        <w:t xml:space="preserve">Nnachi, D. N., &amp; Nnamani C. U. (2017). </w:t>
      </w:r>
      <w:r w:rsidRPr="00A37B23">
        <w:rPr>
          <w:rFonts w:ascii="Times New Roman" w:hAnsi="Times New Roman"/>
          <w:bCs/>
          <w:sz w:val="24"/>
          <w:szCs w:val="24"/>
        </w:rPr>
        <w:t>Estimating the causal relationship between financial</w:t>
      </w:r>
      <w:r w:rsidR="00231A19">
        <w:rPr>
          <w:rFonts w:ascii="Times New Roman" w:hAnsi="Times New Roman"/>
          <w:bCs/>
          <w:sz w:val="24"/>
          <w:szCs w:val="24"/>
        </w:rPr>
        <w:t xml:space="preserve"> </w:t>
      </w:r>
      <w:r w:rsidRPr="00A37B23">
        <w:rPr>
          <w:rFonts w:ascii="Times New Roman" w:hAnsi="Times New Roman"/>
          <w:bCs/>
          <w:sz w:val="24"/>
          <w:szCs w:val="24"/>
        </w:rPr>
        <w:t>development and economic growth in Nigeria.</w:t>
      </w:r>
      <w:r w:rsidRPr="00A37B23">
        <w:rPr>
          <w:rFonts w:ascii="Times New Roman" w:hAnsi="Times New Roman"/>
          <w:i/>
          <w:iCs/>
          <w:sz w:val="24"/>
          <w:szCs w:val="24"/>
        </w:rPr>
        <w:t xml:space="preserve"> Journal of</w:t>
      </w:r>
      <w:r w:rsidR="00110235" w:rsidRPr="00A37B23">
        <w:rPr>
          <w:rFonts w:ascii="Times New Roman" w:hAnsi="Times New Roman"/>
          <w:bCs/>
          <w:sz w:val="24"/>
          <w:szCs w:val="24"/>
        </w:rPr>
        <w:t xml:space="preserve"> </w:t>
      </w:r>
      <w:r w:rsidRPr="00A37B23">
        <w:rPr>
          <w:rFonts w:ascii="Times New Roman" w:hAnsi="Times New Roman"/>
          <w:i/>
          <w:iCs/>
          <w:sz w:val="24"/>
          <w:szCs w:val="24"/>
        </w:rPr>
        <w:t>Economics and Finance,8</w:t>
      </w:r>
      <w:r w:rsidRPr="00A37B23">
        <w:rPr>
          <w:rFonts w:ascii="Times New Roman" w:hAnsi="Times New Roman"/>
          <w:iCs/>
          <w:sz w:val="24"/>
          <w:szCs w:val="24"/>
        </w:rPr>
        <w:t>(3),47-55</w:t>
      </w:r>
    </w:p>
    <w:p w14:paraId="5933D835" w14:textId="3DD2D4E0" w:rsidR="00D31621" w:rsidRPr="00A37B23" w:rsidRDefault="00D31621" w:rsidP="0015709E">
      <w:pPr>
        <w:pStyle w:val="Default"/>
        <w:spacing w:before="240"/>
        <w:rPr>
          <w:color w:val="auto"/>
        </w:rPr>
      </w:pPr>
      <w:r w:rsidRPr="00A37B23">
        <w:rPr>
          <w:color w:val="auto"/>
        </w:rPr>
        <w:t>Nouren, A. (2009). The causality between financial development and economic growth in</w:t>
      </w:r>
      <w:r w:rsidR="00110235" w:rsidRPr="00A37B23">
        <w:rPr>
          <w:color w:val="auto"/>
        </w:rPr>
        <w:t xml:space="preserve"> </w:t>
      </w:r>
      <w:r w:rsidRPr="00A37B23">
        <w:rPr>
          <w:color w:val="auto"/>
        </w:rPr>
        <w:t xml:space="preserve">Kenya. MPRA paper 49, 262, University library of Munich, Germany. </w:t>
      </w:r>
    </w:p>
    <w:p w14:paraId="007C7AEE" w14:textId="4F059782" w:rsidR="00D31621" w:rsidRPr="00A37B23" w:rsidRDefault="00D31621" w:rsidP="0015709E">
      <w:pPr>
        <w:pStyle w:val="Default"/>
        <w:spacing w:before="240"/>
        <w:rPr>
          <w:bCs/>
          <w:color w:val="auto"/>
        </w:rPr>
      </w:pPr>
      <w:r w:rsidRPr="00A37B23">
        <w:rPr>
          <w:color w:val="auto"/>
        </w:rPr>
        <w:t xml:space="preserve">Nwanna, I.O. (2017). </w:t>
      </w:r>
      <w:r w:rsidRPr="00A37B23">
        <w:rPr>
          <w:bCs/>
          <w:color w:val="auto"/>
        </w:rPr>
        <w:t xml:space="preserve">Impact of capital market volatility on economic growth in Nigeria (1985 </w:t>
      </w:r>
      <w:r w:rsidR="00257076" w:rsidRPr="00A37B23">
        <w:rPr>
          <w:bCs/>
          <w:color w:val="auto"/>
        </w:rPr>
        <w:t>–</w:t>
      </w:r>
      <w:r w:rsidRPr="00A37B23">
        <w:rPr>
          <w:bCs/>
          <w:color w:val="auto"/>
        </w:rPr>
        <w:t xml:space="preserve"> 2016). </w:t>
      </w:r>
      <w:r w:rsidRPr="00A37B23">
        <w:rPr>
          <w:i/>
          <w:iCs/>
          <w:color w:val="auto"/>
        </w:rPr>
        <w:t>Journal of Economics and Finance ,8</w:t>
      </w:r>
      <w:r w:rsidRPr="00A37B23">
        <w:rPr>
          <w:iCs/>
          <w:color w:val="auto"/>
        </w:rPr>
        <w:t>(4),1-25.</w:t>
      </w:r>
    </w:p>
    <w:p w14:paraId="752AF535" w14:textId="17A3E9D7" w:rsidR="00E22C05" w:rsidRPr="00A37B23" w:rsidRDefault="00D31621" w:rsidP="0015709E">
      <w:pPr>
        <w:spacing w:before="240" w:after="0" w:line="240" w:lineRule="auto"/>
        <w:rPr>
          <w:rFonts w:ascii="Times New Roman" w:hAnsi="Times New Roman"/>
          <w:i/>
          <w:sz w:val="24"/>
          <w:szCs w:val="24"/>
        </w:rPr>
      </w:pPr>
      <w:r w:rsidRPr="00A37B23">
        <w:rPr>
          <w:rFonts w:ascii="Times New Roman" w:hAnsi="Times New Roman"/>
          <w:sz w:val="24"/>
          <w:szCs w:val="24"/>
        </w:rPr>
        <w:t xml:space="preserve">Nzomo T.J., &amp; Dombou-Tagne, </w:t>
      </w:r>
      <w:r w:rsidR="00F121E0" w:rsidRPr="00A37B23">
        <w:rPr>
          <w:rFonts w:ascii="Times New Roman" w:hAnsi="Times New Roman"/>
          <w:sz w:val="24"/>
          <w:szCs w:val="24"/>
        </w:rPr>
        <w:t>D.R. (2017</w:t>
      </w:r>
      <w:r w:rsidRPr="00A37B23">
        <w:rPr>
          <w:rFonts w:ascii="Times New Roman" w:hAnsi="Times New Roman"/>
          <w:sz w:val="24"/>
          <w:szCs w:val="24"/>
        </w:rPr>
        <w:t xml:space="preserve">). </w:t>
      </w:r>
      <w:r w:rsidRPr="00A37B23">
        <w:rPr>
          <w:rFonts w:ascii="Times New Roman" w:hAnsi="Times New Roman"/>
          <w:kern w:val="36"/>
          <w:sz w:val="24"/>
          <w:szCs w:val="24"/>
        </w:rPr>
        <w:t xml:space="preserve">Stock markets, volatility and </w:t>
      </w:r>
      <w:r w:rsidR="00F121E0" w:rsidRPr="00A37B23">
        <w:rPr>
          <w:rFonts w:ascii="Times New Roman" w:hAnsi="Times New Roman"/>
          <w:kern w:val="36"/>
          <w:sz w:val="24"/>
          <w:szCs w:val="24"/>
        </w:rPr>
        <w:t>economic growth</w:t>
      </w:r>
      <w:r w:rsidRPr="00A37B23">
        <w:rPr>
          <w:rFonts w:ascii="Times New Roman" w:hAnsi="Times New Roman"/>
          <w:kern w:val="36"/>
          <w:sz w:val="24"/>
          <w:szCs w:val="24"/>
        </w:rPr>
        <w:t>:</w:t>
      </w:r>
      <w:r w:rsidR="0015709E">
        <w:rPr>
          <w:rFonts w:ascii="Times New Roman" w:hAnsi="Times New Roman"/>
          <w:kern w:val="36"/>
          <w:sz w:val="24"/>
          <w:szCs w:val="24"/>
        </w:rPr>
        <w:t xml:space="preserve"> </w:t>
      </w:r>
      <w:r w:rsidRPr="00A37B23">
        <w:rPr>
          <w:rFonts w:ascii="Times New Roman" w:hAnsi="Times New Roman"/>
          <w:kern w:val="36"/>
          <w:sz w:val="24"/>
          <w:szCs w:val="24"/>
        </w:rPr>
        <w:t xml:space="preserve"> Evidence from Cameroon, Ivory Coast and Nigeria</w:t>
      </w:r>
      <w:r w:rsidRPr="00A37B23">
        <w:rPr>
          <w:rFonts w:ascii="Times New Roman" w:hAnsi="Times New Roman"/>
          <w:sz w:val="24"/>
          <w:szCs w:val="24"/>
        </w:rPr>
        <w:t xml:space="preserve">. </w:t>
      </w:r>
      <w:hyperlink r:id="rId70" w:history="1">
        <w:r w:rsidRPr="00A37B23">
          <w:rPr>
            <w:rStyle w:val="Hyperlink"/>
            <w:rFonts w:ascii="Times New Roman" w:hAnsi="Times New Roman"/>
            <w:i/>
            <w:color w:val="auto"/>
            <w:sz w:val="24"/>
            <w:szCs w:val="24"/>
          </w:rPr>
          <w:t>Panorama Económico</w:t>
        </w:r>
      </w:hyperlink>
      <w:r w:rsidRPr="00A37B23">
        <w:rPr>
          <w:rFonts w:ascii="Times New Roman" w:hAnsi="Times New Roman"/>
          <w:i/>
          <w:sz w:val="24"/>
          <w:szCs w:val="24"/>
        </w:rPr>
        <w:t>, Escuela</w:t>
      </w:r>
    </w:p>
    <w:p w14:paraId="0C0DD935" w14:textId="3BA26D2B" w:rsidR="00D31621" w:rsidRPr="00A37B23" w:rsidRDefault="00D31621" w:rsidP="0015709E">
      <w:pPr>
        <w:spacing w:before="240" w:after="0" w:line="240" w:lineRule="auto"/>
        <w:jc w:val="both"/>
        <w:rPr>
          <w:rFonts w:ascii="Times New Roman" w:hAnsi="Times New Roman"/>
          <w:kern w:val="36"/>
          <w:sz w:val="24"/>
          <w:szCs w:val="24"/>
        </w:rPr>
      </w:pPr>
      <w:r w:rsidRPr="00A37B23">
        <w:rPr>
          <w:rFonts w:ascii="Times New Roman" w:hAnsi="Times New Roman"/>
          <w:i/>
          <w:sz w:val="24"/>
          <w:szCs w:val="24"/>
        </w:rPr>
        <w:t>Superior de Economía, Instituto Politécnico Nacional, 12</w:t>
      </w:r>
      <w:r w:rsidRPr="00A37B23">
        <w:rPr>
          <w:rFonts w:ascii="Times New Roman" w:hAnsi="Times New Roman"/>
          <w:sz w:val="24"/>
          <w:szCs w:val="24"/>
        </w:rPr>
        <w:t>(24), 145-175</w:t>
      </w:r>
      <w:r w:rsidRPr="00A37B23">
        <w:rPr>
          <w:rFonts w:ascii="Times New Roman" w:hAnsi="Times New Roman"/>
          <w:i/>
          <w:sz w:val="24"/>
          <w:szCs w:val="24"/>
        </w:rPr>
        <w:t>.</w:t>
      </w:r>
    </w:p>
    <w:p w14:paraId="1C67A654" w14:textId="6142DDDD" w:rsidR="00D31621" w:rsidRPr="00A37B23" w:rsidRDefault="00D31621" w:rsidP="0015709E">
      <w:pPr>
        <w:spacing w:before="240" w:after="0" w:line="240" w:lineRule="auto"/>
        <w:rPr>
          <w:rFonts w:ascii="Times New Roman" w:hAnsi="Times New Roman"/>
          <w:i/>
          <w:iCs/>
          <w:sz w:val="24"/>
          <w:szCs w:val="24"/>
        </w:rPr>
      </w:pPr>
      <w:r w:rsidRPr="00A37B23">
        <w:rPr>
          <w:rFonts w:ascii="Times New Roman" w:hAnsi="Times New Roman"/>
          <w:iCs/>
          <w:sz w:val="24"/>
          <w:szCs w:val="24"/>
        </w:rPr>
        <w:t xml:space="preserve">Nzotta, S., &amp; Okereke, E. (2009). Financial deepening and economic development of Nigeria:An empirical investigation. </w:t>
      </w:r>
      <w:r w:rsidRPr="00A37B23">
        <w:rPr>
          <w:rFonts w:ascii="Times New Roman" w:hAnsi="Times New Roman"/>
          <w:i/>
          <w:iCs/>
          <w:sz w:val="24"/>
          <w:szCs w:val="24"/>
        </w:rPr>
        <w:t>African Journal of Accounting, Economics, Finance and Banking Research, 5</w:t>
      </w:r>
      <w:r w:rsidRPr="00A37B23">
        <w:rPr>
          <w:rFonts w:ascii="Times New Roman" w:hAnsi="Times New Roman"/>
          <w:iCs/>
          <w:sz w:val="24"/>
          <w:szCs w:val="24"/>
        </w:rPr>
        <w:t>(5).</w:t>
      </w:r>
    </w:p>
    <w:p w14:paraId="62417045" w14:textId="04524491" w:rsidR="00E22C05" w:rsidRPr="00A37B23" w:rsidRDefault="00D31621" w:rsidP="0015709E">
      <w:pPr>
        <w:spacing w:before="240" w:after="0" w:line="240" w:lineRule="auto"/>
        <w:rPr>
          <w:rFonts w:ascii="Times New Roman" w:hAnsi="Times New Roman"/>
          <w:iCs/>
          <w:sz w:val="24"/>
          <w:szCs w:val="24"/>
        </w:rPr>
      </w:pPr>
      <w:r w:rsidRPr="00A37B23">
        <w:rPr>
          <w:rFonts w:ascii="Times New Roman" w:hAnsi="Times New Roman"/>
          <w:sz w:val="24"/>
          <w:szCs w:val="24"/>
        </w:rPr>
        <w:t>Odo, S. I., Ogbonna, B. C.</w:t>
      </w:r>
      <w:r w:rsidR="00F121E0" w:rsidRPr="00A37B23">
        <w:rPr>
          <w:rFonts w:ascii="Times New Roman" w:hAnsi="Times New Roman"/>
          <w:sz w:val="24"/>
          <w:szCs w:val="24"/>
        </w:rPr>
        <w:t>, Agbi</w:t>
      </w:r>
      <w:r w:rsidRPr="00A37B23">
        <w:rPr>
          <w:rFonts w:ascii="Times New Roman" w:hAnsi="Times New Roman"/>
          <w:sz w:val="24"/>
          <w:szCs w:val="24"/>
        </w:rPr>
        <w:t>, P.E.</w:t>
      </w:r>
      <w:r w:rsidR="00F121E0" w:rsidRPr="00A37B23">
        <w:rPr>
          <w:rFonts w:ascii="Times New Roman" w:hAnsi="Times New Roman"/>
          <w:sz w:val="24"/>
          <w:szCs w:val="24"/>
        </w:rPr>
        <w:t>, Anoke</w:t>
      </w:r>
      <w:r w:rsidRPr="00A37B23">
        <w:rPr>
          <w:rFonts w:ascii="Times New Roman" w:hAnsi="Times New Roman"/>
          <w:sz w:val="24"/>
          <w:szCs w:val="24"/>
        </w:rPr>
        <w:t xml:space="preserve">, C. </w:t>
      </w:r>
      <w:r w:rsidR="00F121E0" w:rsidRPr="00A37B23">
        <w:rPr>
          <w:rFonts w:ascii="Times New Roman" w:hAnsi="Times New Roman"/>
          <w:sz w:val="24"/>
          <w:szCs w:val="24"/>
        </w:rPr>
        <w:t>I. (</w:t>
      </w:r>
      <w:r w:rsidRPr="00A37B23">
        <w:rPr>
          <w:rFonts w:ascii="Times New Roman" w:hAnsi="Times New Roman"/>
          <w:sz w:val="24"/>
          <w:szCs w:val="24"/>
        </w:rPr>
        <w:t>2016).</w:t>
      </w:r>
      <w:r w:rsidRPr="00A37B23">
        <w:rPr>
          <w:rFonts w:ascii="Times New Roman" w:hAnsi="Times New Roman"/>
          <w:bCs/>
          <w:sz w:val="24"/>
          <w:szCs w:val="24"/>
        </w:rPr>
        <w:t xml:space="preserve"> Investigating the causal</w:t>
      </w:r>
      <w:r w:rsidR="00E22C05" w:rsidRPr="00A37B23">
        <w:rPr>
          <w:rFonts w:ascii="Times New Roman" w:hAnsi="Times New Roman"/>
          <w:bCs/>
          <w:sz w:val="24"/>
          <w:szCs w:val="24"/>
        </w:rPr>
        <w:t xml:space="preserve"> </w:t>
      </w:r>
      <w:r w:rsidRPr="00A37B23">
        <w:rPr>
          <w:rFonts w:ascii="Times New Roman" w:hAnsi="Times New Roman"/>
          <w:bCs/>
          <w:sz w:val="24"/>
          <w:szCs w:val="24"/>
        </w:rPr>
        <w:t>relationship</w:t>
      </w:r>
      <w:r w:rsidR="00231A19">
        <w:rPr>
          <w:rFonts w:ascii="Times New Roman" w:hAnsi="Times New Roman"/>
          <w:bCs/>
          <w:sz w:val="24"/>
          <w:szCs w:val="24"/>
        </w:rPr>
        <w:t xml:space="preserve"> </w:t>
      </w:r>
      <w:r w:rsidRPr="00A37B23">
        <w:rPr>
          <w:rFonts w:ascii="Times New Roman" w:hAnsi="Times New Roman"/>
          <w:bCs/>
          <w:sz w:val="24"/>
          <w:szCs w:val="24"/>
        </w:rPr>
        <w:t xml:space="preserve">between financial development and economic growth in </w:t>
      </w:r>
      <w:r w:rsidR="00F121E0" w:rsidRPr="00A37B23">
        <w:rPr>
          <w:rFonts w:ascii="Times New Roman" w:hAnsi="Times New Roman"/>
          <w:bCs/>
          <w:sz w:val="24"/>
          <w:szCs w:val="24"/>
        </w:rPr>
        <w:t>Nigeria and</w:t>
      </w:r>
      <w:r w:rsidRPr="00A37B23">
        <w:rPr>
          <w:rFonts w:ascii="Times New Roman" w:hAnsi="Times New Roman"/>
          <w:bCs/>
          <w:sz w:val="24"/>
          <w:szCs w:val="24"/>
        </w:rPr>
        <w:t xml:space="preserve"> South Africa.</w:t>
      </w:r>
      <w:r w:rsidRPr="00A37B23">
        <w:rPr>
          <w:rFonts w:ascii="Times New Roman" w:hAnsi="Times New Roman"/>
          <w:sz w:val="24"/>
          <w:szCs w:val="24"/>
        </w:rPr>
        <w:t xml:space="preserve"> </w:t>
      </w:r>
      <w:r w:rsidRPr="00A37B23">
        <w:rPr>
          <w:rFonts w:ascii="Times New Roman" w:hAnsi="Times New Roman"/>
          <w:i/>
          <w:iCs/>
          <w:sz w:val="24"/>
          <w:szCs w:val="24"/>
        </w:rPr>
        <w:t>Journal of Economics and Finance,7</w:t>
      </w:r>
      <w:r w:rsidRPr="00A37B23">
        <w:rPr>
          <w:rFonts w:ascii="Times New Roman" w:hAnsi="Times New Roman"/>
          <w:iCs/>
          <w:sz w:val="24"/>
          <w:szCs w:val="24"/>
        </w:rPr>
        <w:t>(2),75-81.</w:t>
      </w:r>
    </w:p>
    <w:p w14:paraId="7884114B" w14:textId="465868B2" w:rsidR="000C162B" w:rsidRPr="00A37B23" w:rsidRDefault="000C162B" w:rsidP="0015709E">
      <w:pPr>
        <w:spacing w:before="240" w:after="0" w:line="240" w:lineRule="auto"/>
        <w:rPr>
          <w:rFonts w:ascii="Times New Roman" w:hAnsi="Times New Roman"/>
          <w:sz w:val="24"/>
          <w:szCs w:val="24"/>
        </w:rPr>
      </w:pPr>
      <w:bookmarkStart w:id="9" w:name="_Hlk198141241"/>
      <w:bookmarkStart w:id="10" w:name="_Hlk197800407"/>
      <w:bookmarkStart w:id="11" w:name="_Hlk198141866"/>
      <w:r w:rsidRPr="00A37B23">
        <w:rPr>
          <w:rFonts w:ascii="Times New Roman" w:hAnsi="Times New Roman"/>
          <w:sz w:val="24"/>
          <w:szCs w:val="24"/>
        </w:rPr>
        <w:t xml:space="preserve">Omale, E.A., </w:t>
      </w:r>
      <w:r w:rsidRPr="00A37B23">
        <w:rPr>
          <w:rFonts w:ascii="Times New Roman" w:hAnsi="Times New Roman"/>
          <w:bCs/>
          <w:sz w:val="24"/>
          <w:szCs w:val="24"/>
        </w:rPr>
        <w:t>Yua, H.,</w:t>
      </w:r>
      <w:r w:rsidRPr="00A37B23">
        <w:rPr>
          <w:rFonts w:ascii="Times New Roman" w:hAnsi="Times New Roman"/>
          <w:sz w:val="24"/>
          <w:szCs w:val="24"/>
        </w:rPr>
        <w:t xml:space="preserve"> &amp; Azubuike, P.E. (2024)</w:t>
      </w:r>
      <w:bookmarkEnd w:id="9"/>
      <w:r w:rsidRPr="00A37B23">
        <w:rPr>
          <w:rFonts w:ascii="Times New Roman" w:hAnsi="Times New Roman"/>
          <w:sz w:val="24"/>
          <w:szCs w:val="24"/>
        </w:rPr>
        <w:t>. Effect of Money Market Instruments on</w:t>
      </w:r>
      <w:r w:rsidR="00231A19">
        <w:rPr>
          <w:rFonts w:ascii="Times New Roman" w:hAnsi="Times New Roman"/>
          <w:sz w:val="24"/>
          <w:szCs w:val="24"/>
        </w:rPr>
        <w:t xml:space="preserve"> </w:t>
      </w:r>
      <w:r w:rsidRPr="00A37B23">
        <w:rPr>
          <w:rFonts w:ascii="Times New Roman" w:hAnsi="Times New Roman"/>
          <w:sz w:val="24"/>
          <w:szCs w:val="24"/>
        </w:rPr>
        <w:t xml:space="preserve"> Banking Soundness in Nigeria, </w:t>
      </w:r>
      <w:r w:rsidRPr="00A37B23">
        <w:rPr>
          <w:rFonts w:ascii="Times New Roman" w:hAnsi="Times New Roman"/>
          <w:i/>
          <w:iCs/>
          <w:sz w:val="24"/>
          <w:szCs w:val="24"/>
        </w:rPr>
        <w:t xml:space="preserve">Journal </w:t>
      </w:r>
      <w:r w:rsidRPr="00A37B23">
        <w:rPr>
          <w:rFonts w:ascii="Times New Roman" w:hAnsi="Times New Roman"/>
          <w:i/>
          <w:iCs/>
          <w:sz w:val="24"/>
          <w:szCs w:val="24"/>
        </w:rPr>
        <w:lastRenderedPageBreak/>
        <w:t xml:space="preserve">of Business and African Economy, </w:t>
      </w:r>
      <w:r w:rsidRPr="00A37B23">
        <w:rPr>
          <w:rFonts w:ascii="Times New Roman" w:hAnsi="Times New Roman"/>
          <w:sz w:val="24"/>
          <w:szCs w:val="24"/>
        </w:rPr>
        <w:t>10(2), 77-100</w:t>
      </w:r>
      <w:bookmarkEnd w:id="10"/>
      <w:bookmarkEnd w:id="11"/>
    </w:p>
    <w:p w14:paraId="6B73576E" w14:textId="6D60CA3E" w:rsidR="00D31621" w:rsidRPr="00A37B23" w:rsidRDefault="00D31621" w:rsidP="0015709E">
      <w:pPr>
        <w:spacing w:before="240" w:after="0" w:line="240" w:lineRule="auto"/>
        <w:rPr>
          <w:rFonts w:ascii="Times New Roman" w:hAnsi="Times New Roman"/>
          <w:bCs/>
          <w:sz w:val="24"/>
          <w:szCs w:val="24"/>
        </w:rPr>
      </w:pPr>
      <w:r w:rsidRPr="00A37B23">
        <w:rPr>
          <w:rFonts w:ascii="Times New Roman" w:hAnsi="Times New Roman"/>
          <w:iCs/>
          <w:sz w:val="24"/>
          <w:szCs w:val="24"/>
        </w:rPr>
        <w:t xml:space="preserve">Odeniran, S.O., &amp; Udeaja, E. A. (2010). Financial sector development and economic growth: Empirical evidence from Nigeria. </w:t>
      </w:r>
      <w:r w:rsidRPr="00A37B23">
        <w:rPr>
          <w:rFonts w:ascii="Times New Roman" w:hAnsi="Times New Roman"/>
          <w:i/>
          <w:iCs/>
          <w:sz w:val="24"/>
          <w:szCs w:val="24"/>
        </w:rPr>
        <w:t>Economic and Financial Review</w:t>
      </w:r>
      <w:r w:rsidRPr="00A37B23">
        <w:rPr>
          <w:rFonts w:ascii="Times New Roman" w:hAnsi="Times New Roman"/>
          <w:iCs/>
          <w:sz w:val="24"/>
          <w:szCs w:val="24"/>
        </w:rPr>
        <w:t xml:space="preserve">, </w:t>
      </w:r>
      <w:r w:rsidRPr="00A37B23">
        <w:rPr>
          <w:rFonts w:ascii="Times New Roman" w:hAnsi="Times New Roman"/>
          <w:i/>
          <w:iCs/>
          <w:sz w:val="24"/>
          <w:szCs w:val="24"/>
        </w:rPr>
        <w:t>48</w:t>
      </w:r>
      <w:r w:rsidRPr="00A37B23">
        <w:rPr>
          <w:rFonts w:ascii="Times New Roman" w:hAnsi="Times New Roman"/>
          <w:iCs/>
          <w:sz w:val="24"/>
          <w:szCs w:val="24"/>
        </w:rPr>
        <w:t>(3),90-123</w:t>
      </w:r>
    </w:p>
    <w:p w14:paraId="40E4D00F" w14:textId="2BB2ABB7" w:rsidR="00D31621" w:rsidRPr="00A37B23" w:rsidRDefault="00D31621" w:rsidP="0015709E">
      <w:pPr>
        <w:spacing w:before="240" w:after="0" w:line="240" w:lineRule="auto"/>
        <w:rPr>
          <w:rFonts w:ascii="Times New Roman" w:hAnsi="Times New Roman"/>
          <w:sz w:val="24"/>
          <w:szCs w:val="24"/>
        </w:rPr>
      </w:pPr>
      <w:r w:rsidRPr="00A37B23">
        <w:rPr>
          <w:rFonts w:ascii="Times New Roman" w:hAnsi="Times New Roman"/>
          <w:sz w:val="24"/>
          <w:szCs w:val="24"/>
        </w:rPr>
        <w:t>Odhiambo, N. M. (2007). Supply-leading versus</w:t>
      </w:r>
      <w:r w:rsidR="0015709E">
        <w:rPr>
          <w:rFonts w:ascii="Times New Roman" w:hAnsi="Times New Roman"/>
          <w:sz w:val="24"/>
          <w:szCs w:val="24"/>
        </w:rPr>
        <w:t xml:space="preserve"> </w:t>
      </w:r>
      <w:r w:rsidRPr="00A37B23">
        <w:rPr>
          <w:rFonts w:ascii="Times New Roman" w:hAnsi="Times New Roman"/>
          <w:sz w:val="24"/>
          <w:szCs w:val="24"/>
        </w:rPr>
        <w:t>demand-following hypothesis: Empirical</w:t>
      </w:r>
      <w:r w:rsidR="0015709E">
        <w:rPr>
          <w:rFonts w:ascii="Times New Roman" w:hAnsi="Times New Roman"/>
          <w:sz w:val="24"/>
          <w:szCs w:val="24"/>
        </w:rPr>
        <w:t xml:space="preserve"> </w:t>
      </w:r>
      <w:r w:rsidRPr="00A37B23">
        <w:rPr>
          <w:rFonts w:ascii="Times New Roman" w:hAnsi="Times New Roman"/>
          <w:sz w:val="24"/>
          <w:szCs w:val="24"/>
        </w:rPr>
        <w:t xml:space="preserve"> evidence from three SSA countries. </w:t>
      </w:r>
      <w:r w:rsidRPr="00A37B23">
        <w:rPr>
          <w:rFonts w:ascii="Times New Roman" w:hAnsi="Times New Roman"/>
          <w:i/>
          <w:sz w:val="24"/>
          <w:szCs w:val="24"/>
        </w:rPr>
        <w:t>African Development Review,</w:t>
      </w:r>
      <w:r w:rsidRPr="00A37B23">
        <w:rPr>
          <w:rFonts w:ascii="Times New Roman" w:hAnsi="Times New Roman"/>
          <w:sz w:val="24"/>
          <w:szCs w:val="24"/>
        </w:rPr>
        <w:t xml:space="preserve"> </w:t>
      </w:r>
      <w:r w:rsidRPr="00A37B23">
        <w:rPr>
          <w:rFonts w:ascii="Times New Roman" w:hAnsi="Times New Roman"/>
          <w:i/>
          <w:sz w:val="24"/>
          <w:szCs w:val="24"/>
        </w:rPr>
        <w:t>19</w:t>
      </w:r>
      <w:r w:rsidRPr="00A37B23">
        <w:rPr>
          <w:rFonts w:ascii="Times New Roman" w:hAnsi="Times New Roman"/>
          <w:sz w:val="24"/>
          <w:szCs w:val="24"/>
        </w:rPr>
        <w:t>, 257-280.</w:t>
      </w:r>
    </w:p>
    <w:p w14:paraId="3F5EA399" w14:textId="3E0D9ED3" w:rsidR="00D31621" w:rsidRPr="00A37B23" w:rsidRDefault="00D31621" w:rsidP="0015709E">
      <w:pPr>
        <w:spacing w:before="240" w:after="0" w:line="240" w:lineRule="auto"/>
        <w:rPr>
          <w:rFonts w:ascii="Times New Roman" w:hAnsi="Times New Roman"/>
          <w:iCs/>
          <w:sz w:val="24"/>
          <w:szCs w:val="24"/>
        </w:rPr>
      </w:pPr>
      <w:r w:rsidRPr="00A37B23">
        <w:rPr>
          <w:rFonts w:ascii="Times New Roman" w:hAnsi="Times New Roman"/>
          <w:iCs/>
          <w:sz w:val="24"/>
          <w:szCs w:val="24"/>
        </w:rPr>
        <w:t>Ogiriki, T., &amp; Andabai P.W. (2014). Financial intermediation and economic growth in Nigeria,</w:t>
      </w:r>
      <w:r w:rsidR="0015709E">
        <w:rPr>
          <w:rFonts w:ascii="Times New Roman" w:hAnsi="Times New Roman"/>
          <w:iCs/>
          <w:sz w:val="24"/>
          <w:szCs w:val="24"/>
        </w:rPr>
        <w:t xml:space="preserve"> </w:t>
      </w:r>
      <w:r w:rsidRPr="00A37B23">
        <w:rPr>
          <w:rFonts w:ascii="Times New Roman" w:hAnsi="Times New Roman"/>
          <w:iCs/>
          <w:sz w:val="24"/>
          <w:szCs w:val="24"/>
        </w:rPr>
        <w:t xml:space="preserve">1988-2013: A vector correction investigation. </w:t>
      </w:r>
      <w:r w:rsidRPr="00A37B23">
        <w:rPr>
          <w:rFonts w:ascii="Times New Roman" w:hAnsi="Times New Roman"/>
          <w:i/>
          <w:iCs/>
          <w:sz w:val="24"/>
          <w:szCs w:val="24"/>
        </w:rPr>
        <w:t>Mediterranean Journal of social Sciences.</w:t>
      </w:r>
      <w:r w:rsidRPr="00A37B23">
        <w:rPr>
          <w:rFonts w:ascii="Times New Roman" w:hAnsi="Times New Roman"/>
          <w:iCs/>
          <w:sz w:val="24"/>
          <w:szCs w:val="24"/>
        </w:rPr>
        <w:t xml:space="preserve"> </w:t>
      </w:r>
      <w:r w:rsidRPr="00A37B23">
        <w:rPr>
          <w:rFonts w:ascii="Times New Roman" w:hAnsi="Times New Roman"/>
          <w:i/>
          <w:iCs/>
          <w:sz w:val="24"/>
          <w:szCs w:val="24"/>
        </w:rPr>
        <w:t>5</w:t>
      </w:r>
      <w:r w:rsidRPr="00A37B23">
        <w:rPr>
          <w:rFonts w:ascii="Times New Roman" w:hAnsi="Times New Roman"/>
          <w:iCs/>
          <w:sz w:val="24"/>
          <w:szCs w:val="24"/>
        </w:rPr>
        <w:t>(17), 19-26.</w:t>
      </w:r>
    </w:p>
    <w:p w14:paraId="01AA79AA" w14:textId="38C4267A" w:rsidR="00D31621" w:rsidRPr="00A37B23" w:rsidRDefault="00D31621" w:rsidP="0015709E">
      <w:pPr>
        <w:spacing w:before="240" w:after="0" w:line="240" w:lineRule="auto"/>
        <w:rPr>
          <w:rFonts w:ascii="Times New Roman" w:hAnsi="Times New Roman"/>
          <w:sz w:val="24"/>
          <w:szCs w:val="24"/>
        </w:rPr>
      </w:pPr>
      <w:r w:rsidRPr="00A37B23">
        <w:rPr>
          <w:rFonts w:ascii="Times New Roman" w:hAnsi="Times New Roman"/>
          <w:sz w:val="24"/>
          <w:szCs w:val="24"/>
        </w:rPr>
        <w:t>Okpara, G.C. 2010. The effect of financial liberalization on selected macroeconomic</w:t>
      </w:r>
      <w:r w:rsidR="00E22C05" w:rsidRPr="00A37B23">
        <w:rPr>
          <w:rFonts w:ascii="Times New Roman" w:hAnsi="Times New Roman"/>
          <w:sz w:val="24"/>
          <w:szCs w:val="24"/>
        </w:rPr>
        <w:t xml:space="preserve"> </w:t>
      </w:r>
      <w:r w:rsidRPr="00A37B23">
        <w:rPr>
          <w:rFonts w:ascii="Times New Roman" w:hAnsi="Times New Roman"/>
          <w:sz w:val="24"/>
          <w:szCs w:val="24"/>
        </w:rPr>
        <w:t>variables:</w:t>
      </w:r>
      <w:r w:rsidR="0015709E">
        <w:rPr>
          <w:rFonts w:ascii="Times New Roman" w:hAnsi="Times New Roman"/>
          <w:sz w:val="24"/>
          <w:szCs w:val="24"/>
        </w:rPr>
        <w:t xml:space="preserve"> </w:t>
      </w:r>
      <w:r w:rsidRPr="00A37B23">
        <w:rPr>
          <w:rFonts w:ascii="Times New Roman" w:hAnsi="Times New Roman"/>
          <w:sz w:val="24"/>
          <w:szCs w:val="24"/>
        </w:rPr>
        <w:t xml:space="preserve">Lesson from Nigeria. </w:t>
      </w:r>
      <w:r w:rsidRPr="00A37B23">
        <w:rPr>
          <w:rFonts w:ascii="Times New Roman" w:hAnsi="Times New Roman"/>
          <w:i/>
          <w:sz w:val="24"/>
          <w:szCs w:val="24"/>
        </w:rPr>
        <w:t>The International Journal of Applied Economics</w:t>
      </w:r>
      <w:r w:rsidR="00E22C05" w:rsidRPr="00A37B23">
        <w:rPr>
          <w:rFonts w:ascii="Times New Roman" w:hAnsi="Times New Roman"/>
          <w:sz w:val="24"/>
          <w:szCs w:val="24"/>
        </w:rPr>
        <w:t xml:space="preserve"> </w:t>
      </w:r>
      <w:r w:rsidRPr="00A37B23">
        <w:rPr>
          <w:rFonts w:ascii="Times New Roman" w:hAnsi="Times New Roman"/>
          <w:i/>
          <w:sz w:val="24"/>
          <w:szCs w:val="24"/>
        </w:rPr>
        <w:t>and Finance,</w:t>
      </w:r>
      <w:r w:rsidRPr="00A37B23">
        <w:rPr>
          <w:rFonts w:ascii="Times New Roman" w:hAnsi="Times New Roman"/>
          <w:sz w:val="24"/>
          <w:szCs w:val="24"/>
        </w:rPr>
        <w:t xml:space="preserve"> </w:t>
      </w:r>
      <w:r w:rsidRPr="00A37B23">
        <w:rPr>
          <w:rFonts w:ascii="Times New Roman" w:hAnsi="Times New Roman"/>
          <w:i/>
          <w:sz w:val="24"/>
          <w:szCs w:val="24"/>
        </w:rPr>
        <w:t>2</w:t>
      </w:r>
      <w:r w:rsidRPr="00A37B23">
        <w:rPr>
          <w:rFonts w:ascii="Times New Roman" w:hAnsi="Times New Roman"/>
          <w:sz w:val="24"/>
          <w:szCs w:val="24"/>
        </w:rPr>
        <w:t xml:space="preserve">(1), 1-9. </w:t>
      </w:r>
    </w:p>
    <w:p w14:paraId="040A1187" w14:textId="064EA9D6" w:rsidR="00E35C5F" w:rsidRPr="00A37B23" w:rsidRDefault="00D31621" w:rsidP="0015709E">
      <w:pPr>
        <w:spacing w:before="240" w:after="0" w:line="240" w:lineRule="auto"/>
        <w:rPr>
          <w:rFonts w:ascii="Times New Roman" w:hAnsi="Times New Roman"/>
          <w:bCs/>
          <w:iCs/>
          <w:sz w:val="24"/>
          <w:szCs w:val="24"/>
        </w:rPr>
      </w:pPr>
      <w:r w:rsidRPr="00A37B23">
        <w:rPr>
          <w:rFonts w:ascii="Times New Roman" w:hAnsi="Times New Roman"/>
          <w:bCs/>
          <w:iCs/>
          <w:sz w:val="24"/>
          <w:szCs w:val="24"/>
        </w:rPr>
        <w:t xml:space="preserve">Omankhanlen, A.E. (2012). The financial sector reforms and their effect on the Nigerian economy. </w:t>
      </w:r>
      <w:r w:rsidRPr="00A37B23">
        <w:rPr>
          <w:rFonts w:ascii="Times New Roman" w:hAnsi="Times New Roman"/>
          <w:iCs/>
          <w:sz w:val="24"/>
          <w:szCs w:val="24"/>
        </w:rPr>
        <w:t xml:space="preserve">Economy Transdisciplinarily Cognition, </w:t>
      </w:r>
      <w:r w:rsidRPr="00A37B23">
        <w:rPr>
          <w:rFonts w:ascii="Times New Roman" w:hAnsi="Times New Roman"/>
          <w:i/>
          <w:iCs/>
          <w:sz w:val="24"/>
          <w:szCs w:val="24"/>
        </w:rPr>
        <w:t>15</w:t>
      </w:r>
      <w:r w:rsidRPr="00A37B23">
        <w:rPr>
          <w:rFonts w:ascii="Times New Roman" w:hAnsi="Times New Roman"/>
          <w:iCs/>
          <w:sz w:val="24"/>
          <w:szCs w:val="24"/>
        </w:rPr>
        <w:t>, 45-57</w:t>
      </w:r>
    </w:p>
    <w:p w14:paraId="247D935C" w14:textId="7EB22AEB" w:rsidR="00D31621" w:rsidRPr="00A37B23" w:rsidRDefault="00D31621" w:rsidP="0015709E">
      <w:pPr>
        <w:spacing w:before="240" w:after="0" w:line="240" w:lineRule="auto"/>
        <w:rPr>
          <w:rFonts w:ascii="Times New Roman" w:hAnsi="Times New Roman"/>
          <w:bCs/>
          <w:iCs/>
          <w:sz w:val="24"/>
          <w:szCs w:val="24"/>
        </w:rPr>
      </w:pPr>
      <w:r w:rsidRPr="00A37B23">
        <w:rPr>
          <w:rFonts w:ascii="Times New Roman" w:hAnsi="Times New Roman"/>
          <w:iCs/>
          <w:sz w:val="24"/>
          <w:szCs w:val="24"/>
          <w:lang w:val="en-GB"/>
        </w:rPr>
        <w:t>Osamwonyi, I. O., &amp; Evbayiro-Osagie, E. I. (2012</w:t>
      </w:r>
      <w:r w:rsidR="00F121E0" w:rsidRPr="00A37B23">
        <w:rPr>
          <w:rFonts w:ascii="Times New Roman" w:hAnsi="Times New Roman"/>
          <w:iCs/>
          <w:sz w:val="24"/>
          <w:szCs w:val="24"/>
          <w:lang w:val="en-GB"/>
        </w:rPr>
        <w:t>). The</w:t>
      </w:r>
      <w:r w:rsidRPr="00A37B23">
        <w:rPr>
          <w:rFonts w:ascii="Times New Roman" w:hAnsi="Times New Roman"/>
          <w:iCs/>
          <w:sz w:val="24"/>
          <w:szCs w:val="24"/>
          <w:lang w:val="en-GB"/>
        </w:rPr>
        <w:t xml:space="preserve"> Relationship between macroeconomic variables and stock market index in Nigeria. </w:t>
      </w:r>
      <w:r w:rsidRPr="00A37B23">
        <w:rPr>
          <w:rFonts w:ascii="Times New Roman" w:hAnsi="Times New Roman"/>
          <w:i/>
          <w:iCs/>
          <w:sz w:val="24"/>
          <w:szCs w:val="24"/>
          <w:lang w:val="en-GB"/>
        </w:rPr>
        <w:t>Journal of Economics</w:t>
      </w:r>
      <w:r w:rsidRPr="00A37B23">
        <w:rPr>
          <w:rFonts w:ascii="Times New Roman" w:hAnsi="Times New Roman"/>
          <w:iCs/>
          <w:sz w:val="24"/>
          <w:szCs w:val="24"/>
          <w:lang w:val="en-GB"/>
        </w:rPr>
        <w:t xml:space="preserve">, </w:t>
      </w:r>
      <w:r w:rsidRPr="00A37B23">
        <w:rPr>
          <w:rFonts w:ascii="Times New Roman" w:hAnsi="Times New Roman"/>
          <w:i/>
          <w:iCs/>
          <w:sz w:val="24"/>
          <w:szCs w:val="24"/>
          <w:lang w:val="en-GB"/>
        </w:rPr>
        <w:t>3</w:t>
      </w:r>
      <w:r w:rsidRPr="00A37B23">
        <w:rPr>
          <w:rFonts w:ascii="Times New Roman" w:hAnsi="Times New Roman"/>
          <w:iCs/>
          <w:sz w:val="24"/>
          <w:szCs w:val="24"/>
          <w:lang w:val="en-GB"/>
        </w:rPr>
        <w:t xml:space="preserve">(1), 55-63. </w:t>
      </w:r>
    </w:p>
    <w:p w14:paraId="706D5593" w14:textId="41325356" w:rsidR="00D31621" w:rsidRPr="00A37B23" w:rsidRDefault="00D31621" w:rsidP="0015709E">
      <w:pPr>
        <w:spacing w:before="240" w:after="0" w:line="240" w:lineRule="auto"/>
        <w:rPr>
          <w:rFonts w:ascii="Times New Roman" w:hAnsi="Times New Roman"/>
          <w:sz w:val="24"/>
          <w:szCs w:val="24"/>
        </w:rPr>
      </w:pPr>
      <w:r w:rsidRPr="00A37B23">
        <w:rPr>
          <w:rFonts w:ascii="Times New Roman" w:hAnsi="Times New Roman"/>
          <w:sz w:val="24"/>
          <w:szCs w:val="24"/>
        </w:rPr>
        <w:t xml:space="preserve">Patrick, H. T. (1966). Financial development and economic growth in </w:t>
      </w:r>
      <w:r w:rsidR="00F121E0" w:rsidRPr="00A37B23">
        <w:rPr>
          <w:rFonts w:ascii="Times New Roman" w:hAnsi="Times New Roman"/>
          <w:sz w:val="24"/>
          <w:szCs w:val="24"/>
        </w:rPr>
        <w:t>underdeveloped countries</w:t>
      </w:r>
      <w:r w:rsidRPr="00A37B23">
        <w:rPr>
          <w:rFonts w:ascii="Times New Roman" w:hAnsi="Times New Roman"/>
          <w:sz w:val="24"/>
          <w:szCs w:val="24"/>
        </w:rPr>
        <w:t>.</w:t>
      </w:r>
      <w:r w:rsidRPr="00A37B23">
        <w:rPr>
          <w:rFonts w:ascii="Times New Roman" w:hAnsi="Times New Roman"/>
          <w:i/>
          <w:iCs/>
          <w:sz w:val="24"/>
          <w:szCs w:val="24"/>
        </w:rPr>
        <w:t>Economic Development and Cultural Change,</w:t>
      </w:r>
      <w:r w:rsidRPr="00A37B23">
        <w:rPr>
          <w:rFonts w:ascii="Times New Roman" w:hAnsi="Times New Roman"/>
          <w:i/>
          <w:sz w:val="24"/>
          <w:szCs w:val="24"/>
        </w:rPr>
        <w:t>14</w:t>
      </w:r>
      <w:r w:rsidRPr="00A37B23">
        <w:rPr>
          <w:rFonts w:ascii="Times New Roman" w:hAnsi="Times New Roman"/>
          <w:sz w:val="24"/>
          <w:szCs w:val="24"/>
        </w:rPr>
        <w:t>,174-189.</w:t>
      </w:r>
    </w:p>
    <w:p w14:paraId="11317E8D" w14:textId="4D6DB50B" w:rsidR="00D31621" w:rsidRPr="00A37B23" w:rsidRDefault="00D31621" w:rsidP="0015709E">
      <w:pPr>
        <w:spacing w:before="240" w:after="0" w:line="240" w:lineRule="auto"/>
        <w:rPr>
          <w:rFonts w:ascii="Times New Roman" w:hAnsi="Times New Roman"/>
          <w:bCs/>
          <w:iCs/>
          <w:sz w:val="24"/>
          <w:szCs w:val="24"/>
        </w:rPr>
      </w:pPr>
      <w:r w:rsidRPr="00A37B23">
        <w:rPr>
          <w:rFonts w:ascii="Times New Roman" w:hAnsi="Times New Roman"/>
          <w:bCs/>
          <w:iCs/>
          <w:sz w:val="24"/>
          <w:szCs w:val="24"/>
        </w:rPr>
        <w:t>Poon, S. H., &amp; Granger, C. W. (2003). Forecasting volatility in financial markets: A review</w:t>
      </w:r>
      <w:r w:rsidR="0015709E">
        <w:rPr>
          <w:rFonts w:ascii="Times New Roman" w:hAnsi="Times New Roman"/>
          <w:bCs/>
          <w:i/>
          <w:iCs/>
          <w:sz w:val="24"/>
          <w:szCs w:val="24"/>
        </w:rPr>
        <w:t xml:space="preserve"> </w:t>
      </w:r>
      <w:r w:rsidRPr="00A37B23">
        <w:rPr>
          <w:rFonts w:ascii="Times New Roman" w:hAnsi="Times New Roman"/>
          <w:bCs/>
          <w:i/>
          <w:iCs/>
          <w:sz w:val="24"/>
          <w:szCs w:val="24"/>
        </w:rPr>
        <w:t>Journal of economic literature</w:t>
      </w:r>
      <w:r w:rsidRPr="00A37B23">
        <w:rPr>
          <w:rFonts w:ascii="Times New Roman" w:hAnsi="Times New Roman"/>
          <w:bCs/>
          <w:iCs/>
          <w:sz w:val="24"/>
          <w:szCs w:val="24"/>
        </w:rPr>
        <w:t xml:space="preserve">, </w:t>
      </w:r>
      <w:r w:rsidRPr="00A37B23">
        <w:rPr>
          <w:rFonts w:ascii="Times New Roman" w:hAnsi="Times New Roman"/>
          <w:bCs/>
          <w:i/>
          <w:iCs/>
          <w:sz w:val="24"/>
          <w:szCs w:val="24"/>
        </w:rPr>
        <w:t>41</w:t>
      </w:r>
      <w:r w:rsidRPr="00A37B23">
        <w:rPr>
          <w:rFonts w:ascii="Times New Roman" w:hAnsi="Times New Roman"/>
          <w:bCs/>
          <w:iCs/>
          <w:sz w:val="24"/>
          <w:szCs w:val="24"/>
        </w:rPr>
        <w:t>(2), 478-539.</w:t>
      </w:r>
    </w:p>
    <w:p w14:paraId="0A01DD3A" w14:textId="26AD41AD" w:rsidR="00D31621" w:rsidRPr="00A37B23" w:rsidRDefault="00D31621" w:rsidP="0015709E">
      <w:pPr>
        <w:spacing w:before="240" w:after="0" w:line="240" w:lineRule="auto"/>
        <w:rPr>
          <w:rFonts w:ascii="Times New Roman" w:hAnsi="Times New Roman"/>
          <w:bCs/>
          <w:iCs/>
          <w:sz w:val="24"/>
          <w:szCs w:val="24"/>
        </w:rPr>
      </w:pPr>
      <w:r w:rsidRPr="00A37B23">
        <w:rPr>
          <w:rFonts w:ascii="Times New Roman" w:hAnsi="Times New Roman"/>
          <w:bCs/>
          <w:iCs/>
          <w:sz w:val="24"/>
          <w:szCs w:val="24"/>
        </w:rPr>
        <w:t>Rajan, R. G., &amp; Zingales, L.  (2003). The great reversals: the politics of financial development in</w:t>
      </w:r>
      <w:r w:rsidR="0015709E">
        <w:rPr>
          <w:rFonts w:ascii="Times New Roman" w:hAnsi="Times New Roman"/>
          <w:bCs/>
          <w:iCs/>
          <w:sz w:val="24"/>
          <w:szCs w:val="24"/>
        </w:rPr>
        <w:t xml:space="preserve"> </w:t>
      </w:r>
      <w:r w:rsidRPr="00A37B23">
        <w:rPr>
          <w:rFonts w:ascii="Times New Roman" w:hAnsi="Times New Roman"/>
          <w:bCs/>
          <w:iCs/>
          <w:sz w:val="24"/>
          <w:szCs w:val="24"/>
        </w:rPr>
        <w:t>the twentieth century</w:t>
      </w:r>
      <w:r w:rsidRPr="00A37B23">
        <w:rPr>
          <w:rFonts w:ascii="Times New Roman" w:hAnsi="Times New Roman"/>
          <w:bCs/>
          <w:i/>
          <w:iCs/>
          <w:sz w:val="24"/>
          <w:szCs w:val="24"/>
        </w:rPr>
        <w:t>. Journal of Financial Economics,</w:t>
      </w:r>
      <w:r w:rsidRPr="00A37B23">
        <w:rPr>
          <w:rFonts w:ascii="Times New Roman" w:hAnsi="Times New Roman"/>
          <w:bCs/>
          <w:iCs/>
          <w:sz w:val="24"/>
          <w:szCs w:val="24"/>
        </w:rPr>
        <w:t xml:space="preserve"> 69</w:t>
      </w:r>
      <w:r w:rsidR="0015709E">
        <w:rPr>
          <w:rFonts w:ascii="Times New Roman" w:hAnsi="Times New Roman"/>
          <w:bCs/>
          <w:iCs/>
          <w:sz w:val="24"/>
          <w:szCs w:val="24"/>
        </w:rPr>
        <w:t xml:space="preserve"> </w:t>
      </w:r>
      <w:r w:rsidRPr="00A37B23">
        <w:rPr>
          <w:rFonts w:ascii="Times New Roman" w:hAnsi="Times New Roman"/>
          <w:bCs/>
          <w:iCs/>
          <w:sz w:val="24"/>
          <w:szCs w:val="24"/>
        </w:rPr>
        <w:t>(1),5-50.</w:t>
      </w:r>
    </w:p>
    <w:p w14:paraId="3C5ED10B" w14:textId="15506BDA" w:rsidR="00D31621" w:rsidRPr="00A37B23" w:rsidRDefault="00D31621" w:rsidP="0015709E">
      <w:pPr>
        <w:spacing w:before="240" w:after="0" w:line="240" w:lineRule="auto"/>
        <w:rPr>
          <w:rFonts w:ascii="Times New Roman" w:hAnsi="Times New Roman"/>
          <w:sz w:val="24"/>
          <w:szCs w:val="24"/>
        </w:rPr>
      </w:pPr>
      <w:r w:rsidRPr="00A37B23">
        <w:rPr>
          <w:rFonts w:ascii="Times New Roman" w:hAnsi="Times New Roman"/>
          <w:sz w:val="24"/>
          <w:szCs w:val="24"/>
        </w:rPr>
        <w:t xml:space="preserve">Ritter, J. R. (2005). Economic growth and equity </w:t>
      </w:r>
      <w:r w:rsidR="00F121E0" w:rsidRPr="00A37B23">
        <w:rPr>
          <w:rFonts w:ascii="Times New Roman" w:hAnsi="Times New Roman"/>
          <w:sz w:val="24"/>
          <w:szCs w:val="24"/>
        </w:rPr>
        <w:t>return</w:t>
      </w:r>
      <w:r w:rsidRPr="00A37B23">
        <w:rPr>
          <w:rFonts w:ascii="Times New Roman" w:hAnsi="Times New Roman"/>
          <w:sz w:val="24"/>
          <w:szCs w:val="24"/>
        </w:rPr>
        <w:t xml:space="preserve">. </w:t>
      </w:r>
      <w:r w:rsidRPr="00A37B23">
        <w:rPr>
          <w:rFonts w:ascii="Times New Roman" w:hAnsi="Times New Roman"/>
          <w:i/>
          <w:iCs/>
          <w:sz w:val="24"/>
          <w:szCs w:val="24"/>
        </w:rPr>
        <w:t>Pacific-Basin Finance Journal, 13</w:t>
      </w:r>
      <w:r w:rsidRPr="00A37B23">
        <w:rPr>
          <w:rFonts w:ascii="Times New Roman" w:hAnsi="Times New Roman"/>
          <w:sz w:val="24"/>
          <w:szCs w:val="24"/>
        </w:rPr>
        <w:t>(5), 489-503.</w:t>
      </w:r>
    </w:p>
    <w:p w14:paraId="69721D49" w14:textId="13D6AD4C" w:rsidR="00D31621" w:rsidRPr="00A37B23" w:rsidRDefault="00D31621" w:rsidP="0015709E">
      <w:pPr>
        <w:spacing w:before="240" w:after="0" w:line="240" w:lineRule="auto"/>
        <w:jc w:val="both"/>
        <w:rPr>
          <w:rFonts w:ascii="Times New Roman" w:hAnsi="Times New Roman"/>
          <w:sz w:val="24"/>
          <w:szCs w:val="24"/>
        </w:rPr>
      </w:pPr>
      <w:r w:rsidRPr="00A37B23">
        <w:rPr>
          <w:rFonts w:ascii="Times New Roman" w:hAnsi="Times New Roman"/>
          <w:sz w:val="24"/>
          <w:szCs w:val="24"/>
        </w:rPr>
        <w:t>Shaw, E.S., (1973).</w:t>
      </w:r>
      <w:r w:rsidR="0015709E">
        <w:rPr>
          <w:rFonts w:ascii="Times New Roman" w:hAnsi="Times New Roman"/>
          <w:sz w:val="24"/>
          <w:szCs w:val="24"/>
        </w:rPr>
        <w:t xml:space="preserve"> </w:t>
      </w:r>
      <w:r w:rsidRPr="00A37B23">
        <w:rPr>
          <w:rFonts w:ascii="Times New Roman" w:hAnsi="Times New Roman"/>
          <w:sz w:val="24"/>
          <w:szCs w:val="24"/>
        </w:rPr>
        <w:t xml:space="preserve">Financial </w:t>
      </w:r>
      <w:r w:rsidRPr="00A37B23">
        <w:rPr>
          <w:rFonts w:ascii="Times New Roman" w:hAnsi="Times New Roman"/>
          <w:i/>
          <w:sz w:val="24"/>
          <w:szCs w:val="24"/>
        </w:rPr>
        <w:t>Deepening in Economic Development</w:t>
      </w:r>
      <w:r w:rsidRPr="00A37B23">
        <w:rPr>
          <w:rFonts w:ascii="Times New Roman" w:hAnsi="Times New Roman"/>
          <w:sz w:val="24"/>
          <w:szCs w:val="24"/>
        </w:rPr>
        <w:t>. London and New York</w:t>
      </w:r>
      <w:r w:rsidR="0015709E">
        <w:rPr>
          <w:rFonts w:ascii="Times New Roman" w:hAnsi="Times New Roman"/>
          <w:sz w:val="24"/>
          <w:szCs w:val="24"/>
        </w:rPr>
        <w:t xml:space="preserve"> </w:t>
      </w:r>
      <w:r w:rsidRPr="00A37B23">
        <w:rPr>
          <w:rFonts w:ascii="Times New Roman" w:hAnsi="Times New Roman"/>
          <w:sz w:val="24"/>
          <w:szCs w:val="24"/>
        </w:rPr>
        <w:t>Oxford University Press.</w:t>
      </w:r>
    </w:p>
    <w:p w14:paraId="2C5A2CF1" w14:textId="549E3720" w:rsidR="00D31621" w:rsidRPr="00A37B23" w:rsidRDefault="00D31621" w:rsidP="0015709E">
      <w:pPr>
        <w:spacing w:before="240" w:after="0" w:line="240" w:lineRule="auto"/>
        <w:rPr>
          <w:rFonts w:ascii="Times New Roman" w:hAnsi="Times New Roman"/>
          <w:iCs/>
          <w:sz w:val="24"/>
          <w:szCs w:val="24"/>
        </w:rPr>
      </w:pPr>
      <w:r w:rsidRPr="00A37B23">
        <w:rPr>
          <w:rFonts w:ascii="Times New Roman" w:hAnsi="Times New Roman"/>
          <w:iCs/>
          <w:sz w:val="24"/>
          <w:szCs w:val="24"/>
        </w:rPr>
        <w:t>Sikalao-Lekobane, O. L., &amp; Lekobane, K. R. (2014).</w:t>
      </w:r>
      <w:r w:rsidR="0015709E">
        <w:rPr>
          <w:rFonts w:ascii="Times New Roman" w:hAnsi="Times New Roman"/>
          <w:iCs/>
          <w:sz w:val="24"/>
          <w:szCs w:val="24"/>
        </w:rPr>
        <w:t xml:space="preserve"> </w:t>
      </w:r>
      <w:r w:rsidRPr="00A37B23">
        <w:rPr>
          <w:rFonts w:ascii="Times New Roman" w:hAnsi="Times New Roman"/>
          <w:iCs/>
          <w:sz w:val="24"/>
          <w:szCs w:val="24"/>
        </w:rPr>
        <w:t xml:space="preserve">Do macroeconomic variables influence domestic stock market price behaviour in emerging markets? A johansen cointegration approach to the Botswana Stock Market. </w:t>
      </w:r>
      <w:r w:rsidRPr="00A37B23">
        <w:rPr>
          <w:rFonts w:ascii="Times New Roman" w:hAnsi="Times New Roman"/>
          <w:i/>
          <w:iCs/>
          <w:sz w:val="24"/>
          <w:szCs w:val="24"/>
        </w:rPr>
        <w:t xml:space="preserve">Journal of </w:t>
      </w:r>
    </w:p>
    <w:p w14:paraId="78E97FBB" w14:textId="40AAEF4B" w:rsidR="00D31621" w:rsidRPr="00A37B23" w:rsidRDefault="00D31621" w:rsidP="0015709E">
      <w:pPr>
        <w:spacing w:before="240" w:after="0" w:line="240" w:lineRule="auto"/>
        <w:rPr>
          <w:rFonts w:ascii="Times New Roman" w:hAnsi="Times New Roman"/>
          <w:iCs/>
          <w:sz w:val="24"/>
          <w:szCs w:val="24"/>
        </w:rPr>
      </w:pPr>
      <w:r w:rsidRPr="00A37B23">
        <w:rPr>
          <w:rFonts w:ascii="Times New Roman" w:hAnsi="Times New Roman"/>
          <w:iCs/>
          <w:sz w:val="24"/>
          <w:szCs w:val="24"/>
        </w:rPr>
        <w:t>Torruam, J.T., Chiawa, M.A., &amp; Abur, C.C. (2013). Financial Deepening and Economic Growth</w:t>
      </w:r>
      <w:r w:rsidR="0015709E">
        <w:rPr>
          <w:rFonts w:ascii="Times New Roman" w:hAnsi="Times New Roman"/>
          <w:iCs/>
          <w:sz w:val="24"/>
          <w:szCs w:val="24"/>
        </w:rPr>
        <w:t xml:space="preserve"> </w:t>
      </w:r>
      <w:r w:rsidRPr="00A37B23">
        <w:rPr>
          <w:rFonts w:ascii="Times New Roman" w:hAnsi="Times New Roman"/>
          <w:iCs/>
          <w:sz w:val="24"/>
          <w:szCs w:val="24"/>
        </w:rPr>
        <w:t xml:space="preserve">in Nigeria: An Application of Cointegration and Causality </w:t>
      </w:r>
      <w:r w:rsidR="0015709E">
        <w:rPr>
          <w:rFonts w:ascii="Times New Roman" w:hAnsi="Times New Roman"/>
          <w:iCs/>
          <w:sz w:val="24"/>
          <w:szCs w:val="24"/>
        </w:rPr>
        <w:t>A</w:t>
      </w:r>
      <w:r w:rsidRPr="00A37B23">
        <w:rPr>
          <w:rFonts w:ascii="Times New Roman" w:hAnsi="Times New Roman"/>
          <w:iCs/>
          <w:sz w:val="24"/>
          <w:szCs w:val="24"/>
        </w:rPr>
        <w:t xml:space="preserve">nalysis, </w:t>
      </w:r>
      <w:r w:rsidRPr="00A37B23">
        <w:rPr>
          <w:rFonts w:ascii="Times New Roman" w:hAnsi="Times New Roman"/>
          <w:i/>
          <w:iCs/>
          <w:sz w:val="24"/>
          <w:szCs w:val="24"/>
        </w:rPr>
        <w:t>3rd International Conference on Intelligent Computational Systems</w:t>
      </w:r>
      <w:r w:rsidRPr="00A37B23">
        <w:rPr>
          <w:rFonts w:ascii="Times New Roman" w:hAnsi="Times New Roman"/>
          <w:iCs/>
          <w:sz w:val="24"/>
          <w:szCs w:val="24"/>
        </w:rPr>
        <w:t>, 20-26.</w:t>
      </w:r>
    </w:p>
    <w:p w14:paraId="22681BE0" w14:textId="51AC2B1A" w:rsidR="00DC3001" w:rsidRPr="00A37B23" w:rsidRDefault="00D31621" w:rsidP="0015709E">
      <w:pPr>
        <w:spacing w:before="240" w:after="0" w:line="240" w:lineRule="auto"/>
        <w:rPr>
          <w:rFonts w:ascii="Times New Roman" w:hAnsi="Times New Roman"/>
          <w:bCs/>
          <w:iCs/>
          <w:sz w:val="24"/>
          <w:szCs w:val="24"/>
        </w:rPr>
      </w:pPr>
      <w:r w:rsidRPr="00A37B23">
        <w:rPr>
          <w:rFonts w:ascii="Times New Roman" w:hAnsi="Times New Roman"/>
          <w:bCs/>
          <w:iCs/>
          <w:sz w:val="24"/>
          <w:szCs w:val="24"/>
        </w:rPr>
        <w:t>Voghouei, H., Azali, M., &amp; Jamali, M.A. (2011). A survey of the determinants of financial</w:t>
      </w:r>
      <w:r w:rsidR="0015709E">
        <w:rPr>
          <w:rFonts w:ascii="Times New Roman" w:hAnsi="Times New Roman"/>
          <w:bCs/>
          <w:iCs/>
          <w:sz w:val="24"/>
          <w:szCs w:val="24"/>
        </w:rPr>
        <w:t xml:space="preserve"> </w:t>
      </w:r>
      <w:r w:rsidRPr="00A37B23">
        <w:rPr>
          <w:rFonts w:ascii="Times New Roman" w:hAnsi="Times New Roman"/>
          <w:bCs/>
          <w:iCs/>
          <w:sz w:val="24"/>
          <w:szCs w:val="24"/>
        </w:rPr>
        <w:t xml:space="preserve"> development. </w:t>
      </w:r>
      <w:r w:rsidRPr="00A37B23">
        <w:rPr>
          <w:rFonts w:ascii="Times New Roman" w:hAnsi="Times New Roman"/>
          <w:bCs/>
          <w:i/>
          <w:iCs/>
          <w:sz w:val="24"/>
          <w:szCs w:val="24"/>
        </w:rPr>
        <w:t>Asian-Pacific Economic Literature,</w:t>
      </w:r>
      <w:r w:rsidRPr="00A37B23">
        <w:rPr>
          <w:rFonts w:ascii="Times New Roman" w:hAnsi="Times New Roman"/>
          <w:bCs/>
          <w:iCs/>
          <w:sz w:val="24"/>
          <w:szCs w:val="24"/>
        </w:rPr>
        <w:t xml:space="preserve"> 25(2),1-</w:t>
      </w:r>
      <w:r w:rsidR="00DC3001" w:rsidRPr="00A37B23">
        <w:rPr>
          <w:rFonts w:ascii="Times New Roman" w:hAnsi="Times New Roman"/>
          <w:bCs/>
          <w:iCs/>
          <w:sz w:val="24"/>
          <w:szCs w:val="24"/>
        </w:rPr>
        <w:t>20</w:t>
      </w:r>
    </w:p>
    <w:p w14:paraId="6149DB21" w14:textId="54FE5AD6" w:rsidR="00DC3001" w:rsidRPr="00A37B23" w:rsidRDefault="00D31621" w:rsidP="0015709E">
      <w:pPr>
        <w:autoSpaceDE w:val="0"/>
        <w:autoSpaceDN w:val="0"/>
        <w:adjustRightInd w:val="0"/>
        <w:spacing w:before="240" w:after="0" w:line="240" w:lineRule="auto"/>
        <w:rPr>
          <w:rFonts w:ascii="Times New Roman" w:hAnsi="Times New Roman"/>
          <w:i/>
          <w:sz w:val="24"/>
          <w:szCs w:val="24"/>
        </w:rPr>
      </w:pPr>
      <w:r w:rsidRPr="00A37B23">
        <w:rPr>
          <w:rFonts w:ascii="Times New Roman" w:hAnsi="Times New Roman"/>
          <w:sz w:val="24"/>
          <w:szCs w:val="24"/>
        </w:rPr>
        <w:t xml:space="preserve">World </w:t>
      </w:r>
      <w:r w:rsidR="00F121E0" w:rsidRPr="00A37B23">
        <w:rPr>
          <w:rFonts w:ascii="Times New Roman" w:hAnsi="Times New Roman"/>
          <w:sz w:val="24"/>
          <w:szCs w:val="24"/>
        </w:rPr>
        <w:t>Bank,</w:t>
      </w:r>
      <w:r w:rsidRPr="00A37B23">
        <w:rPr>
          <w:rFonts w:ascii="Times New Roman" w:hAnsi="Times New Roman"/>
          <w:sz w:val="24"/>
          <w:szCs w:val="24"/>
        </w:rPr>
        <w:t xml:space="preserve"> (2012). </w:t>
      </w:r>
      <w:r w:rsidRPr="00A37B23">
        <w:rPr>
          <w:rFonts w:ascii="Times New Roman" w:hAnsi="Times New Roman"/>
          <w:iCs/>
          <w:sz w:val="24"/>
          <w:szCs w:val="24"/>
        </w:rPr>
        <w:t>Global financial development report 2013: Rethinking the role of the state in finance</w:t>
      </w:r>
      <w:r w:rsidRPr="00A37B23">
        <w:rPr>
          <w:rFonts w:ascii="Times New Roman" w:hAnsi="Times New Roman"/>
          <w:sz w:val="24"/>
          <w:szCs w:val="24"/>
        </w:rPr>
        <w:t xml:space="preserve">. </w:t>
      </w:r>
      <w:r w:rsidRPr="00A37B23">
        <w:rPr>
          <w:rFonts w:ascii="Times New Roman" w:hAnsi="Times New Roman"/>
          <w:i/>
          <w:sz w:val="24"/>
          <w:szCs w:val="24"/>
        </w:rPr>
        <w:t xml:space="preserve">Washington, DC, World Bank </w:t>
      </w:r>
      <w:hyperlink r:id="rId71" w:history="1">
        <w:r w:rsidR="00DC3001" w:rsidRPr="00A37B23">
          <w:rPr>
            <w:rStyle w:val="Hyperlink"/>
            <w:rFonts w:ascii="Times New Roman" w:hAnsi="Times New Roman"/>
            <w:i/>
            <w:color w:val="auto"/>
            <w:sz w:val="24"/>
            <w:szCs w:val="24"/>
          </w:rPr>
          <w:t>http://www.worldbank.org/financialdevelopment</w:t>
        </w:r>
      </w:hyperlink>
      <w:r w:rsidRPr="00A37B23">
        <w:rPr>
          <w:rFonts w:ascii="Times New Roman" w:hAnsi="Times New Roman"/>
          <w:i/>
          <w:sz w:val="24"/>
          <w:szCs w:val="24"/>
        </w:rPr>
        <w:t>)</w:t>
      </w:r>
    </w:p>
    <w:p w14:paraId="5F339FC6" w14:textId="09E466E2" w:rsidR="00AF4A35" w:rsidRPr="00A37B23" w:rsidRDefault="00430DAF" w:rsidP="0015709E">
      <w:pPr>
        <w:spacing w:before="240" w:after="0" w:line="240" w:lineRule="auto"/>
        <w:rPr>
          <w:rFonts w:ascii="Times New Roman" w:hAnsi="Times New Roman"/>
          <w:sz w:val="24"/>
          <w:szCs w:val="24"/>
        </w:rPr>
      </w:pPr>
      <w:r w:rsidRPr="00A37B23">
        <w:rPr>
          <w:rFonts w:ascii="Times New Roman" w:hAnsi="Times New Roman"/>
          <w:sz w:val="24"/>
          <w:szCs w:val="24"/>
        </w:rPr>
        <w:t>Wuave, T., Yua, H., and Yua, P.M. (2020).  Effect of Liquidity Management On The Financial</w:t>
      </w:r>
      <w:r w:rsidR="0015709E">
        <w:rPr>
          <w:rFonts w:ascii="Times New Roman" w:hAnsi="Times New Roman"/>
          <w:sz w:val="24"/>
          <w:szCs w:val="24"/>
        </w:rPr>
        <w:t xml:space="preserve"> </w:t>
      </w:r>
      <w:r w:rsidRPr="00A37B23">
        <w:rPr>
          <w:rFonts w:ascii="Times New Roman" w:hAnsi="Times New Roman"/>
          <w:sz w:val="24"/>
          <w:szCs w:val="24"/>
        </w:rPr>
        <w:t xml:space="preserve">Performance Of Banks In Nigeria, </w:t>
      </w:r>
      <w:r w:rsidRPr="00A37B23">
        <w:rPr>
          <w:rFonts w:ascii="Times New Roman" w:hAnsi="Times New Roman"/>
          <w:i/>
          <w:sz w:val="24"/>
          <w:szCs w:val="24"/>
        </w:rPr>
        <w:t>European Journal of Business and Innovation</w:t>
      </w:r>
      <w:r w:rsidR="0015709E">
        <w:rPr>
          <w:rFonts w:ascii="Times New Roman" w:hAnsi="Times New Roman"/>
          <w:i/>
          <w:sz w:val="24"/>
          <w:szCs w:val="24"/>
        </w:rPr>
        <w:t xml:space="preserve"> </w:t>
      </w:r>
      <w:r w:rsidRPr="00A37B23">
        <w:rPr>
          <w:rFonts w:ascii="Times New Roman" w:hAnsi="Times New Roman"/>
          <w:i/>
          <w:sz w:val="24"/>
          <w:szCs w:val="24"/>
        </w:rPr>
        <w:t>Research</w:t>
      </w:r>
      <w:r w:rsidRPr="00A37B23">
        <w:rPr>
          <w:rFonts w:ascii="Times New Roman" w:hAnsi="Times New Roman"/>
          <w:sz w:val="24"/>
          <w:szCs w:val="24"/>
        </w:rPr>
        <w:t>, 2(1)33-51</w:t>
      </w:r>
    </w:p>
    <w:p w14:paraId="6380CC89" w14:textId="6082A7FC" w:rsidR="00AF4A35" w:rsidRPr="00A37B23" w:rsidRDefault="00AF4A35" w:rsidP="0015709E">
      <w:pPr>
        <w:pStyle w:val="ListParagraph"/>
        <w:spacing w:before="240" w:after="0" w:line="240" w:lineRule="auto"/>
        <w:ind w:left="90"/>
        <w:rPr>
          <w:rFonts w:ascii="Times New Roman" w:hAnsi="Times New Roman"/>
          <w:sz w:val="24"/>
          <w:szCs w:val="24"/>
        </w:rPr>
      </w:pPr>
      <w:r w:rsidRPr="00A37B23">
        <w:rPr>
          <w:rFonts w:ascii="Times New Roman" w:hAnsi="Times New Roman"/>
          <w:sz w:val="24"/>
          <w:szCs w:val="24"/>
        </w:rPr>
        <w:t xml:space="preserve">Yua, H. (2025). </w:t>
      </w:r>
      <w:hyperlink r:id="rId72" w:history="1">
        <w:r w:rsidRPr="00A37B23">
          <w:rPr>
            <w:rStyle w:val="Hyperlink"/>
            <w:rFonts w:ascii="Times New Roman" w:hAnsi="Times New Roman"/>
            <w:color w:val="auto"/>
            <w:sz w:val="24"/>
            <w:szCs w:val="24"/>
            <w:u w:val="none"/>
          </w:rPr>
          <w:t xml:space="preserve">Corporate Venturing and Manufacturing Firms’ growth: Evidence from Selected Companies in the Benue </w:t>
        </w:r>
        <w:r w:rsidRPr="00A37B23">
          <w:rPr>
            <w:rStyle w:val="Hyperlink"/>
            <w:rFonts w:ascii="Times New Roman" w:hAnsi="Times New Roman"/>
            <w:color w:val="auto"/>
            <w:sz w:val="24"/>
            <w:szCs w:val="24"/>
            <w:u w:val="none"/>
          </w:rPr>
          <w:lastRenderedPageBreak/>
          <w:t>State</w:t>
        </w:r>
      </w:hyperlink>
      <w:r w:rsidRPr="00A37B23">
        <w:rPr>
          <w:rFonts w:ascii="Times New Roman" w:hAnsi="Times New Roman"/>
          <w:sz w:val="24"/>
          <w:szCs w:val="24"/>
        </w:rPr>
        <w:t xml:space="preserve">, </w:t>
      </w:r>
      <w:r w:rsidRPr="00A37B23">
        <w:rPr>
          <w:rFonts w:ascii="Times New Roman" w:hAnsi="Times New Roman"/>
          <w:i/>
          <w:iCs/>
          <w:sz w:val="24"/>
          <w:szCs w:val="24"/>
        </w:rPr>
        <w:t>World Journal of Entrepreneurial Development Studies</w:t>
      </w:r>
      <w:r w:rsidRPr="00A37B23">
        <w:rPr>
          <w:rFonts w:ascii="Times New Roman" w:hAnsi="Times New Roman"/>
          <w:sz w:val="24"/>
          <w:szCs w:val="24"/>
        </w:rPr>
        <w:t xml:space="preserve"> 10(2), 132-157</w:t>
      </w:r>
    </w:p>
    <w:p w14:paraId="7B0B76EA" w14:textId="63FECDDF" w:rsidR="00B30006" w:rsidRPr="00A37B23" w:rsidRDefault="00F121E0" w:rsidP="0015709E">
      <w:pPr>
        <w:spacing w:before="240" w:after="0" w:line="240" w:lineRule="auto"/>
        <w:rPr>
          <w:rFonts w:ascii="Times New Roman" w:hAnsi="Times New Roman"/>
          <w:sz w:val="24"/>
          <w:szCs w:val="24"/>
        </w:rPr>
      </w:pPr>
      <w:bookmarkStart w:id="12" w:name="_Hlk197797505"/>
      <w:r w:rsidRPr="00A37B23">
        <w:rPr>
          <w:rFonts w:ascii="Times New Roman" w:hAnsi="Times New Roman"/>
          <w:sz w:val="24"/>
          <w:szCs w:val="24"/>
          <w:shd w:val="clear" w:color="auto" w:fill="FFFFFF"/>
        </w:rPr>
        <w:t>Yua,</w:t>
      </w:r>
      <w:r w:rsidR="00B30006" w:rsidRPr="00A37B23">
        <w:rPr>
          <w:rFonts w:ascii="Times New Roman" w:hAnsi="Times New Roman"/>
          <w:sz w:val="24"/>
          <w:szCs w:val="24"/>
          <w:shd w:val="clear" w:color="auto" w:fill="FFFFFF"/>
        </w:rPr>
        <w:t xml:space="preserve"> H., &amp; </w:t>
      </w:r>
      <w:r w:rsidRPr="00A37B23">
        <w:rPr>
          <w:rFonts w:ascii="Times New Roman" w:hAnsi="Times New Roman"/>
          <w:sz w:val="24"/>
          <w:szCs w:val="24"/>
          <w:shd w:val="clear" w:color="auto" w:fill="FFFFFF"/>
        </w:rPr>
        <w:t>Temitope,</w:t>
      </w:r>
      <w:r w:rsidR="00B30006" w:rsidRPr="00A37B23">
        <w:rPr>
          <w:rFonts w:ascii="Times New Roman" w:hAnsi="Times New Roman"/>
          <w:sz w:val="24"/>
          <w:szCs w:val="24"/>
          <w:shd w:val="clear" w:color="auto" w:fill="FFFFFF"/>
        </w:rPr>
        <w:t xml:space="preserve"> A. O. (2024)</w:t>
      </w:r>
      <w:bookmarkEnd w:id="12"/>
      <w:r w:rsidR="00B30006" w:rsidRPr="00A37B23">
        <w:rPr>
          <w:rFonts w:ascii="Times New Roman" w:hAnsi="Times New Roman"/>
          <w:sz w:val="24"/>
          <w:szCs w:val="24"/>
          <w:shd w:val="clear" w:color="auto" w:fill="FFFFFF"/>
        </w:rPr>
        <w:t xml:space="preserve">. Effect Of Risk Management </w:t>
      </w:r>
      <w:r w:rsidRPr="00A37B23">
        <w:rPr>
          <w:rFonts w:ascii="Times New Roman" w:hAnsi="Times New Roman"/>
          <w:sz w:val="24"/>
          <w:szCs w:val="24"/>
          <w:shd w:val="clear" w:color="auto" w:fill="FFFFFF"/>
        </w:rPr>
        <w:t>on</w:t>
      </w:r>
      <w:r w:rsidR="00B30006" w:rsidRPr="00A37B23">
        <w:rPr>
          <w:rFonts w:ascii="Times New Roman" w:hAnsi="Times New Roman"/>
          <w:sz w:val="24"/>
          <w:szCs w:val="24"/>
          <w:shd w:val="clear" w:color="auto" w:fill="FFFFFF"/>
        </w:rPr>
        <w:t xml:space="preserve"> Financial Institutions </w:t>
      </w:r>
      <w:r w:rsidR="0015709E">
        <w:rPr>
          <w:rFonts w:ascii="Times New Roman" w:hAnsi="Times New Roman"/>
          <w:sz w:val="24"/>
          <w:szCs w:val="24"/>
          <w:shd w:val="clear" w:color="auto" w:fill="FFFFFF"/>
        </w:rPr>
        <w:t>i</w:t>
      </w:r>
      <w:r w:rsidR="00B30006" w:rsidRPr="00A37B23">
        <w:rPr>
          <w:rFonts w:ascii="Times New Roman" w:hAnsi="Times New Roman"/>
          <w:sz w:val="24"/>
          <w:szCs w:val="24"/>
          <w:shd w:val="clear" w:color="auto" w:fill="FFFFFF"/>
        </w:rPr>
        <w:t>n</w:t>
      </w:r>
      <w:r w:rsidR="0015709E">
        <w:rPr>
          <w:rFonts w:ascii="Times New Roman" w:hAnsi="Times New Roman"/>
          <w:sz w:val="24"/>
          <w:szCs w:val="24"/>
          <w:shd w:val="clear" w:color="auto" w:fill="FFFFFF"/>
        </w:rPr>
        <w:t xml:space="preserve"> </w:t>
      </w:r>
      <w:r w:rsidR="00B30006" w:rsidRPr="00A37B23">
        <w:rPr>
          <w:rFonts w:ascii="Times New Roman" w:hAnsi="Times New Roman"/>
          <w:sz w:val="24"/>
          <w:szCs w:val="24"/>
          <w:shd w:val="clear" w:color="auto" w:fill="FFFFFF"/>
        </w:rPr>
        <w:t xml:space="preserve">Sub-Saharan Africa: A Critical Review </w:t>
      </w:r>
      <w:r w:rsidRPr="00A37B23">
        <w:rPr>
          <w:rFonts w:ascii="Times New Roman" w:hAnsi="Times New Roman"/>
          <w:sz w:val="24"/>
          <w:szCs w:val="24"/>
          <w:shd w:val="clear" w:color="auto" w:fill="FFFFFF"/>
        </w:rPr>
        <w:t>of</w:t>
      </w:r>
      <w:r w:rsidR="00B30006" w:rsidRPr="00A37B23">
        <w:rPr>
          <w:rFonts w:ascii="Times New Roman" w:hAnsi="Times New Roman"/>
          <w:sz w:val="24"/>
          <w:szCs w:val="24"/>
          <w:shd w:val="clear" w:color="auto" w:fill="FFFFFF"/>
        </w:rPr>
        <w:t xml:space="preserve"> Nigeria </w:t>
      </w:r>
      <w:r w:rsidRPr="00A37B23">
        <w:rPr>
          <w:rFonts w:ascii="Times New Roman" w:hAnsi="Times New Roman"/>
          <w:sz w:val="24"/>
          <w:szCs w:val="24"/>
          <w:shd w:val="clear" w:color="auto" w:fill="FFFFFF"/>
        </w:rPr>
        <w:t>and</w:t>
      </w:r>
      <w:r w:rsidR="00B30006" w:rsidRPr="00A37B23">
        <w:rPr>
          <w:rFonts w:ascii="Times New Roman" w:hAnsi="Times New Roman"/>
          <w:sz w:val="24"/>
          <w:szCs w:val="24"/>
          <w:shd w:val="clear" w:color="auto" w:fill="FFFFFF"/>
        </w:rPr>
        <w:t xml:space="preserve"> Mozambique. </w:t>
      </w:r>
      <w:r w:rsidR="00B30006" w:rsidRPr="00A37B23">
        <w:rPr>
          <w:rFonts w:ascii="Times New Roman" w:hAnsi="Times New Roman"/>
          <w:i/>
          <w:iCs/>
          <w:sz w:val="24"/>
          <w:szCs w:val="24"/>
          <w:shd w:val="clear" w:color="auto" w:fill="FFFFFF"/>
        </w:rPr>
        <w:t>British International Journal of Applied Economics, Finance and Accounting</w:t>
      </w:r>
      <w:r w:rsidR="00B30006" w:rsidRPr="00A37B23">
        <w:rPr>
          <w:rFonts w:ascii="Times New Roman" w:hAnsi="Times New Roman"/>
          <w:sz w:val="24"/>
          <w:szCs w:val="24"/>
          <w:shd w:val="clear" w:color="auto" w:fill="FFFFFF"/>
        </w:rPr>
        <w:t>, </w:t>
      </w:r>
      <w:r w:rsidR="00B30006" w:rsidRPr="00A37B23">
        <w:rPr>
          <w:rFonts w:ascii="Times New Roman" w:hAnsi="Times New Roman"/>
          <w:i/>
          <w:iCs/>
          <w:sz w:val="24"/>
          <w:szCs w:val="24"/>
          <w:shd w:val="clear" w:color="auto" w:fill="FFFFFF"/>
        </w:rPr>
        <w:t>8</w:t>
      </w:r>
      <w:r w:rsidR="00B30006" w:rsidRPr="00A37B23">
        <w:rPr>
          <w:rFonts w:ascii="Times New Roman" w:hAnsi="Times New Roman"/>
          <w:sz w:val="24"/>
          <w:szCs w:val="24"/>
          <w:shd w:val="clear" w:color="auto" w:fill="FFFFFF"/>
        </w:rPr>
        <w:t xml:space="preserve">(3), 59–79. Retrieved from </w:t>
      </w:r>
      <w:r w:rsidR="00B30006" w:rsidRPr="00A37B23">
        <w:rPr>
          <w:rFonts w:ascii="Times New Roman" w:hAnsi="Times New Roman"/>
          <w:sz w:val="24"/>
          <w:szCs w:val="24"/>
          <w:shd w:val="clear" w:color="auto" w:fill="FFFFFF"/>
        </w:rPr>
        <w:t>https://aspjournals.org/Journals/index.php/bijaefa/article/view/673</w:t>
      </w:r>
    </w:p>
    <w:p w14:paraId="644E9EBA" w14:textId="4342B1B3" w:rsidR="00DC3001" w:rsidRPr="00A37B23" w:rsidRDefault="00DC3001" w:rsidP="0015709E">
      <w:pPr>
        <w:spacing w:before="240" w:after="0" w:line="240" w:lineRule="auto"/>
        <w:rPr>
          <w:rFonts w:ascii="Times New Roman" w:hAnsi="Times New Roman"/>
          <w:sz w:val="24"/>
          <w:szCs w:val="24"/>
          <w:shd w:val="clear" w:color="auto" w:fill="FFFFFF"/>
        </w:rPr>
      </w:pPr>
      <w:r w:rsidRPr="00A37B23">
        <w:rPr>
          <w:rFonts w:ascii="Times New Roman" w:hAnsi="Times New Roman"/>
          <w:sz w:val="24"/>
          <w:szCs w:val="24"/>
          <w:shd w:val="clear" w:color="auto" w:fill="FFFFFF"/>
        </w:rPr>
        <w:t>Yua, H., Epor, S.O., and Utor V., (2023). The Sway of Financial Markets on Economic Growth:</w:t>
      </w:r>
      <w:r w:rsidR="0015709E">
        <w:rPr>
          <w:rFonts w:ascii="Times New Roman" w:hAnsi="Times New Roman"/>
          <w:sz w:val="24"/>
          <w:szCs w:val="24"/>
          <w:shd w:val="clear" w:color="auto" w:fill="FFFFFF"/>
        </w:rPr>
        <w:t xml:space="preserve"> </w:t>
      </w:r>
      <w:r w:rsidRPr="00A37B23">
        <w:rPr>
          <w:rFonts w:ascii="Times New Roman" w:hAnsi="Times New Roman"/>
          <w:sz w:val="24"/>
          <w:szCs w:val="24"/>
          <w:shd w:val="clear" w:color="auto" w:fill="FFFFFF"/>
        </w:rPr>
        <w:t xml:space="preserve">Evidence from Nigerian Stock Exchange, </w:t>
      </w:r>
      <w:r w:rsidRPr="00A37B23">
        <w:rPr>
          <w:rFonts w:ascii="Times New Roman" w:hAnsi="Times New Roman"/>
          <w:i/>
          <w:sz w:val="24"/>
          <w:szCs w:val="24"/>
          <w:shd w:val="clear" w:color="auto" w:fill="FFFFFF"/>
        </w:rPr>
        <w:t xml:space="preserve">Development Multidisciplinary international Journal </w:t>
      </w:r>
      <w:r w:rsidRPr="00A37B23">
        <w:rPr>
          <w:rFonts w:ascii="Times New Roman" w:hAnsi="Times New Roman"/>
          <w:sz w:val="24"/>
          <w:szCs w:val="24"/>
          <w:shd w:val="clear" w:color="auto" w:fill="FFFFFF"/>
        </w:rPr>
        <w:t>7(1), 84 – 92</w:t>
      </w:r>
    </w:p>
    <w:p w14:paraId="26CC1C54" w14:textId="77777777" w:rsidR="00A37B23" w:rsidRDefault="00A37B23" w:rsidP="00C45F51">
      <w:pPr>
        <w:autoSpaceDE w:val="0"/>
        <w:autoSpaceDN w:val="0"/>
        <w:adjustRightInd w:val="0"/>
        <w:spacing w:after="0" w:line="240" w:lineRule="auto"/>
        <w:ind w:left="720"/>
        <w:jc w:val="both"/>
        <w:rPr>
          <w:rFonts w:ascii="Times New Roman" w:hAnsi="Times New Roman"/>
          <w:sz w:val="24"/>
          <w:szCs w:val="24"/>
        </w:rPr>
        <w:sectPr w:rsidR="00A37B23" w:rsidSect="00A37B23">
          <w:type w:val="continuous"/>
          <w:pgSz w:w="12240" w:h="15840"/>
          <w:pgMar w:top="1135" w:right="1440" w:bottom="1440" w:left="1440" w:header="720" w:footer="720" w:gutter="0"/>
          <w:cols w:num="2" w:space="720"/>
          <w:docGrid w:linePitch="360"/>
        </w:sectPr>
      </w:pPr>
    </w:p>
    <w:p w14:paraId="372C3AE9" w14:textId="77777777" w:rsidR="00DC3001" w:rsidRPr="007258C6" w:rsidRDefault="00DC3001" w:rsidP="00C45F51">
      <w:pPr>
        <w:autoSpaceDE w:val="0"/>
        <w:autoSpaceDN w:val="0"/>
        <w:adjustRightInd w:val="0"/>
        <w:spacing w:after="0" w:line="240" w:lineRule="auto"/>
        <w:ind w:left="720"/>
        <w:jc w:val="both"/>
        <w:rPr>
          <w:rFonts w:ascii="Times New Roman" w:hAnsi="Times New Roman"/>
          <w:sz w:val="24"/>
          <w:szCs w:val="24"/>
        </w:rPr>
      </w:pPr>
    </w:p>
    <w:p w14:paraId="36DCC15B" w14:textId="77777777" w:rsidR="00D31621" w:rsidRPr="003E7D4D" w:rsidRDefault="00D31621" w:rsidP="00C45F51">
      <w:pPr>
        <w:spacing w:after="0" w:line="240" w:lineRule="auto"/>
        <w:jc w:val="both"/>
        <w:rPr>
          <w:rFonts w:ascii="Times New Roman" w:hAnsi="Times New Roman"/>
          <w:bCs/>
          <w:sz w:val="24"/>
          <w:szCs w:val="24"/>
        </w:rPr>
      </w:pPr>
    </w:p>
    <w:sectPr w:rsidR="00D31621" w:rsidRPr="003E7D4D" w:rsidSect="004267E7">
      <w:type w:val="continuous"/>
      <w:pgSz w:w="12240" w:h="15840"/>
      <w:pgMar w:top="1135"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Source Sans Pro">
    <w:altName w:val="Times New Roman"/>
    <w:charset w:val="00"/>
    <w:family w:val="swiss"/>
    <w:pitch w:val="variable"/>
    <w:sig w:usb0="600002F7" w:usb1="02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B7476"/>
    <w:multiLevelType w:val="multilevel"/>
    <w:tmpl w:val="6A1ACAC0"/>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A4531B5"/>
    <w:multiLevelType w:val="multilevel"/>
    <w:tmpl w:val="454CFA24"/>
    <w:lvl w:ilvl="0">
      <w:start w:val="1"/>
      <w:numFmt w:val="decimal"/>
      <w:lvlText w:val="%1"/>
      <w:lvlJc w:val="left"/>
      <w:pPr>
        <w:ind w:left="360" w:hanging="360"/>
      </w:pPr>
      <w:rPr>
        <w:rFonts w:hint="default"/>
      </w:rPr>
    </w:lvl>
    <w:lvl w:ilvl="1">
      <w:start w:val="6"/>
      <w:numFmt w:val="decimal"/>
      <w:lvlText w:val="%1.%2"/>
      <w:lvlJc w:val="left"/>
      <w:pPr>
        <w:ind w:left="90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D6752C5"/>
    <w:multiLevelType w:val="multilevel"/>
    <w:tmpl w:val="6BD8B836"/>
    <w:lvl w:ilvl="0">
      <w:start w:val="1"/>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EF46182"/>
    <w:multiLevelType w:val="multilevel"/>
    <w:tmpl w:val="16CA8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FF6552"/>
    <w:multiLevelType w:val="hybridMultilevel"/>
    <w:tmpl w:val="5EDCB3EA"/>
    <w:lvl w:ilvl="0" w:tplc="F46C5904">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DA56A6"/>
    <w:multiLevelType w:val="hybridMultilevel"/>
    <w:tmpl w:val="B2747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37521DD"/>
    <w:multiLevelType w:val="multilevel"/>
    <w:tmpl w:val="C3FC27B0"/>
    <w:lvl w:ilvl="0">
      <w:start w:val="4"/>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5C847D5"/>
    <w:multiLevelType w:val="hybridMultilevel"/>
    <w:tmpl w:val="030C3DFA"/>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8" w15:restartNumberingAfterBreak="0">
    <w:nsid w:val="168806A7"/>
    <w:multiLevelType w:val="hybridMultilevel"/>
    <w:tmpl w:val="C0D2AB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85A6018"/>
    <w:multiLevelType w:val="multilevel"/>
    <w:tmpl w:val="6F0A5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BBD49CA"/>
    <w:multiLevelType w:val="multilevel"/>
    <w:tmpl w:val="232EF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1DA725A"/>
    <w:multiLevelType w:val="multilevel"/>
    <w:tmpl w:val="2DF6AA84"/>
    <w:lvl w:ilvl="0">
      <w:start w:val="1"/>
      <w:numFmt w:val="decimal"/>
      <w:lvlText w:val="%1."/>
      <w:lvlJc w:val="left"/>
      <w:pPr>
        <w:ind w:left="1080" w:hanging="360"/>
      </w:pPr>
      <w:rPr>
        <w:rFonts w:cs="Times New Roman" w:hint="default"/>
      </w:rPr>
    </w:lvl>
    <w:lvl w:ilvl="1">
      <w:start w:val="2"/>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12" w15:restartNumberingAfterBreak="0">
    <w:nsid w:val="2E0F23F0"/>
    <w:multiLevelType w:val="hybridMultilevel"/>
    <w:tmpl w:val="314A5A42"/>
    <w:lvl w:ilvl="0" w:tplc="2544F21E">
      <w:start w:val="1"/>
      <w:numFmt w:val="lowerRoman"/>
      <w:lvlText w:val="%1."/>
      <w:lvlJc w:val="left"/>
      <w:pPr>
        <w:ind w:left="1080" w:hanging="72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0671987"/>
    <w:multiLevelType w:val="hybridMultilevel"/>
    <w:tmpl w:val="A6D85010"/>
    <w:lvl w:ilvl="0" w:tplc="DB40E90A">
      <w:start w:val="1"/>
      <w:numFmt w:val="lowerRoman"/>
      <w:lvlText w:val="%1."/>
      <w:lvlJc w:val="left"/>
      <w:pPr>
        <w:ind w:left="1080" w:hanging="72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5E4339C"/>
    <w:multiLevelType w:val="multilevel"/>
    <w:tmpl w:val="3A38C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6312E22"/>
    <w:multiLevelType w:val="hybridMultilevel"/>
    <w:tmpl w:val="2A50AED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74D38E0"/>
    <w:multiLevelType w:val="multilevel"/>
    <w:tmpl w:val="5E2410BC"/>
    <w:lvl w:ilvl="0">
      <w:start w:val="2"/>
      <w:numFmt w:val="decimal"/>
      <w:lvlText w:val="%1"/>
      <w:lvlJc w:val="left"/>
      <w:pPr>
        <w:ind w:left="480" w:hanging="480"/>
      </w:pPr>
      <w:rPr>
        <w:rFonts w:hint="default"/>
        <w:b/>
      </w:rPr>
    </w:lvl>
    <w:lvl w:ilvl="1">
      <w:start w:val="3"/>
      <w:numFmt w:val="decimal"/>
      <w:lvlText w:val="%1.%2"/>
      <w:lvlJc w:val="left"/>
      <w:pPr>
        <w:ind w:left="480" w:hanging="48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7" w15:restartNumberingAfterBreak="0">
    <w:nsid w:val="401F376C"/>
    <w:multiLevelType w:val="hybridMultilevel"/>
    <w:tmpl w:val="C1FEA34A"/>
    <w:lvl w:ilvl="0" w:tplc="F5EE77BC">
      <w:start w:val="1"/>
      <w:numFmt w:val="lowerRoman"/>
      <w:lvlText w:val="%1."/>
      <w:lvlJc w:val="left"/>
      <w:pPr>
        <w:ind w:left="1080" w:hanging="72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8" w15:restartNumberingAfterBreak="0">
    <w:nsid w:val="410C2357"/>
    <w:multiLevelType w:val="hybridMultilevel"/>
    <w:tmpl w:val="B70E1E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1825828"/>
    <w:multiLevelType w:val="multilevel"/>
    <w:tmpl w:val="4094EC3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3C655B0"/>
    <w:multiLevelType w:val="multilevel"/>
    <w:tmpl w:val="2152A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4CB6FBC"/>
    <w:multiLevelType w:val="multilevel"/>
    <w:tmpl w:val="A1142460"/>
    <w:lvl w:ilvl="0">
      <w:start w:val="2"/>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2" w15:restartNumberingAfterBreak="0">
    <w:nsid w:val="45BF62E0"/>
    <w:multiLevelType w:val="multilevel"/>
    <w:tmpl w:val="E76CC1C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45CA1457"/>
    <w:multiLevelType w:val="hybridMultilevel"/>
    <w:tmpl w:val="C58ACB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AB42935"/>
    <w:multiLevelType w:val="hybridMultilevel"/>
    <w:tmpl w:val="63D8C13A"/>
    <w:lvl w:ilvl="0" w:tplc="7146F236">
      <w:start w:val="1"/>
      <w:numFmt w:val="lowerRoman"/>
      <w:lvlText w:val="%1."/>
      <w:lvlJc w:val="left"/>
      <w:pPr>
        <w:ind w:left="1260" w:hanging="360"/>
      </w:pPr>
      <w:rPr>
        <w:rFonts w:ascii="Times New Roman" w:eastAsia="Times New Roman"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4AD46C6B"/>
    <w:multiLevelType w:val="multilevel"/>
    <w:tmpl w:val="307A1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13949AA"/>
    <w:multiLevelType w:val="multilevel"/>
    <w:tmpl w:val="7F903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4FA4187"/>
    <w:multiLevelType w:val="multilevel"/>
    <w:tmpl w:val="1A44F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5B11F74"/>
    <w:multiLevelType w:val="hybridMultilevel"/>
    <w:tmpl w:val="C6949480"/>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591261AE"/>
    <w:multiLevelType w:val="hybridMultilevel"/>
    <w:tmpl w:val="46EC3946"/>
    <w:lvl w:ilvl="0" w:tplc="C1F8D95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5A122C35"/>
    <w:multiLevelType w:val="multilevel"/>
    <w:tmpl w:val="4E081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3627CA4"/>
    <w:multiLevelType w:val="multilevel"/>
    <w:tmpl w:val="E7AAEA2C"/>
    <w:lvl w:ilvl="0">
      <w:start w:val="1"/>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68844C8F"/>
    <w:multiLevelType w:val="hybridMultilevel"/>
    <w:tmpl w:val="47AAC66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E7307CF"/>
    <w:multiLevelType w:val="hybridMultilevel"/>
    <w:tmpl w:val="B76068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746A57B6"/>
    <w:multiLevelType w:val="hybridMultilevel"/>
    <w:tmpl w:val="7A5EED46"/>
    <w:lvl w:ilvl="0" w:tplc="9EF0D7E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9CF4BE6"/>
    <w:multiLevelType w:val="multilevel"/>
    <w:tmpl w:val="FC20FC12"/>
    <w:lvl w:ilvl="0">
      <w:start w:val="4"/>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437871107">
    <w:abstractNumId w:val="13"/>
  </w:num>
  <w:num w:numId="2" w16cid:durableId="1131099168">
    <w:abstractNumId w:val="17"/>
  </w:num>
  <w:num w:numId="3" w16cid:durableId="1954286956">
    <w:abstractNumId w:val="22"/>
  </w:num>
  <w:num w:numId="4" w16cid:durableId="952445157">
    <w:abstractNumId w:val="1"/>
  </w:num>
  <w:num w:numId="5" w16cid:durableId="1256939701">
    <w:abstractNumId w:val="18"/>
  </w:num>
  <w:num w:numId="6" w16cid:durableId="1278178883">
    <w:abstractNumId w:val="0"/>
  </w:num>
  <w:num w:numId="7" w16cid:durableId="789906136">
    <w:abstractNumId w:val="21"/>
  </w:num>
  <w:num w:numId="8" w16cid:durableId="191236595">
    <w:abstractNumId w:val="4"/>
  </w:num>
  <w:num w:numId="9" w16cid:durableId="1119758855">
    <w:abstractNumId w:val="30"/>
  </w:num>
  <w:num w:numId="10" w16cid:durableId="1254972723">
    <w:abstractNumId w:val="26"/>
  </w:num>
  <w:num w:numId="11" w16cid:durableId="938872163">
    <w:abstractNumId w:val="14"/>
  </w:num>
  <w:num w:numId="12" w16cid:durableId="1498182440">
    <w:abstractNumId w:val="25"/>
  </w:num>
  <w:num w:numId="13" w16cid:durableId="1450777054">
    <w:abstractNumId w:val="9"/>
  </w:num>
  <w:num w:numId="14" w16cid:durableId="1302812190">
    <w:abstractNumId w:val="20"/>
  </w:num>
  <w:num w:numId="15" w16cid:durableId="992298747">
    <w:abstractNumId w:val="19"/>
  </w:num>
  <w:num w:numId="16" w16cid:durableId="139005001">
    <w:abstractNumId w:val="27"/>
  </w:num>
  <w:num w:numId="17" w16cid:durableId="458957160">
    <w:abstractNumId w:val="2"/>
  </w:num>
  <w:num w:numId="18" w16cid:durableId="1683049002">
    <w:abstractNumId w:val="31"/>
  </w:num>
  <w:num w:numId="19" w16cid:durableId="863984380">
    <w:abstractNumId w:val="12"/>
  </w:num>
  <w:num w:numId="20" w16cid:durableId="1780445545">
    <w:abstractNumId w:val="15"/>
  </w:num>
  <w:num w:numId="21" w16cid:durableId="220798190">
    <w:abstractNumId w:val="33"/>
  </w:num>
  <w:num w:numId="22" w16cid:durableId="2018995018">
    <w:abstractNumId w:val="35"/>
  </w:num>
  <w:num w:numId="23" w16cid:durableId="1039742991">
    <w:abstractNumId w:val="6"/>
  </w:num>
  <w:num w:numId="24" w16cid:durableId="1540505178">
    <w:abstractNumId w:val="11"/>
  </w:num>
  <w:num w:numId="25" w16cid:durableId="1508522575">
    <w:abstractNumId w:val="24"/>
  </w:num>
  <w:num w:numId="26" w16cid:durableId="429738701">
    <w:abstractNumId w:val="34"/>
  </w:num>
  <w:num w:numId="27" w16cid:durableId="1410039145">
    <w:abstractNumId w:val="28"/>
  </w:num>
  <w:num w:numId="28" w16cid:durableId="520971023">
    <w:abstractNumId w:val="7"/>
  </w:num>
  <w:num w:numId="29" w16cid:durableId="638191392">
    <w:abstractNumId w:val="10"/>
  </w:num>
  <w:num w:numId="30" w16cid:durableId="2022001911">
    <w:abstractNumId w:val="16"/>
  </w:num>
  <w:num w:numId="31" w16cid:durableId="1069617689">
    <w:abstractNumId w:val="3"/>
  </w:num>
  <w:num w:numId="32" w16cid:durableId="646011230">
    <w:abstractNumId w:val="32"/>
  </w:num>
  <w:num w:numId="33" w16cid:durableId="2059355885">
    <w:abstractNumId w:val="29"/>
  </w:num>
  <w:num w:numId="34" w16cid:durableId="1839495526">
    <w:abstractNumId w:val="8"/>
  </w:num>
  <w:num w:numId="35" w16cid:durableId="1648896594">
    <w:abstractNumId w:val="23"/>
  </w:num>
  <w:num w:numId="36" w16cid:durableId="2572551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240861"/>
    <w:rsid w:val="0000545C"/>
    <w:rsid w:val="0002608C"/>
    <w:rsid w:val="00026DB7"/>
    <w:rsid w:val="00060910"/>
    <w:rsid w:val="0008607B"/>
    <w:rsid w:val="000A1A7B"/>
    <w:rsid w:val="000C162B"/>
    <w:rsid w:val="000E1ABB"/>
    <w:rsid w:val="00100B99"/>
    <w:rsid w:val="00110235"/>
    <w:rsid w:val="0015709E"/>
    <w:rsid w:val="00160C06"/>
    <w:rsid w:val="00173197"/>
    <w:rsid w:val="0018522C"/>
    <w:rsid w:val="00190544"/>
    <w:rsid w:val="0019693F"/>
    <w:rsid w:val="00196EFE"/>
    <w:rsid w:val="001A6D06"/>
    <w:rsid w:val="001B57A8"/>
    <w:rsid w:val="001C0323"/>
    <w:rsid w:val="00231A19"/>
    <w:rsid w:val="00235BEB"/>
    <w:rsid w:val="00240861"/>
    <w:rsid w:val="0025624C"/>
    <w:rsid w:val="00257076"/>
    <w:rsid w:val="0026073B"/>
    <w:rsid w:val="002765FC"/>
    <w:rsid w:val="0028709F"/>
    <w:rsid w:val="00303B4A"/>
    <w:rsid w:val="003361AF"/>
    <w:rsid w:val="00341371"/>
    <w:rsid w:val="0034770F"/>
    <w:rsid w:val="003506FF"/>
    <w:rsid w:val="0038701A"/>
    <w:rsid w:val="00390B64"/>
    <w:rsid w:val="003910A5"/>
    <w:rsid w:val="003D500A"/>
    <w:rsid w:val="003E7FEF"/>
    <w:rsid w:val="003F12D0"/>
    <w:rsid w:val="004267E7"/>
    <w:rsid w:val="00430DAF"/>
    <w:rsid w:val="00446DDA"/>
    <w:rsid w:val="004501BD"/>
    <w:rsid w:val="00452AAD"/>
    <w:rsid w:val="004A6109"/>
    <w:rsid w:val="004A7F0A"/>
    <w:rsid w:val="004B0ECD"/>
    <w:rsid w:val="004B2DF9"/>
    <w:rsid w:val="004D3A7F"/>
    <w:rsid w:val="004E3352"/>
    <w:rsid w:val="00515ECE"/>
    <w:rsid w:val="00517636"/>
    <w:rsid w:val="00542C01"/>
    <w:rsid w:val="00543A5A"/>
    <w:rsid w:val="00546994"/>
    <w:rsid w:val="00584DA9"/>
    <w:rsid w:val="005C691B"/>
    <w:rsid w:val="005D0ADD"/>
    <w:rsid w:val="005E1237"/>
    <w:rsid w:val="005F1037"/>
    <w:rsid w:val="00616588"/>
    <w:rsid w:val="00617D69"/>
    <w:rsid w:val="00630E6C"/>
    <w:rsid w:val="0064082A"/>
    <w:rsid w:val="00696059"/>
    <w:rsid w:val="0069714C"/>
    <w:rsid w:val="006C38A7"/>
    <w:rsid w:val="006C4B46"/>
    <w:rsid w:val="006C4E55"/>
    <w:rsid w:val="00706764"/>
    <w:rsid w:val="007258C6"/>
    <w:rsid w:val="00727298"/>
    <w:rsid w:val="00727464"/>
    <w:rsid w:val="00731E30"/>
    <w:rsid w:val="00743BF1"/>
    <w:rsid w:val="0077475D"/>
    <w:rsid w:val="007B430D"/>
    <w:rsid w:val="007B7A87"/>
    <w:rsid w:val="007C0724"/>
    <w:rsid w:val="007C0F23"/>
    <w:rsid w:val="007D6A14"/>
    <w:rsid w:val="007E7490"/>
    <w:rsid w:val="00802410"/>
    <w:rsid w:val="00812AD2"/>
    <w:rsid w:val="008339B3"/>
    <w:rsid w:val="0084665B"/>
    <w:rsid w:val="00855800"/>
    <w:rsid w:val="00877D65"/>
    <w:rsid w:val="008A2FA8"/>
    <w:rsid w:val="008A7BD2"/>
    <w:rsid w:val="008F615E"/>
    <w:rsid w:val="008F6E85"/>
    <w:rsid w:val="008F74D5"/>
    <w:rsid w:val="008F7E3E"/>
    <w:rsid w:val="00903DA1"/>
    <w:rsid w:val="0090759E"/>
    <w:rsid w:val="0091109F"/>
    <w:rsid w:val="00921751"/>
    <w:rsid w:val="00925719"/>
    <w:rsid w:val="00952187"/>
    <w:rsid w:val="009633F3"/>
    <w:rsid w:val="009A18A2"/>
    <w:rsid w:val="009A1C60"/>
    <w:rsid w:val="009C669D"/>
    <w:rsid w:val="00A216EF"/>
    <w:rsid w:val="00A323E8"/>
    <w:rsid w:val="00A37B23"/>
    <w:rsid w:val="00A4482A"/>
    <w:rsid w:val="00A60C71"/>
    <w:rsid w:val="00A70DA0"/>
    <w:rsid w:val="00AB1022"/>
    <w:rsid w:val="00AB1DCE"/>
    <w:rsid w:val="00AB1E85"/>
    <w:rsid w:val="00AB7663"/>
    <w:rsid w:val="00AB7897"/>
    <w:rsid w:val="00AD25CA"/>
    <w:rsid w:val="00AE2CDA"/>
    <w:rsid w:val="00AF4A35"/>
    <w:rsid w:val="00AF630A"/>
    <w:rsid w:val="00AF73FA"/>
    <w:rsid w:val="00B170F0"/>
    <w:rsid w:val="00B30006"/>
    <w:rsid w:val="00B47A1A"/>
    <w:rsid w:val="00B53A9E"/>
    <w:rsid w:val="00B65A5F"/>
    <w:rsid w:val="00B7727E"/>
    <w:rsid w:val="00BA4733"/>
    <w:rsid w:val="00BA50AD"/>
    <w:rsid w:val="00BD7074"/>
    <w:rsid w:val="00BE5E40"/>
    <w:rsid w:val="00C213FA"/>
    <w:rsid w:val="00C26BB0"/>
    <w:rsid w:val="00C379F7"/>
    <w:rsid w:val="00C431A7"/>
    <w:rsid w:val="00C45F51"/>
    <w:rsid w:val="00C91887"/>
    <w:rsid w:val="00CA7F87"/>
    <w:rsid w:val="00CD468D"/>
    <w:rsid w:val="00CE2574"/>
    <w:rsid w:val="00CE5C19"/>
    <w:rsid w:val="00CE60BB"/>
    <w:rsid w:val="00CE74A1"/>
    <w:rsid w:val="00D31621"/>
    <w:rsid w:val="00D61225"/>
    <w:rsid w:val="00D715A1"/>
    <w:rsid w:val="00D73063"/>
    <w:rsid w:val="00D73E58"/>
    <w:rsid w:val="00D84B8D"/>
    <w:rsid w:val="00D85C55"/>
    <w:rsid w:val="00DA6EBA"/>
    <w:rsid w:val="00DB4E00"/>
    <w:rsid w:val="00DB5DF9"/>
    <w:rsid w:val="00DC3001"/>
    <w:rsid w:val="00DC525D"/>
    <w:rsid w:val="00E22C05"/>
    <w:rsid w:val="00E259AC"/>
    <w:rsid w:val="00E313AB"/>
    <w:rsid w:val="00E35C5F"/>
    <w:rsid w:val="00E46214"/>
    <w:rsid w:val="00E55DAA"/>
    <w:rsid w:val="00E613A1"/>
    <w:rsid w:val="00E85502"/>
    <w:rsid w:val="00EA61DE"/>
    <w:rsid w:val="00EA7F85"/>
    <w:rsid w:val="00EB1CA2"/>
    <w:rsid w:val="00EC6B12"/>
    <w:rsid w:val="00ED524D"/>
    <w:rsid w:val="00EE0D18"/>
    <w:rsid w:val="00F121E0"/>
    <w:rsid w:val="00F133F4"/>
    <w:rsid w:val="00F15AD2"/>
    <w:rsid w:val="00F20D56"/>
    <w:rsid w:val="00F325EB"/>
    <w:rsid w:val="00F33309"/>
    <w:rsid w:val="00F33812"/>
    <w:rsid w:val="00F60300"/>
    <w:rsid w:val="00F6239D"/>
    <w:rsid w:val="00F6672E"/>
    <w:rsid w:val="00F93934"/>
    <w:rsid w:val="00F9478C"/>
    <w:rsid w:val="00FA23C0"/>
    <w:rsid w:val="00FA2A72"/>
    <w:rsid w:val="00FC2605"/>
    <w:rsid w:val="00FC6110"/>
    <w:rsid w:val="00FC765F"/>
    <w:rsid w:val="00FE7764"/>
    <w:rsid w:val="00FF3C8D"/>
    <w:rsid w:val="00FF6DD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D961B6"/>
  <w15:docId w15:val="{53CCD451-A378-4DF1-921B-C97FF7B83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rPr>
    </w:rPrDefault>
    <w:pPrDefault>
      <w:pPr>
        <w:spacing w:line="260" w:lineRule="exact"/>
        <w:ind w:right="288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0861"/>
    <w:pPr>
      <w:spacing w:after="200" w:line="276" w:lineRule="auto"/>
      <w:ind w:right="0"/>
      <w:jc w:val="left"/>
    </w:pPr>
    <w:rPr>
      <w:rFonts w:ascii="Calibri" w:eastAsia="Calibri" w:hAnsi="Calibri" w:cs="Times New Roman"/>
      <w:kern w:val="0"/>
    </w:rPr>
  </w:style>
  <w:style w:type="paragraph" w:styleId="Heading1">
    <w:name w:val="heading 1"/>
    <w:basedOn w:val="Normal"/>
    <w:next w:val="Normal"/>
    <w:link w:val="Heading1Char"/>
    <w:uiPriority w:val="9"/>
    <w:qFormat/>
    <w:rsid w:val="00F133F4"/>
    <w:pPr>
      <w:keepNext/>
      <w:spacing w:before="240" w:after="60"/>
      <w:outlineLvl w:val="0"/>
    </w:pPr>
    <w:rPr>
      <w:rFonts w:ascii="Cambria" w:eastAsia="Times New Roman"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240861"/>
    <w:pPr>
      <w:ind w:left="720"/>
      <w:contextualSpacing/>
    </w:pPr>
  </w:style>
  <w:style w:type="character" w:customStyle="1" w:styleId="Heading1Char">
    <w:name w:val="Heading 1 Char"/>
    <w:basedOn w:val="DefaultParagraphFont"/>
    <w:link w:val="Heading1"/>
    <w:uiPriority w:val="9"/>
    <w:rsid w:val="00F133F4"/>
    <w:rPr>
      <w:rFonts w:ascii="Cambria" w:eastAsia="Times New Roman" w:hAnsi="Cambria" w:cs="Times New Roman"/>
      <w:b/>
      <w:bCs/>
      <w:kern w:val="32"/>
      <w:sz w:val="32"/>
      <w:szCs w:val="32"/>
    </w:rPr>
  </w:style>
  <w:style w:type="paragraph" w:styleId="Footer">
    <w:name w:val="footer"/>
    <w:basedOn w:val="Normal"/>
    <w:link w:val="FooterChar"/>
    <w:uiPriority w:val="99"/>
    <w:unhideWhenUsed/>
    <w:rsid w:val="00F133F4"/>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33F4"/>
    <w:rPr>
      <w:rFonts w:ascii="Calibri" w:eastAsia="Calibri" w:hAnsi="Calibri" w:cs="Times New Roman"/>
      <w:kern w:val="0"/>
    </w:rPr>
  </w:style>
  <w:style w:type="character" w:styleId="Hyperlink">
    <w:name w:val="Hyperlink"/>
    <w:uiPriority w:val="99"/>
    <w:unhideWhenUsed/>
    <w:rsid w:val="00F133F4"/>
    <w:rPr>
      <w:color w:val="0000FF"/>
      <w:u w:val="single"/>
    </w:rPr>
  </w:style>
  <w:style w:type="paragraph" w:styleId="Header">
    <w:name w:val="header"/>
    <w:basedOn w:val="Normal"/>
    <w:link w:val="HeaderChar"/>
    <w:uiPriority w:val="99"/>
    <w:semiHidden/>
    <w:unhideWhenUsed/>
    <w:rsid w:val="00F133F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F133F4"/>
    <w:rPr>
      <w:rFonts w:ascii="Calibri" w:eastAsia="Calibri" w:hAnsi="Calibri" w:cs="Times New Roman"/>
      <w:kern w:val="0"/>
    </w:rPr>
  </w:style>
  <w:style w:type="paragraph" w:customStyle="1" w:styleId="Default">
    <w:name w:val="Default"/>
    <w:rsid w:val="00F133F4"/>
    <w:pPr>
      <w:autoSpaceDE w:val="0"/>
      <w:autoSpaceDN w:val="0"/>
      <w:adjustRightInd w:val="0"/>
      <w:spacing w:line="240" w:lineRule="auto"/>
      <w:ind w:right="0"/>
      <w:jc w:val="left"/>
    </w:pPr>
    <w:rPr>
      <w:rFonts w:ascii="Times New Roman" w:eastAsia="Calibri" w:hAnsi="Times New Roman" w:cs="Times New Roman"/>
      <w:color w:val="000000"/>
      <w:kern w:val="0"/>
      <w:sz w:val="24"/>
      <w:szCs w:val="24"/>
      <w:lang w:val="en-GB"/>
    </w:rPr>
  </w:style>
  <w:style w:type="paragraph" w:styleId="BalloonText">
    <w:name w:val="Balloon Text"/>
    <w:basedOn w:val="Normal"/>
    <w:link w:val="BalloonTextChar"/>
    <w:uiPriority w:val="99"/>
    <w:semiHidden/>
    <w:unhideWhenUsed/>
    <w:rsid w:val="00F133F4"/>
    <w:pPr>
      <w:spacing w:after="0" w:line="240" w:lineRule="auto"/>
    </w:pPr>
    <w:rPr>
      <w:rFonts w:ascii="Tahoma" w:hAnsi="Tahoma"/>
      <w:sz w:val="16"/>
      <w:szCs w:val="16"/>
    </w:rPr>
  </w:style>
  <w:style w:type="character" w:customStyle="1" w:styleId="BalloonTextChar">
    <w:name w:val="Balloon Text Char"/>
    <w:basedOn w:val="DefaultParagraphFont"/>
    <w:link w:val="BalloonText"/>
    <w:uiPriority w:val="99"/>
    <w:semiHidden/>
    <w:rsid w:val="00F133F4"/>
    <w:rPr>
      <w:rFonts w:ascii="Tahoma" w:eastAsia="Calibri" w:hAnsi="Tahoma" w:cs="Times New Roman"/>
      <w:kern w:val="0"/>
      <w:sz w:val="16"/>
      <w:szCs w:val="16"/>
    </w:rPr>
  </w:style>
  <w:style w:type="character" w:customStyle="1" w:styleId="highlight">
    <w:name w:val="highlight"/>
    <w:rsid w:val="00F133F4"/>
  </w:style>
  <w:style w:type="paragraph" w:styleId="NoSpacing">
    <w:name w:val="No Spacing"/>
    <w:uiPriority w:val="1"/>
    <w:qFormat/>
    <w:rsid w:val="00F133F4"/>
    <w:pPr>
      <w:spacing w:line="240" w:lineRule="auto"/>
      <w:ind w:right="0"/>
      <w:jc w:val="left"/>
    </w:pPr>
    <w:rPr>
      <w:rFonts w:ascii="Calibri" w:eastAsia="Calibri" w:hAnsi="Calibri" w:cs="Times New Roman"/>
      <w:kern w:val="0"/>
      <w:lang w:val="en-ZA"/>
    </w:rPr>
  </w:style>
  <w:style w:type="character" w:customStyle="1" w:styleId="bodycopy1">
    <w:name w:val="bodycopy1"/>
    <w:rsid w:val="00F133F4"/>
    <w:rPr>
      <w:rFonts w:ascii="Verdana" w:hAnsi="Verdana" w:hint="default"/>
      <w:color w:val="000000"/>
      <w:sz w:val="17"/>
      <w:szCs w:val="17"/>
    </w:rPr>
  </w:style>
  <w:style w:type="character" w:styleId="CommentReference">
    <w:name w:val="annotation reference"/>
    <w:uiPriority w:val="99"/>
    <w:semiHidden/>
    <w:unhideWhenUsed/>
    <w:rsid w:val="00F133F4"/>
    <w:rPr>
      <w:sz w:val="16"/>
      <w:szCs w:val="16"/>
    </w:rPr>
  </w:style>
  <w:style w:type="paragraph" w:styleId="CommentText">
    <w:name w:val="annotation text"/>
    <w:basedOn w:val="Normal"/>
    <w:link w:val="CommentTextChar"/>
    <w:uiPriority w:val="99"/>
    <w:semiHidden/>
    <w:unhideWhenUsed/>
    <w:rsid w:val="00F133F4"/>
    <w:rPr>
      <w:sz w:val="20"/>
      <w:szCs w:val="20"/>
    </w:rPr>
  </w:style>
  <w:style w:type="character" w:customStyle="1" w:styleId="CommentTextChar">
    <w:name w:val="Comment Text Char"/>
    <w:basedOn w:val="DefaultParagraphFont"/>
    <w:link w:val="CommentText"/>
    <w:uiPriority w:val="99"/>
    <w:semiHidden/>
    <w:rsid w:val="00F133F4"/>
    <w:rPr>
      <w:rFonts w:ascii="Calibri" w:eastAsia="Calibri" w:hAnsi="Calibri" w:cs="Times New Roman"/>
      <w:kern w:val="0"/>
      <w:sz w:val="20"/>
      <w:szCs w:val="20"/>
    </w:rPr>
  </w:style>
  <w:style w:type="paragraph" w:styleId="CommentSubject">
    <w:name w:val="annotation subject"/>
    <w:basedOn w:val="CommentText"/>
    <w:next w:val="CommentText"/>
    <w:link w:val="CommentSubjectChar"/>
    <w:uiPriority w:val="99"/>
    <w:semiHidden/>
    <w:unhideWhenUsed/>
    <w:rsid w:val="00F133F4"/>
    <w:rPr>
      <w:b/>
      <w:bCs/>
    </w:rPr>
  </w:style>
  <w:style w:type="character" w:customStyle="1" w:styleId="CommentSubjectChar">
    <w:name w:val="Comment Subject Char"/>
    <w:basedOn w:val="CommentTextChar"/>
    <w:link w:val="CommentSubject"/>
    <w:uiPriority w:val="99"/>
    <w:semiHidden/>
    <w:rsid w:val="00F133F4"/>
    <w:rPr>
      <w:rFonts w:ascii="Calibri" w:eastAsia="Calibri" w:hAnsi="Calibri" w:cs="Times New Roman"/>
      <w:b/>
      <w:bCs/>
      <w:kern w:val="0"/>
      <w:sz w:val="20"/>
      <w:szCs w:val="20"/>
    </w:rPr>
  </w:style>
  <w:style w:type="paragraph" w:styleId="NormalWeb">
    <w:name w:val="Normal (Web)"/>
    <w:basedOn w:val="Normal"/>
    <w:uiPriority w:val="99"/>
    <w:unhideWhenUsed/>
    <w:rsid w:val="00F133F4"/>
    <w:pPr>
      <w:spacing w:before="100" w:beforeAutospacing="1" w:after="100" w:afterAutospacing="1" w:line="240" w:lineRule="auto"/>
    </w:pPr>
    <w:rPr>
      <w:rFonts w:ascii="Times New Roman" w:eastAsia="Times New Roman" w:hAnsi="Times New Roman"/>
      <w:sz w:val="24"/>
      <w:szCs w:val="24"/>
    </w:rPr>
  </w:style>
  <w:style w:type="character" w:customStyle="1" w:styleId="ff3">
    <w:name w:val="ff3"/>
    <w:rsid w:val="00F133F4"/>
  </w:style>
  <w:style w:type="table" w:styleId="TableGrid">
    <w:name w:val="Table Grid"/>
    <w:basedOn w:val="TableNormal"/>
    <w:uiPriority w:val="59"/>
    <w:rsid w:val="00F133F4"/>
    <w:pPr>
      <w:spacing w:line="240" w:lineRule="auto"/>
      <w:ind w:right="0"/>
      <w:jc w:val="left"/>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1">
    <w:name w:val="a1"/>
    <w:rsid w:val="00F133F4"/>
    <w:rPr>
      <w:rFonts w:ascii="Times New Roman" w:hAnsi="Times New Roman" w:cs="Times New Roman" w:hint="default"/>
      <w:b w:val="0"/>
      <w:bCs w:val="0"/>
      <w:i w:val="0"/>
      <w:iCs w:val="0"/>
      <w:bdr w:val="none" w:sz="0" w:space="0" w:color="auto" w:frame="1"/>
    </w:rPr>
  </w:style>
  <w:style w:type="character" w:customStyle="1" w:styleId="l62">
    <w:name w:val="l62"/>
    <w:rsid w:val="00F133F4"/>
    <w:rPr>
      <w:rFonts w:ascii="Times New Roman" w:hAnsi="Times New Roman" w:cs="Times New Roman" w:hint="default"/>
      <w:b w:val="0"/>
      <w:bCs w:val="0"/>
      <w:i w:val="0"/>
      <w:iCs w:val="0"/>
      <w:vanish w:val="0"/>
      <w:webHidden w:val="0"/>
      <w:bdr w:val="none" w:sz="0" w:space="0" w:color="auto" w:frame="1"/>
      <w:specVanish w:val="0"/>
    </w:rPr>
  </w:style>
  <w:style w:type="character" w:customStyle="1" w:styleId="l72">
    <w:name w:val="l72"/>
    <w:rsid w:val="00F133F4"/>
    <w:rPr>
      <w:rFonts w:ascii="Times New Roman" w:hAnsi="Times New Roman" w:cs="Times New Roman" w:hint="default"/>
      <w:b w:val="0"/>
      <w:bCs w:val="0"/>
      <w:i w:val="0"/>
      <w:iCs w:val="0"/>
      <w:vanish w:val="0"/>
      <w:webHidden w:val="0"/>
      <w:bdr w:val="none" w:sz="0" w:space="0" w:color="auto" w:frame="1"/>
      <w:specVanish w:val="0"/>
    </w:rPr>
  </w:style>
  <w:style w:type="character" w:styleId="Strong">
    <w:name w:val="Strong"/>
    <w:basedOn w:val="DefaultParagraphFont"/>
    <w:uiPriority w:val="22"/>
    <w:qFormat/>
    <w:rsid w:val="0028709F"/>
    <w:rPr>
      <w:b/>
      <w:bCs/>
    </w:rPr>
  </w:style>
  <w:style w:type="paragraph" w:styleId="Title">
    <w:name w:val="Title"/>
    <w:basedOn w:val="Normal"/>
    <w:next w:val="Normal"/>
    <w:link w:val="TitleChar"/>
    <w:uiPriority w:val="10"/>
    <w:qFormat/>
    <w:rsid w:val="007258C6"/>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7258C6"/>
    <w:rPr>
      <w:rFonts w:asciiTheme="majorHAnsi" w:eastAsiaTheme="majorEastAsia" w:hAnsiTheme="majorHAnsi" w:cstheme="majorBidi"/>
      <w:color w:val="323E4F"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948276">
      <w:bodyDiv w:val="1"/>
      <w:marLeft w:val="0"/>
      <w:marRight w:val="0"/>
      <w:marTop w:val="0"/>
      <w:marBottom w:val="0"/>
      <w:divBdr>
        <w:top w:val="none" w:sz="0" w:space="0" w:color="auto"/>
        <w:left w:val="none" w:sz="0" w:space="0" w:color="auto"/>
        <w:bottom w:val="none" w:sz="0" w:space="0" w:color="auto"/>
        <w:right w:val="none" w:sz="0" w:space="0" w:color="auto"/>
      </w:divBdr>
    </w:div>
    <w:div w:id="110319912">
      <w:bodyDiv w:val="1"/>
      <w:marLeft w:val="0"/>
      <w:marRight w:val="0"/>
      <w:marTop w:val="0"/>
      <w:marBottom w:val="0"/>
      <w:divBdr>
        <w:top w:val="none" w:sz="0" w:space="0" w:color="auto"/>
        <w:left w:val="none" w:sz="0" w:space="0" w:color="auto"/>
        <w:bottom w:val="none" w:sz="0" w:space="0" w:color="auto"/>
        <w:right w:val="none" w:sz="0" w:space="0" w:color="auto"/>
      </w:divBdr>
    </w:div>
    <w:div w:id="287584916">
      <w:bodyDiv w:val="1"/>
      <w:marLeft w:val="0"/>
      <w:marRight w:val="0"/>
      <w:marTop w:val="0"/>
      <w:marBottom w:val="0"/>
      <w:divBdr>
        <w:top w:val="none" w:sz="0" w:space="0" w:color="auto"/>
        <w:left w:val="none" w:sz="0" w:space="0" w:color="auto"/>
        <w:bottom w:val="none" w:sz="0" w:space="0" w:color="auto"/>
        <w:right w:val="none" w:sz="0" w:space="0" w:color="auto"/>
      </w:divBdr>
    </w:div>
    <w:div w:id="298462603">
      <w:bodyDiv w:val="1"/>
      <w:marLeft w:val="0"/>
      <w:marRight w:val="0"/>
      <w:marTop w:val="0"/>
      <w:marBottom w:val="0"/>
      <w:divBdr>
        <w:top w:val="none" w:sz="0" w:space="0" w:color="auto"/>
        <w:left w:val="none" w:sz="0" w:space="0" w:color="auto"/>
        <w:bottom w:val="none" w:sz="0" w:space="0" w:color="auto"/>
        <w:right w:val="none" w:sz="0" w:space="0" w:color="auto"/>
      </w:divBdr>
    </w:div>
    <w:div w:id="396317995">
      <w:bodyDiv w:val="1"/>
      <w:marLeft w:val="0"/>
      <w:marRight w:val="0"/>
      <w:marTop w:val="0"/>
      <w:marBottom w:val="0"/>
      <w:divBdr>
        <w:top w:val="none" w:sz="0" w:space="0" w:color="auto"/>
        <w:left w:val="none" w:sz="0" w:space="0" w:color="auto"/>
        <w:bottom w:val="none" w:sz="0" w:space="0" w:color="auto"/>
        <w:right w:val="none" w:sz="0" w:space="0" w:color="auto"/>
      </w:divBdr>
    </w:div>
    <w:div w:id="680543186">
      <w:bodyDiv w:val="1"/>
      <w:marLeft w:val="0"/>
      <w:marRight w:val="0"/>
      <w:marTop w:val="0"/>
      <w:marBottom w:val="0"/>
      <w:divBdr>
        <w:top w:val="none" w:sz="0" w:space="0" w:color="auto"/>
        <w:left w:val="none" w:sz="0" w:space="0" w:color="auto"/>
        <w:bottom w:val="none" w:sz="0" w:space="0" w:color="auto"/>
        <w:right w:val="none" w:sz="0" w:space="0" w:color="auto"/>
      </w:divBdr>
    </w:div>
    <w:div w:id="720137081">
      <w:bodyDiv w:val="1"/>
      <w:marLeft w:val="0"/>
      <w:marRight w:val="0"/>
      <w:marTop w:val="0"/>
      <w:marBottom w:val="0"/>
      <w:divBdr>
        <w:top w:val="none" w:sz="0" w:space="0" w:color="auto"/>
        <w:left w:val="none" w:sz="0" w:space="0" w:color="auto"/>
        <w:bottom w:val="none" w:sz="0" w:space="0" w:color="auto"/>
        <w:right w:val="none" w:sz="0" w:space="0" w:color="auto"/>
      </w:divBdr>
    </w:div>
    <w:div w:id="786391073">
      <w:bodyDiv w:val="1"/>
      <w:marLeft w:val="0"/>
      <w:marRight w:val="0"/>
      <w:marTop w:val="0"/>
      <w:marBottom w:val="0"/>
      <w:divBdr>
        <w:top w:val="none" w:sz="0" w:space="0" w:color="auto"/>
        <w:left w:val="none" w:sz="0" w:space="0" w:color="auto"/>
        <w:bottom w:val="none" w:sz="0" w:space="0" w:color="auto"/>
        <w:right w:val="none" w:sz="0" w:space="0" w:color="auto"/>
      </w:divBdr>
    </w:div>
    <w:div w:id="800659898">
      <w:bodyDiv w:val="1"/>
      <w:marLeft w:val="0"/>
      <w:marRight w:val="0"/>
      <w:marTop w:val="0"/>
      <w:marBottom w:val="0"/>
      <w:divBdr>
        <w:top w:val="none" w:sz="0" w:space="0" w:color="auto"/>
        <w:left w:val="none" w:sz="0" w:space="0" w:color="auto"/>
        <w:bottom w:val="none" w:sz="0" w:space="0" w:color="auto"/>
        <w:right w:val="none" w:sz="0" w:space="0" w:color="auto"/>
      </w:divBdr>
    </w:div>
    <w:div w:id="898903032">
      <w:bodyDiv w:val="1"/>
      <w:marLeft w:val="0"/>
      <w:marRight w:val="0"/>
      <w:marTop w:val="0"/>
      <w:marBottom w:val="0"/>
      <w:divBdr>
        <w:top w:val="none" w:sz="0" w:space="0" w:color="auto"/>
        <w:left w:val="none" w:sz="0" w:space="0" w:color="auto"/>
        <w:bottom w:val="none" w:sz="0" w:space="0" w:color="auto"/>
        <w:right w:val="none" w:sz="0" w:space="0" w:color="auto"/>
      </w:divBdr>
    </w:div>
    <w:div w:id="980309190">
      <w:bodyDiv w:val="1"/>
      <w:marLeft w:val="0"/>
      <w:marRight w:val="0"/>
      <w:marTop w:val="0"/>
      <w:marBottom w:val="0"/>
      <w:divBdr>
        <w:top w:val="none" w:sz="0" w:space="0" w:color="auto"/>
        <w:left w:val="none" w:sz="0" w:space="0" w:color="auto"/>
        <w:bottom w:val="none" w:sz="0" w:space="0" w:color="auto"/>
        <w:right w:val="none" w:sz="0" w:space="0" w:color="auto"/>
      </w:divBdr>
    </w:div>
    <w:div w:id="980767612">
      <w:bodyDiv w:val="1"/>
      <w:marLeft w:val="0"/>
      <w:marRight w:val="0"/>
      <w:marTop w:val="0"/>
      <w:marBottom w:val="0"/>
      <w:divBdr>
        <w:top w:val="none" w:sz="0" w:space="0" w:color="auto"/>
        <w:left w:val="none" w:sz="0" w:space="0" w:color="auto"/>
        <w:bottom w:val="none" w:sz="0" w:space="0" w:color="auto"/>
        <w:right w:val="none" w:sz="0" w:space="0" w:color="auto"/>
      </w:divBdr>
    </w:div>
    <w:div w:id="1218080865">
      <w:bodyDiv w:val="1"/>
      <w:marLeft w:val="0"/>
      <w:marRight w:val="0"/>
      <w:marTop w:val="0"/>
      <w:marBottom w:val="0"/>
      <w:divBdr>
        <w:top w:val="none" w:sz="0" w:space="0" w:color="auto"/>
        <w:left w:val="none" w:sz="0" w:space="0" w:color="auto"/>
        <w:bottom w:val="none" w:sz="0" w:space="0" w:color="auto"/>
        <w:right w:val="none" w:sz="0" w:space="0" w:color="auto"/>
      </w:divBdr>
    </w:div>
    <w:div w:id="1324432274">
      <w:bodyDiv w:val="1"/>
      <w:marLeft w:val="0"/>
      <w:marRight w:val="0"/>
      <w:marTop w:val="0"/>
      <w:marBottom w:val="0"/>
      <w:divBdr>
        <w:top w:val="none" w:sz="0" w:space="0" w:color="auto"/>
        <w:left w:val="none" w:sz="0" w:space="0" w:color="auto"/>
        <w:bottom w:val="none" w:sz="0" w:space="0" w:color="auto"/>
        <w:right w:val="none" w:sz="0" w:space="0" w:color="auto"/>
      </w:divBdr>
    </w:div>
    <w:div w:id="1420524244">
      <w:bodyDiv w:val="1"/>
      <w:marLeft w:val="0"/>
      <w:marRight w:val="0"/>
      <w:marTop w:val="0"/>
      <w:marBottom w:val="0"/>
      <w:divBdr>
        <w:top w:val="none" w:sz="0" w:space="0" w:color="auto"/>
        <w:left w:val="none" w:sz="0" w:space="0" w:color="auto"/>
        <w:bottom w:val="none" w:sz="0" w:space="0" w:color="auto"/>
        <w:right w:val="none" w:sz="0" w:space="0" w:color="auto"/>
      </w:divBdr>
    </w:div>
    <w:div w:id="1424034289">
      <w:bodyDiv w:val="1"/>
      <w:marLeft w:val="0"/>
      <w:marRight w:val="0"/>
      <w:marTop w:val="0"/>
      <w:marBottom w:val="0"/>
      <w:divBdr>
        <w:top w:val="none" w:sz="0" w:space="0" w:color="auto"/>
        <w:left w:val="none" w:sz="0" w:space="0" w:color="auto"/>
        <w:bottom w:val="none" w:sz="0" w:space="0" w:color="auto"/>
        <w:right w:val="none" w:sz="0" w:space="0" w:color="auto"/>
      </w:divBdr>
    </w:div>
    <w:div w:id="1429691718">
      <w:bodyDiv w:val="1"/>
      <w:marLeft w:val="0"/>
      <w:marRight w:val="0"/>
      <w:marTop w:val="0"/>
      <w:marBottom w:val="0"/>
      <w:divBdr>
        <w:top w:val="none" w:sz="0" w:space="0" w:color="auto"/>
        <w:left w:val="none" w:sz="0" w:space="0" w:color="auto"/>
        <w:bottom w:val="none" w:sz="0" w:space="0" w:color="auto"/>
        <w:right w:val="none" w:sz="0" w:space="0" w:color="auto"/>
      </w:divBdr>
    </w:div>
    <w:div w:id="1660424203">
      <w:bodyDiv w:val="1"/>
      <w:marLeft w:val="0"/>
      <w:marRight w:val="0"/>
      <w:marTop w:val="0"/>
      <w:marBottom w:val="0"/>
      <w:divBdr>
        <w:top w:val="none" w:sz="0" w:space="0" w:color="auto"/>
        <w:left w:val="none" w:sz="0" w:space="0" w:color="auto"/>
        <w:bottom w:val="none" w:sz="0" w:space="0" w:color="auto"/>
        <w:right w:val="none" w:sz="0" w:space="0" w:color="auto"/>
      </w:divBdr>
    </w:div>
    <w:div w:id="1741519500">
      <w:bodyDiv w:val="1"/>
      <w:marLeft w:val="0"/>
      <w:marRight w:val="0"/>
      <w:marTop w:val="0"/>
      <w:marBottom w:val="0"/>
      <w:divBdr>
        <w:top w:val="none" w:sz="0" w:space="0" w:color="auto"/>
        <w:left w:val="none" w:sz="0" w:space="0" w:color="auto"/>
        <w:bottom w:val="none" w:sz="0" w:space="0" w:color="auto"/>
        <w:right w:val="none" w:sz="0" w:space="0" w:color="auto"/>
      </w:divBdr>
    </w:div>
    <w:div w:id="1816990981">
      <w:bodyDiv w:val="1"/>
      <w:marLeft w:val="0"/>
      <w:marRight w:val="0"/>
      <w:marTop w:val="0"/>
      <w:marBottom w:val="0"/>
      <w:divBdr>
        <w:top w:val="none" w:sz="0" w:space="0" w:color="auto"/>
        <w:left w:val="none" w:sz="0" w:space="0" w:color="auto"/>
        <w:bottom w:val="none" w:sz="0" w:space="0" w:color="auto"/>
        <w:right w:val="none" w:sz="0" w:space="0" w:color="auto"/>
      </w:divBdr>
    </w:div>
    <w:div w:id="1857385403">
      <w:bodyDiv w:val="1"/>
      <w:marLeft w:val="0"/>
      <w:marRight w:val="0"/>
      <w:marTop w:val="0"/>
      <w:marBottom w:val="0"/>
      <w:divBdr>
        <w:top w:val="none" w:sz="0" w:space="0" w:color="auto"/>
        <w:left w:val="none" w:sz="0" w:space="0" w:color="auto"/>
        <w:bottom w:val="none" w:sz="0" w:space="0" w:color="auto"/>
        <w:right w:val="none" w:sz="0" w:space="0" w:color="auto"/>
      </w:divBdr>
    </w:div>
    <w:div w:id="1926722987">
      <w:bodyDiv w:val="1"/>
      <w:marLeft w:val="0"/>
      <w:marRight w:val="0"/>
      <w:marTop w:val="0"/>
      <w:marBottom w:val="0"/>
      <w:divBdr>
        <w:top w:val="none" w:sz="0" w:space="0" w:color="auto"/>
        <w:left w:val="none" w:sz="0" w:space="0" w:color="auto"/>
        <w:bottom w:val="none" w:sz="0" w:space="0" w:color="auto"/>
        <w:right w:val="none" w:sz="0" w:space="0" w:color="auto"/>
      </w:divBdr>
    </w:div>
    <w:div w:id="2051225316">
      <w:bodyDiv w:val="1"/>
      <w:marLeft w:val="0"/>
      <w:marRight w:val="0"/>
      <w:marTop w:val="0"/>
      <w:marBottom w:val="0"/>
      <w:divBdr>
        <w:top w:val="none" w:sz="0" w:space="0" w:color="auto"/>
        <w:left w:val="none" w:sz="0" w:space="0" w:color="auto"/>
        <w:bottom w:val="none" w:sz="0" w:space="0" w:color="auto"/>
        <w:right w:val="none" w:sz="0" w:space="0" w:color="auto"/>
      </w:divBdr>
    </w:div>
    <w:div w:id="2063401485">
      <w:bodyDiv w:val="1"/>
      <w:marLeft w:val="0"/>
      <w:marRight w:val="0"/>
      <w:marTop w:val="0"/>
      <w:marBottom w:val="0"/>
      <w:divBdr>
        <w:top w:val="none" w:sz="0" w:space="0" w:color="auto"/>
        <w:left w:val="none" w:sz="0" w:space="0" w:color="auto"/>
        <w:bottom w:val="none" w:sz="0" w:space="0" w:color="auto"/>
        <w:right w:val="none" w:sz="0" w:space="0" w:color="auto"/>
      </w:divBdr>
    </w:div>
    <w:div w:id="2069183610">
      <w:bodyDiv w:val="1"/>
      <w:marLeft w:val="0"/>
      <w:marRight w:val="0"/>
      <w:marTop w:val="0"/>
      <w:marBottom w:val="0"/>
      <w:divBdr>
        <w:top w:val="none" w:sz="0" w:space="0" w:color="auto"/>
        <w:left w:val="none" w:sz="0" w:space="0" w:color="auto"/>
        <w:bottom w:val="none" w:sz="0" w:space="0" w:color="auto"/>
        <w:right w:val="none" w:sz="0" w:space="0" w:color="auto"/>
      </w:divBdr>
    </w:div>
    <w:div w:id="2101441160">
      <w:bodyDiv w:val="1"/>
      <w:marLeft w:val="0"/>
      <w:marRight w:val="0"/>
      <w:marTop w:val="0"/>
      <w:marBottom w:val="0"/>
      <w:divBdr>
        <w:top w:val="none" w:sz="0" w:space="0" w:color="auto"/>
        <w:left w:val="none" w:sz="0" w:space="0" w:color="auto"/>
        <w:bottom w:val="none" w:sz="0" w:space="0" w:color="auto"/>
        <w:right w:val="none" w:sz="0" w:space="0" w:color="auto"/>
      </w:divBdr>
    </w:div>
    <w:div w:id="2117866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wmf"/><Relationship Id="rId21" Type="http://schemas.openxmlformats.org/officeDocument/2006/relationships/oleObject" Target="embeddings/oleObject8.bin"/><Relationship Id="rId42" Type="http://schemas.openxmlformats.org/officeDocument/2006/relationships/oleObject" Target="embeddings/oleObject20.bin"/><Relationship Id="rId47" Type="http://schemas.openxmlformats.org/officeDocument/2006/relationships/oleObject" Target="embeddings/oleObject25.bin"/><Relationship Id="rId63" Type="http://schemas.openxmlformats.org/officeDocument/2006/relationships/oleObject" Target="embeddings/oleObject39.bin"/><Relationship Id="rId68" Type="http://schemas.openxmlformats.org/officeDocument/2006/relationships/image" Target="media/image21.emf"/><Relationship Id="rId2" Type="http://schemas.openxmlformats.org/officeDocument/2006/relationships/styles" Target="styles.xml"/><Relationship Id="rId16" Type="http://schemas.openxmlformats.org/officeDocument/2006/relationships/oleObject" Target="embeddings/oleObject6.bin"/><Relationship Id="rId29" Type="http://schemas.openxmlformats.org/officeDocument/2006/relationships/oleObject" Target="embeddings/oleObject12.bin"/><Relationship Id="rId11" Type="http://schemas.openxmlformats.org/officeDocument/2006/relationships/image" Target="media/image4.wmf"/><Relationship Id="rId24" Type="http://schemas.openxmlformats.org/officeDocument/2006/relationships/image" Target="media/image10.wmf"/><Relationship Id="rId32" Type="http://schemas.openxmlformats.org/officeDocument/2006/relationships/oleObject" Target="embeddings/oleObject14.bin"/><Relationship Id="rId37" Type="http://schemas.openxmlformats.org/officeDocument/2006/relationships/image" Target="media/image15.wmf"/><Relationship Id="rId40" Type="http://schemas.openxmlformats.org/officeDocument/2006/relationships/oleObject" Target="embeddings/oleObject19.bin"/><Relationship Id="rId45" Type="http://schemas.openxmlformats.org/officeDocument/2006/relationships/oleObject" Target="embeddings/oleObject23.bin"/><Relationship Id="rId53" Type="http://schemas.openxmlformats.org/officeDocument/2006/relationships/oleObject" Target="embeddings/oleObject31.bin"/><Relationship Id="rId58" Type="http://schemas.openxmlformats.org/officeDocument/2006/relationships/oleObject" Target="embeddings/oleObject34.bin"/><Relationship Id="rId66" Type="http://schemas.openxmlformats.org/officeDocument/2006/relationships/image" Target="media/image20.emf"/><Relationship Id="rId74" Type="http://schemas.openxmlformats.org/officeDocument/2006/relationships/theme" Target="theme/theme1.xml"/><Relationship Id="rId5" Type="http://schemas.openxmlformats.org/officeDocument/2006/relationships/image" Target="media/image1.wmf"/><Relationship Id="rId61" Type="http://schemas.openxmlformats.org/officeDocument/2006/relationships/oleObject" Target="embeddings/oleObject37.bin"/><Relationship Id="rId19" Type="http://schemas.openxmlformats.org/officeDocument/2006/relationships/hyperlink" Target="https://en.wikipedia.org/wiki/Price_level" TargetMode="External"/><Relationship Id="rId14" Type="http://schemas.openxmlformats.org/officeDocument/2006/relationships/oleObject" Target="embeddings/oleObject5.bin"/><Relationship Id="rId22" Type="http://schemas.openxmlformats.org/officeDocument/2006/relationships/image" Target="media/image9.wmf"/><Relationship Id="rId27" Type="http://schemas.openxmlformats.org/officeDocument/2006/relationships/oleObject" Target="embeddings/oleObject11.bin"/><Relationship Id="rId30" Type="http://schemas.openxmlformats.org/officeDocument/2006/relationships/oleObject" Target="embeddings/oleObject13.bin"/><Relationship Id="rId35" Type="http://schemas.openxmlformats.org/officeDocument/2006/relationships/oleObject" Target="embeddings/oleObject16.bin"/><Relationship Id="rId43" Type="http://schemas.openxmlformats.org/officeDocument/2006/relationships/oleObject" Target="embeddings/oleObject21.bin"/><Relationship Id="rId48" Type="http://schemas.openxmlformats.org/officeDocument/2006/relationships/oleObject" Target="embeddings/oleObject26.bin"/><Relationship Id="rId56" Type="http://schemas.openxmlformats.org/officeDocument/2006/relationships/oleObject" Target="embeddings/oleObject33.bin"/><Relationship Id="rId64" Type="http://schemas.openxmlformats.org/officeDocument/2006/relationships/oleObject" Target="embeddings/oleObject40.bin"/><Relationship Id="rId69" Type="http://schemas.openxmlformats.org/officeDocument/2006/relationships/oleObject" Target="embeddings/oleObject43.bin"/><Relationship Id="rId8" Type="http://schemas.openxmlformats.org/officeDocument/2006/relationships/oleObject" Target="embeddings/oleObject2.bin"/><Relationship Id="rId51" Type="http://schemas.openxmlformats.org/officeDocument/2006/relationships/oleObject" Target="embeddings/oleObject29.bin"/><Relationship Id="rId72" Type="http://schemas.openxmlformats.org/officeDocument/2006/relationships/hyperlink" Target="https://scholar.google.com/scholar?oi=bibs&amp;cluster=3171559397234144700&amp;btnI=1&amp;hl=en" TargetMode="External"/><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oleObject" Target="embeddings/oleObject10.bin"/><Relationship Id="rId33" Type="http://schemas.openxmlformats.org/officeDocument/2006/relationships/image" Target="media/image14.wmf"/><Relationship Id="rId38" Type="http://schemas.openxmlformats.org/officeDocument/2006/relationships/oleObject" Target="embeddings/oleObject18.bin"/><Relationship Id="rId46" Type="http://schemas.openxmlformats.org/officeDocument/2006/relationships/oleObject" Target="embeddings/oleObject24.bin"/><Relationship Id="rId59" Type="http://schemas.openxmlformats.org/officeDocument/2006/relationships/oleObject" Target="embeddings/oleObject35.bin"/><Relationship Id="rId67" Type="http://schemas.openxmlformats.org/officeDocument/2006/relationships/oleObject" Target="embeddings/oleObject42.bin"/><Relationship Id="rId20" Type="http://schemas.openxmlformats.org/officeDocument/2006/relationships/image" Target="media/image8.wmf"/><Relationship Id="rId41" Type="http://schemas.openxmlformats.org/officeDocument/2006/relationships/image" Target="media/image17.wmf"/><Relationship Id="rId54" Type="http://schemas.openxmlformats.org/officeDocument/2006/relationships/oleObject" Target="embeddings/oleObject32.bin"/><Relationship Id="rId62" Type="http://schemas.openxmlformats.org/officeDocument/2006/relationships/oleObject" Target="embeddings/oleObject38.bin"/><Relationship Id="rId70" Type="http://schemas.openxmlformats.org/officeDocument/2006/relationships/hyperlink" Target="https://ideas.repec.org/s/ipn/panora.html" TargetMode="External"/><Relationship Id="rId1" Type="http://schemas.openxmlformats.org/officeDocument/2006/relationships/numbering" Target="numbering.xml"/><Relationship Id="rId6" Type="http://schemas.openxmlformats.org/officeDocument/2006/relationships/oleObject" Target="embeddings/oleObject1.bin"/><Relationship Id="rId15" Type="http://schemas.openxmlformats.org/officeDocument/2006/relationships/image" Target="media/image6.wmf"/><Relationship Id="rId23" Type="http://schemas.openxmlformats.org/officeDocument/2006/relationships/oleObject" Target="embeddings/oleObject9.bin"/><Relationship Id="rId28" Type="http://schemas.openxmlformats.org/officeDocument/2006/relationships/image" Target="media/image12.wmf"/><Relationship Id="rId36" Type="http://schemas.openxmlformats.org/officeDocument/2006/relationships/oleObject" Target="embeddings/oleObject17.bin"/><Relationship Id="rId49" Type="http://schemas.openxmlformats.org/officeDocument/2006/relationships/oleObject" Target="embeddings/oleObject27.bin"/><Relationship Id="rId57" Type="http://schemas.openxmlformats.org/officeDocument/2006/relationships/image" Target="media/image19.wmf"/><Relationship Id="rId10" Type="http://schemas.openxmlformats.org/officeDocument/2006/relationships/oleObject" Target="embeddings/oleObject3.bin"/><Relationship Id="rId31" Type="http://schemas.openxmlformats.org/officeDocument/2006/relationships/image" Target="media/image13.wmf"/><Relationship Id="rId44" Type="http://schemas.openxmlformats.org/officeDocument/2006/relationships/oleObject" Target="embeddings/oleObject22.bin"/><Relationship Id="rId52" Type="http://schemas.openxmlformats.org/officeDocument/2006/relationships/oleObject" Target="embeddings/oleObject30.bin"/><Relationship Id="rId60" Type="http://schemas.openxmlformats.org/officeDocument/2006/relationships/oleObject" Target="embeddings/oleObject36.bin"/><Relationship Id="rId65" Type="http://schemas.openxmlformats.org/officeDocument/2006/relationships/oleObject" Target="embeddings/oleObject41.bin"/><Relationship Id="rId73"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wmf"/><Relationship Id="rId13" Type="http://schemas.openxmlformats.org/officeDocument/2006/relationships/image" Target="media/image5.wmf"/><Relationship Id="rId18" Type="http://schemas.openxmlformats.org/officeDocument/2006/relationships/oleObject" Target="embeddings/oleObject7.bin"/><Relationship Id="rId39" Type="http://schemas.openxmlformats.org/officeDocument/2006/relationships/image" Target="media/image16.wmf"/><Relationship Id="rId34" Type="http://schemas.openxmlformats.org/officeDocument/2006/relationships/oleObject" Target="embeddings/oleObject15.bin"/><Relationship Id="rId50" Type="http://schemas.openxmlformats.org/officeDocument/2006/relationships/oleObject" Target="embeddings/oleObject28.bin"/><Relationship Id="rId55" Type="http://schemas.openxmlformats.org/officeDocument/2006/relationships/image" Target="media/image18.emf"/><Relationship Id="rId7" Type="http://schemas.openxmlformats.org/officeDocument/2006/relationships/image" Target="media/image2.wmf"/><Relationship Id="rId71" Type="http://schemas.openxmlformats.org/officeDocument/2006/relationships/hyperlink" Target="http://www.worldbank.org/financialdevelop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703</TotalTime>
  <Pages>30</Pages>
  <Words>12227</Words>
  <Characters>69700</Characters>
  <Application>Microsoft Office Word</Application>
  <DocSecurity>0</DocSecurity>
  <Lines>580</Lines>
  <Paragraphs>163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DELL</cp:lastModifiedBy>
  <cp:revision>141</cp:revision>
  <dcterms:created xsi:type="dcterms:W3CDTF">2025-04-26T12:27:00Z</dcterms:created>
  <dcterms:modified xsi:type="dcterms:W3CDTF">2025-08-29T00:47:00Z</dcterms:modified>
</cp:coreProperties>
</file>