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DD56C" w14:textId="26018104" w:rsidR="00E05C2E" w:rsidRPr="00085DAE" w:rsidRDefault="006B0625" w:rsidP="007A73BE">
      <w:pPr>
        <w:spacing w:after="0" w:line="240" w:lineRule="auto"/>
        <w:jc w:val="center"/>
        <w:rPr>
          <w:rFonts w:ascii="Times New Roman" w:hAnsi="Times New Roman"/>
          <w:b/>
          <w:color w:val="4472C4" w:themeColor="accent1"/>
          <w:sz w:val="28"/>
          <w:szCs w:val="28"/>
        </w:rPr>
      </w:pPr>
      <w:r w:rsidRPr="00085DAE">
        <w:rPr>
          <w:rFonts w:ascii="Times New Roman" w:hAnsi="Times New Roman"/>
          <w:b/>
          <w:color w:val="4472C4" w:themeColor="accent1"/>
          <w:sz w:val="28"/>
          <w:szCs w:val="28"/>
        </w:rPr>
        <w:t>OIL PRICE SHOCKS, STOCK MARKET RETURNS AND VOLATILITY IN NIGERIA: A DISAGGREGATED APPROACH</w:t>
      </w:r>
    </w:p>
    <w:p w14:paraId="5C917F80" w14:textId="469020A9" w:rsidR="00BE5E40" w:rsidRDefault="00BE5E40" w:rsidP="00085DAE">
      <w:pPr>
        <w:spacing w:after="0" w:line="240" w:lineRule="auto"/>
        <w:jc w:val="center"/>
      </w:pPr>
    </w:p>
    <w:p w14:paraId="2241BFD3" w14:textId="008BF28F" w:rsidR="00085DAE" w:rsidRPr="00085DAE" w:rsidRDefault="00085DAE" w:rsidP="00085DAE">
      <w:pPr>
        <w:spacing w:after="0" w:line="240" w:lineRule="auto"/>
        <w:jc w:val="center"/>
        <w:rPr>
          <w:rFonts w:ascii="Times New Roman" w:hAnsi="Times New Roman"/>
          <w:b/>
          <w:bCs/>
          <w:sz w:val="24"/>
          <w:szCs w:val="24"/>
        </w:rPr>
      </w:pPr>
      <w:r w:rsidRPr="00085DAE">
        <w:rPr>
          <w:rFonts w:ascii="Times New Roman" w:hAnsi="Times New Roman"/>
          <w:b/>
          <w:bCs/>
          <w:sz w:val="24"/>
          <w:szCs w:val="24"/>
        </w:rPr>
        <w:t>BY</w:t>
      </w:r>
    </w:p>
    <w:p w14:paraId="54D54796" w14:textId="07AB596A" w:rsidR="006339DF" w:rsidRPr="003E74A5" w:rsidRDefault="00085DAE" w:rsidP="006339DF">
      <w:pPr>
        <w:spacing w:after="0" w:line="240" w:lineRule="auto"/>
        <w:jc w:val="center"/>
        <w:rPr>
          <w:rFonts w:ascii="Times New Roman" w:hAnsi="Times New Roman"/>
          <w:b/>
          <w:sz w:val="24"/>
          <w:szCs w:val="24"/>
        </w:rPr>
      </w:pPr>
      <w:r w:rsidRPr="003E74A5">
        <w:rPr>
          <w:rFonts w:ascii="Times New Roman" w:hAnsi="Times New Roman"/>
          <w:b/>
          <w:sz w:val="24"/>
          <w:szCs w:val="24"/>
          <w:vertAlign w:val="superscript"/>
        </w:rPr>
        <w:t>1</w:t>
      </w:r>
      <w:r>
        <w:rPr>
          <w:rFonts w:ascii="Times New Roman" w:hAnsi="Times New Roman"/>
          <w:b/>
          <w:sz w:val="24"/>
          <w:szCs w:val="24"/>
        </w:rPr>
        <w:t xml:space="preserve">TYONA TIMOTHY, </w:t>
      </w:r>
      <w:r w:rsidRPr="00C22241">
        <w:rPr>
          <w:rFonts w:ascii="Times New Roman" w:hAnsi="Times New Roman"/>
          <w:b/>
          <w:sz w:val="24"/>
          <w:szCs w:val="24"/>
          <w:vertAlign w:val="superscript"/>
        </w:rPr>
        <w:t>2</w:t>
      </w:r>
      <w:r w:rsidRPr="003E74A5">
        <w:rPr>
          <w:rFonts w:ascii="Times New Roman" w:hAnsi="Times New Roman"/>
          <w:b/>
          <w:sz w:val="24"/>
          <w:szCs w:val="24"/>
        </w:rPr>
        <w:t>YUA HENRY</w:t>
      </w:r>
      <w:r>
        <w:rPr>
          <w:rFonts w:ascii="Times New Roman" w:hAnsi="Times New Roman"/>
          <w:b/>
          <w:sz w:val="24"/>
          <w:szCs w:val="24"/>
        </w:rPr>
        <w:t xml:space="preserve"> AND </w:t>
      </w:r>
      <w:r w:rsidRPr="00C22241">
        <w:rPr>
          <w:rFonts w:ascii="Times New Roman" w:hAnsi="Times New Roman"/>
          <w:b/>
          <w:sz w:val="24"/>
          <w:szCs w:val="24"/>
          <w:vertAlign w:val="superscript"/>
        </w:rPr>
        <w:t>3</w:t>
      </w:r>
      <w:r w:rsidRPr="00C22241">
        <w:rPr>
          <w:rFonts w:ascii="Times New Roman" w:hAnsi="Times New Roman"/>
          <w:b/>
          <w:sz w:val="24"/>
          <w:szCs w:val="24"/>
        </w:rPr>
        <w:t>TEMITOPE ABIODUN OJE</w:t>
      </w:r>
    </w:p>
    <w:p w14:paraId="15282986" w14:textId="77777777" w:rsidR="006339DF" w:rsidRPr="00085DAE" w:rsidRDefault="002302A9" w:rsidP="00085DAE">
      <w:pPr>
        <w:spacing w:after="0" w:line="240" w:lineRule="auto"/>
        <w:rPr>
          <w:rFonts w:ascii="Times New Roman" w:hAnsi="Times New Roman"/>
          <w:bCs/>
          <w:i/>
          <w:iCs/>
          <w:sz w:val="24"/>
          <w:szCs w:val="24"/>
        </w:rPr>
      </w:pPr>
      <w:r w:rsidRPr="00085DAE">
        <w:rPr>
          <w:rFonts w:ascii="Times New Roman" w:hAnsi="Times New Roman"/>
          <w:bCs/>
          <w:i/>
          <w:iCs/>
          <w:sz w:val="24"/>
          <w:szCs w:val="24"/>
          <w:vertAlign w:val="superscript"/>
        </w:rPr>
        <w:t>1</w:t>
      </w:r>
      <w:r w:rsidR="006339DF" w:rsidRPr="00085DAE">
        <w:rPr>
          <w:rFonts w:ascii="Times New Roman" w:hAnsi="Times New Roman"/>
          <w:bCs/>
          <w:i/>
          <w:iCs/>
          <w:sz w:val="24"/>
          <w:szCs w:val="24"/>
        </w:rPr>
        <w:t xml:space="preserve">Joseph </w:t>
      </w:r>
      <w:proofErr w:type="spellStart"/>
      <w:r w:rsidR="006339DF" w:rsidRPr="00085DAE">
        <w:rPr>
          <w:rFonts w:ascii="Times New Roman" w:hAnsi="Times New Roman"/>
          <w:bCs/>
          <w:i/>
          <w:iCs/>
          <w:sz w:val="24"/>
          <w:szCs w:val="24"/>
        </w:rPr>
        <w:t>Sarwuan</w:t>
      </w:r>
      <w:proofErr w:type="spellEnd"/>
      <w:r w:rsidR="006339DF" w:rsidRPr="00085DAE">
        <w:rPr>
          <w:rFonts w:ascii="Times New Roman" w:hAnsi="Times New Roman"/>
          <w:bCs/>
          <w:i/>
          <w:iCs/>
          <w:sz w:val="24"/>
          <w:szCs w:val="24"/>
        </w:rPr>
        <w:t xml:space="preserve"> </w:t>
      </w:r>
      <w:proofErr w:type="spellStart"/>
      <w:r w:rsidR="006339DF" w:rsidRPr="00085DAE">
        <w:rPr>
          <w:rFonts w:ascii="Times New Roman" w:hAnsi="Times New Roman"/>
          <w:bCs/>
          <w:i/>
          <w:iCs/>
          <w:sz w:val="24"/>
          <w:szCs w:val="24"/>
        </w:rPr>
        <w:t>Tarkaa</w:t>
      </w:r>
      <w:proofErr w:type="spellEnd"/>
      <w:r w:rsidR="006339DF" w:rsidRPr="00085DAE">
        <w:rPr>
          <w:rFonts w:ascii="Times New Roman" w:hAnsi="Times New Roman"/>
          <w:bCs/>
          <w:i/>
          <w:iCs/>
          <w:sz w:val="24"/>
          <w:szCs w:val="24"/>
        </w:rPr>
        <w:t xml:space="preserve"> U</w:t>
      </w:r>
      <w:r w:rsidRPr="00085DAE">
        <w:rPr>
          <w:rFonts w:ascii="Times New Roman" w:hAnsi="Times New Roman"/>
          <w:bCs/>
          <w:i/>
          <w:iCs/>
          <w:sz w:val="24"/>
          <w:szCs w:val="24"/>
        </w:rPr>
        <w:t xml:space="preserve">niversity, Makurdi-Benue </w:t>
      </w:r>
      <w:proofErr w:type="spellStart"/>
      <w:r w:rsidRPr="00085DAE">
        <w:rPr>
          <w:rFonts w:ascii="Times New Roman" w:hAnsi="Times New Roman"/>
          <w:bCs/>
          <w:i/>
          <w:iCs/>
          <w:sz w:val="24"/>
          <w:szCs w:val="24"/>
        </w:rPr>
        <w:t>staste</w:t>
      </w:r>
      <w:proofErr w:type="spellEnd"/>
    </w:p>
    <w:p w14:paraId="40CDBFF6" w14:textId="523F37D7" w:rsidR="006339DF" w:rsidRPr="00085DAE" w:rsidRDefault="002302A9" w:rsidP="00085DAE">
      <w:pPr>
        <w:spacing w:after="0" w:line="240" w:lineRule="auto"/>
        <w:rPr>
          <w:rFonts w:ascii="Times New Roman" w:hAnsi="Times New Roman"/>
          <w:bCs/>
          <w:i/>
          <w:iCs/>
          <w:sz w:val="24"/>
          <w:szCs w:val="24"/>
        </w:rPr>
      </w:pPr>
      <w:r w:rsidRPr="00085DAE">
        <w:rPr>
          <w:rFonts w:ascii="Times New Roman" w:hAnsi="Times New Roman"/>
          <w:bCs/>
          <w:i/>
          <w:iCs/>
          <w:sz w:val="24"/>
          <w:szCs w:val="24"/>
          <w:vertAlign w:val="superscript"/>
        </w:rPr>
        <w:t>2</w:t>
      </w:r>
      <w:r w:rsidR="006339DF" w:rsidRPr="00085DAE">
        <w:rPr>
          <w:rFonts w:ascii="Times New Roman" w:hAnsi="Times New Roman"/>
          <w:bCs/>
          <w:i/>
          <w:iCs/>
          <w:sz w:val="24"/>
          <w:szCs w:val="24"/>
        </w:rPr>
        <w:t>Department</w:t>
      </w:r>
      <w:r w:rsidR="00694EC4" w:rsidRPr="00085DAE">
        <w:rPr>
          <w:rFonts w:ascii="Times New Roman" w:hAnsi="Times New Roman"/>
          <w:bCs/>
          <w:i/>
          <w:iCs/>
          <w:sz w:val="24"/>
          <w:szCs w:val="24"/>
        </w:rPr>
        <w:t xml:space="preserve"> of Banking and Finance</w:t>
      </w:r>
      <w:r w:rsidR="006339DF" w:rsidRPr="00085DAE">
        <w:rPr>
          <w:rFonts w:ascii="Times New Roman" w:hAnsi="Times New Roman"/>
          <w:bCs/>
          <w:i/>
          <w:iCs/>
          <w:sz w:val="24"/>
          <w:szCs w:val="24"/>
        </w:rPr>
        <w:t>, Federal P</w:t>
      </w:r>
      <w:r w:rsidRPr="00085DAE">
        <w:rPr>
          <w:rFonts w:ascii="Times New Roman" w:hAnsi="Times New Roman"/>
          <w:bCs/>
          <w:i/>
          <w:iCs/>
          <w:sz w:val="24"/>
          <w:szCs w:val="24"/>
        </w:rPr>
        <w:t xml:space="preserve">olytechnic </w:t>
      </w:r>
      <w:proofErr w:type="spellStart"/>
      <w:r w:rsidRPr="00085DAE">
        <w:rPr>
          <w:rFonts w:ascii="Times New Roman" w:hAnsi="Times New Roman"/>
          <w:bCs/>
          <w:i/>
          <w:iCs/>
          <w:sz w:val="24"/>
          <w:szCs w:val="24"/>
        </w:rPr>
        <w:t>Wannune</w:t>
      </w:r>
      <w:proofErr w:type="spellEnd"/>
      <w:r w:rsidRPr="00085DAE">
        <w:rPr>
          <w:rFonts w:ascii="Times New Roman" w:hAnsi="Times New Roman"/>
          <w:bCs/>
          <w:i/>
          <w:iCs/>
          <w:sz w:val="24"/>
          <w:szCs w:val="24"/>
        </w:rPr>
        <w:t>, Benue State</w:t>
      </w:r>
    </w:p>
    <w:p w14:paraId="2809DBD7" w14:textId="0C0D42D2" w:rsidR="006339DF" w:rsidRDefault="002302A9" w:rsidP="00085DAE">
      <w:pPr>
        <w:spacing w:after="0" w:line="240" w:lineRule="auto"/>
        <w:rPr>
          <w:rFonts w:ascii="Times New Roman" w:hAnsi="Times New Roman"/>
          <w:bCs/>
          <w:i/>
          <w:iCs/>
          <w:sz w:val="24"/>
          <w:szCs w:val="24"/>
        </w:rPr>
      </w:pPr>
      <w:r w:rsidRPr="00085DAE">
        <w:rPr>
          <w:rFonts w:ascii="Times New Roman" w:hAnsi="Times New Roman"/>
          <w:bCs/>
          <w:i/>
          <w:iCs/>
          <w:sz w:val="24"/>
          <w:szCs w:val="24"/>
          <w:vertAlign w:val="superscript"/>
        </w:rPr>
        <w:t>3</w:t>
      </w:r>
      <w:r w:rsidR="00F25279" w:rsidRPr="00085DAE">
        <w:rPr>
          <w:rFonts w:ascii="Times New Roman" w:hAnsi="Times New Roman"/>
          <w:bCs/>
          <w:i/>
          <w:iCs/>
          <w:sz w:val="24"/>
          <w:szCs w:val="24"/>
        </w:rPr>
        <w:t xml:space="preserve">Scholar, College of Business and Leadership, Eastern University, St </w:t>
      </w:r>
      <w:proofErr w:type="spellStart"/>
      <w:r w:rsidR="00F25279" w:rsidRPr="00085DAE">
        <w:rPr>
          <w:rFonts w:ascii="Times New Roman" w:hAnsi="Times New Roman"/>
          <w:bCs/>
          <w:i/>
          <w:iCs/>
          <w:sz w:val="24"/>
          <w:szCs w:val="24"/>
        </w:rPr>
        <w:t>Davids</w:t>
      </w:r>
      <w:proofErr w:type="spellEnd"/>
      <w:r w:rsidR="00F25279" w:rsidRPr="00085DAE">
        <w:rPr>
          <w:rFonts w:ascii="Times New Roman" w:hAnsi="Times New Roman"/>
          <w:bCs/>
          <w:i/>
          <w:iCs/>
          <w:sz w:val="24"/>
          <w:szCs w:val="24"/>
        </w:rPr>
        <w:t>, Pennsylvani</w:t>
      </w:r>
      <w:r w:rsidR="00CE4A13" w:rsidRPr="00085DAE">
        <w:rPr>
          <w:rFonts w:ascii="Times New Roman" w:hAnsi="Times New Roman"/>
          <w:bCs/>
          <w:i/>
          <w:iCs/>
          <w:sz w:val="24"/>
          <w:szCs w:val="24"/>
        </w:rPr>
        <w:t>a</w:t>
      </w:r>
      <w:r w:rsidR="00D458F7" w:rsidRPr="00085DAE">
        <w:rPr>
          <w:rFonts w:ascii="Times New Roman" w:hAnsi="Times New Roman"/>
          <w:bCs/>
          <w:i/>
          <w:iCs/>
          <w:sz w:val="24"/>
          <w:szCs w:val="24"/>
        </w:rPr>
        <w:t xml:space="preserve"> </w:t>
      </w:r>
    </w:p>
    <w:p w14:paraId="73C93832" w14:textId="1FD30224" w:rsidR="00B2201C" w:rsidRDefault="00B2201C" w:rsidP="00B2201C">
      <w:pPr>
        <w:spacing w:after="0" w:line="240" w:lineRule="auto"/>
        <w:jc w:val="center"/>
        <w:rPr>
          <w:rFonts w:ascii="Times New Roman" w:hAnsi="Times New Roman"/>
          <w:bCs/>
          <w:i/>
          <w:iCs/>
          <w:sz w:val="24"/>
          <w:szCs w:val="24"/>
        </w:rPr>
      </w:pPr>
    </w:p>
    <w:p w14:paraId="70D52DFA" w14:textId="77777777" w:rsidR="00B2201C" w:rsidRPr="004267E7" w:rsidRDefault="00B2201C" w:rsidP="00B2201C">
      <w:pPr>
        <w:spacing w:after="0"/>
        <w:jc w:val="center"/>
        <w:rPr>
          <w:rFonts w:ascii="Times New Roman" w:hAnsi="Times New Roman"/>
          <w:b/>
          <w:color w:val="4472C4" w:themeColor="accent1"/>
          <w:sz w:val="24"/>
          <w:szCs w:val="24"/>
        </w:rPr>
      </w:pPr>
      <w:r w:rsidRPr="004267E7">
        <w:rPr>
          <w:rFonts w:ascii="Times New Roman" w:hAnsi="Times New Roman"/>
          <w:b/>
          <w:color w:val="4472C4" w:themeColor="accent1"/>
          <w:sz w:val="24"/>
          <w:szCs w:val="24"/>
        </w:rPr>
        <w:t>CORRESPONDING AUTHOR</w:t>
      </w:r>
    </w:p>
    <w:p w14:paraId="3D51B14D" w14:textId="77777777" w:rsidR="00B2201C" w:rsidRDefault="00B2201C" w:rsidP="00B2201C">
      <w:pPr>
        <w:spacing w:after="0"/>
        <w:jc w:val="center"/>
        <w:rPr>
          <w:rFonts w:ascii="Times New Roman" w:hAnsi="Times New Roman"/>
          <w:b/>
          <w:sz w:val="24"/>
          <w:szCs w:val="24"/>
        </w:rPr>
      </w:pPr>
      <w:r w:rsidRPr="00EE0D18">
        <w:rPr>
          <w:rFonts w:ascii="Times New Roman" w:hAnsi="Times New Roman"/>
          <w:b/>
          <w:sz w:val="24"/>
          <w:szCs w:val="24"/>
        </w:rPr>
        <w:t>YUA HENRY</w:t>
      </w:r>
    </w:p>
    <w:p w14:paraId="020BBCF4" w14:textId="77777777" w:rsidR="00B2201C" w:rsidRDefault="00B2201C" w:rsidP="00B2201C">
      <w:pPr>
        <w:spacing w:after="0"/>
        <w:jc w:val="center"/>
        <w:rPr>
          <w:rFonts w:ascii="Times New Roman" w:hAnsi="Times New Roman"/>
          <w:bCs/>
          <w:sz w:val="24"/>
          <w:szCs w:val="24"/>
        </w:rPr>
      </w:pPr>
      <w:r w:rsidRPr="00542C01">
        <w:rPr>
          <w:rFonts w:ascii="Times New Roman" w:hAnsi="Times New Roman"/>
          <w:bCs/>
          <w:sz w:val="24"/>
          <w:szCs w:val="24"/>
        </w:rPr>
        <w:t xml:space="preserve">Department of Banking and Finance, </w:t>
      </w:r>
    </w:p>
    <w:p w14:paraId="175C9849" w14:textId="77777777" w:rsidR="00B2201C" w:rsidRDefault="00B2201C" w:rsidP="00B2201C">
      <w:pPr>
        <w:spacing w:after="0"/>
        <w:jc w:val="center"/>
        <w:rPr>
          <w:rFonts w:ascii="Times New Roman" w:hAnsi="Times New Roman"/>
          <w:bCs/>
          <w:sz w:val="24"/>
          <w:szCs w:val="24"/>
        </w:rPr>
      </w:pPr>
      <w:r w:rsidRPr="00542C01">
        <w:rPr>
          <w:rFonts w:ascii="Times New Roman" w:hAnsi="Times New Roman"/>
          <w:bCs/>
          <w:sz w:val="24"/>
          <w:szCs w:val="24"/>
        </w:rPr>
        <w:t>Federal Polytechnic</w:t>
      </w:r>
      <w:r>
        <w:rPr>
          <w:rFonts w:ascii="Times New Roman" w:hAnsi="Times New Roman"/>
          <w:bCs/>
          <w:sz w:val="24"/>
          <w:szCs w:val="24"/>
        </w:rPr>
        <w:t>,</w:t>
      </w:r>
      <w:r w:rsidRPr="00542C01">
        <w:rPr>
          <w:rFonts w:ascii="Times New Roman" w:hAnsi="Times New Roman"/>
          <w:bCs/>
          <w:sz w:val="24"/>
          <w:szCs w:val="24"/>
        </w:rPr>
        <w:t xml:space="preserve"> </w:t>
      </w:r>
      <w:proofErr w:type="spellStart"/>
      <w:r w:rsidRPr="00542C01">
        <w:rPr>
          <w:rFonts w:ascii="Times New Roman" w:hAnsi="Times New Roman"/>
          <w:bCs/>
          <w:sz w:val="24"/>
          <w:szCs w:val="24"/>
        </w:rPr>
        <w:t>Wannune</w:t>
      </w:r>
      <w:proofErr w:type="spellEnd"/>
    </w:p>
    <w:p w14:paraId="564AF27A" w14:textId="77777777" w:rsidR="00B2201C" w:rsidRPr="00542C01" w:rsidRDefault="00B2201C" w:rsidP="00B2201C">
      <w:pPr>
        <w:spacing w:after="0"/>
        <w:jc w:val="center"/>
        <w:rPr>
          <w:rFonts w:ascii="Times New Roman" w:hAnsi="Times New Roman"/>
          <w:bCs/>
          <w:sz w:val="24"/>
          <w:szCs w:val="24"/>
        </w:rPr>
      </w:pPr>
      <w:r>
        <w:rPr>
          <w:rFonts w:ascii="Times New Roman" w:hAnsi="Times New Roman"/>
          <w:bCs/>
          <w:sz w:val="24"/>
          <w:szCs w:val="24"/>
        </w:rPr>
        <w:t>Benue State. Nigeria</w:t>
      </w:r>
    </w:p>
    <w:p w14:paraId="50AF5177" w14:textId="77777777" w:rsidR="00B2201C" w:rsidRPr="00085DAE" w:rsidRDefault="00B2201C" w:rsidP="00B2201C">
      <w:pPr>
        <w:spacing w:after="0" w:line="240" w:lineRule="auto"/>
        <w:jc w:val="center"/>
        <w:rPr>
          <w:rFonts w:ascii="Times New Roman" w:hAnsi="Times New Roman"/>
          <w:bCs/>
          <w:i/>
          <w:iCs/>
          <w:sz w:val="24"/>
          <w:szCs w:val="24"/>
        </w:rPr>
      </w:pPr>
    </w:p>
    <w:p w14:paraId="1D438047" w14:textId="77777777" w:rsidR="00E05C2E" w:rsidRDefault="00E05C2E" w:rsidP="007A73BE">
      <w:pPr>
        <w:spacing w:after="0" w:line="240" w:lineRule="auto"/>
      </w:pPr>
    </w:p>
    <w:p w14:paraId="419CEDF9" w14:textId="77777777" w:rsidR="00E05C2E" w:rsidRDefault="00E05C2E" w:rsidP="007A73BE">
      <w:pPr>
        <w:spacing w:after="0" w:line="240" w:lineRule="auto"/>
        <w:jc w:val="center"/>
        <w:rPr>
          <w:rFonts w:ascii="Times New Roman" w:hAnsi="Times New Roman"/>
          <w:b/>
          <w:sz w:val="24"/>
          <w:szCs w:val="24"/>
        </w:rPr>
      </w:pPr>
      <w:r w:rsidRPr="00131CB0">
        <w:rPr>
          <w:rFonts w:ascii="Times New Roman" w:hAnsi="Times New Roman"/>
          <w:b/>
          <w:sz w:val="24"/>
          <w:szCs w:val="24"/>
        </w:rPr>
        <w:t>ABSTRACT</w:t>
      </w:r>
    </w:p>
    <w:p w14:paraId="3C623C8E" w14:textId="5AAFD2A2" w:rsidR="00E05C2E" w:rsidRPr="009A2413" w:rsidRDefault="00E05C2E" w:rsidP="00401DEF">
      <w:pPr>
        <w:spacing w:after="0" w:line="240" w:lineRule="auto"/>
        <w:ind w:right="360"/>
        <w:rPr>
          <w:rFonts w:ascii="Times New Roman" w:hAnsi="Times New Roman"/>
          <w:b/>
          <w:bCs/>
          <w:i/>
          <w:iCs/>
          <w:sz w:val="24"/>
          <w:szCs w:val="24"/>
        </w:rPr>
      </w:pPr>
      <w:r w:rsidRPr="009A2413">
        <w:rPr>
          <w:rFonts w:ascii="Times New Roman" w:hAnsi="Times New Roman"/>
          <w:b/>
          <w:bCs/>
          <w:i/>
          <w:iCs/>
          <w:sz w:val="24"/>
          <w:szCs w:val="24"/>
        </w:rPr>
        <w:t>This study examined empirically, the returns and volatility spillover effects between oil price and sectoral stocks in Nigeria using high frequency daily data on oil price and eleven sectors</w:t>
      </w:r>
      <w:r w:rsidR="006B0625" w:rsidRPr="009A2413">
        <w:rPr>
          <w:rFonts w:ascii="Times New Roman" w:hAnsi="Times New Roman"/>
          <w:b/>
          <w:bCs/>
          <w:i/>
          <w:iCs/>
          <w:sz w:val="24"/>
          <w:szCs w:val="24"/>
        </w:rPr>
        <w:t xml:space="preserve"> namely </w:t>
      </w:r>
      <w:r w:rsidRPr="009A2413">
        <w:rPr>
          <w:rFonts w:ascii="Times New Roman" w:hAnsi="Times New Roman"/>
          <w:b/>
          <w:bCs/>
          <w:i/>
          <w:iCs/>
          <w:sz w:val="24"/>
          <w:szCs w:val="24"/>
        </w:rPr>
        <w:t>Agriculture, Conglomerates, Construction/Real Estate, Consumer Goods, Financial Services, Health Care, ICT, Industrial Goods, Natural Resources and Oil &amp; Gas. The main objective of which is to examine the return and volatility spillover effects between the sectors and oil price. The study is anchored on three theories; the Discounted Cash Flow Model, the Capital Assets Pricing Model and the Arbitrage Pricing Theory. The data on the variables listed above were obtained from Nigerian</w:t>
      </w:r>
      <w:r w:rsidR="006B0625" w:rsidRPr="009A2413">
        <w:rPr>
          <w:rFonts w:ascii="Times New Roman" w:hAnsi="Times New Roman"/>
          <w:b/>
          <w:bCs/>
          <w:i/>
          <w:iCs/>
          <w:sz w:val="24"/>
          <w:szCs w:val="24"/>
        </w:rPr>
        <w:t xml:space="preserve"> Stock</w:t>
      </w:r>
      <w:r w:rsidRPr="009A2413">
        <w:rPr>
          <w:rFonts w:ascii="Times New Roman" w:hAnsi="Times New Roman"/>
          <w:b/>
          <w:bCs/>
          <w:i/>
          <w:iCs/>
          <w:sz w:val="24"/>
          <w:szCs w:val="24"/>
        </w:rPr>
        <w:t xml:space="preserve"> Exchange Group and US Energy Information Administration. The study utilized the Vector Autoregressive Moving</w:t>
      </w:r>
      <w:r w:rsidR="006B0625" w:rsidRPr="009A2413">
        <w:rPr>
          <w:rFonts w:ascii="Times New Roman" w:hAnsi="Times New Roman"/>
          <w:b/>
          <w:bCs/>
          <w:i/>
          <w:iCs/>
          <w:sz w:val="24"/>
          <w:szCs w:val="24"/>
        </w:rPr>
        <w:t xml:space="preserve"> </w:t>
      </w:r>
      <w:r w:rsidRPr="009A2413">
        <w:rPr>
          <w:rFonts w:ascii="Times New Roman" w:hAnsi="Times New Roman"/>
          <w:b/>
          <w:bCs/>
          <w:i/>
          <w:iCs/>
          <w:sz w:val="24"/>
          <w:szCs w:val="24"/>
        </w:rPr>
        <w:t>Average-Generalized Autoregressive Conditional Heteroskedasticity (VARMA-GARCH)</w:t>
      </w:r>
      <w:r w:rsidR="0062550D" w:rsidRPr="009A2413">
        <w:rPr>
          <w:rFonts w:ascii="Times New Roman" w:hAnsi="Times New Roman"/>
          <w:b/>
          <w:bCs/>
          <w:i/>
          <w:iCs/>
          <w:sz w:val="24"/>
          <w:szCs w:val="24"/>
        </w:rPr>
        <w:t xml:space="preserve"> </w:t>
      </w:r>
      <w:r w:rsidRPr="009A2413">
        <w:rPr>
          <w:rFonts w:ascii="Times New Roman" w:hAnsi="Times New Roman"/>
          <w:b/>
          <w:bCs/>
          <w:i/>
          <w:iCs/>
          <w:sz w:val="24"/>
          <w:szCs w:val="24"/>
        </w:rPr>
        <w:t xml:space="preserve">multivariate volatility model for estimation where findings indicate bidirectional return and volatility spillover effects, between oil market and majority of the stock sectors. Additionally, results indicate low Constant Conditional Correlations (CCC) coefficients between oil and stock prices. The study concludes that there exist both return and volatility spillover effects, and that both return and volatility in both markets are fueled by own return and volatility effects and therefore recommends among others construct hedge ratios and portfolio weights to as a guide to minimize loses, </w:t>
      </w:r>
      <w:r w:rsidR="006B0625" w:rsidRPr="009A2413">
        <w:rPr>
          <w:rFonts w:ascii="Times New Roman" w:hAnsi="Times New Roman"/>
          <w:b/>
          <w:bCs/>
          <w:i/>
          <w:iCs/>
          <w:sz w:val="24"/>
          <w:szCs w:val="24"/>
        </w:rPr>
        <w:t xml:space="preserve">as well as </w:t>
      </w:r>
      <w:r w:rsidRPr="009A2413">
        <w:rPr>
          <w:rFonts w:ascii="Times New Roman" w:hAnsi="Times New Roman"/>
          <w:b/>
          <w:bCs/>
          <w:i/>
          <w:iCs/>
          <w:sz w:val="24"/>
          <w:szCs w:val="24"/>
        </w:rPr>
        <w:t xml:space="preserve">factor in their decision making own </w:t>
      </w:r>
      <w:r w:rsidR="006B0625" w:rsidRPr="009A2413">
        <w:rPr>
          <w:rFonts w:ascii="Times New Roman" w:hAnsi="Times New Roman"/>
          <w:b/>
          <w:bCs/>
          <w:i/>
          <w:iCs/>
          <w:sz w:val="24"/>
          <w:szCs w:val="24"/>
        </w:rPr>
        <w:t>short- and long-term</w:t>
      </w:r>
      <w:r w:rsidRPr="009A2413">
        <w:rPr>
          <w:rFonts w:ascii="Times New Roman" w:hAnsi="Times New Roman"/>
          <w:b/>
          <w:bCs/>
          <w:i/>
          <w:iCs/>
          <w:sz w:val="24"/>
          <w:szCs w:val="24"/>
        </w:rPr>
        <w:t xml:space="preserve"> shocks.</w:t>
      </w:r>
    </w:p>
    <w:p w14:paraId="1FB9D7EC" w14:textId="77777777" w:rsidR="003A659D" w:rsidRDefault="003A659D" w:rsidP="00017658">
      <w:pPr>
        <w:spacing w:after="0" w:line="240" w:lineRule="auto"/>
        <w:ind w:right="360"/>
        <w:jc w:val="both"/>
        <w:rPr>
          <w:rFonts w:ascii="Times New Roman" w:hAnsi="Times New Roman"/>
          <w:sz w:val="24"/>
          <w:szCs w:val="24"/>
        </w:rPr>
      </w:pPr>
    </w:p>
    <w:p w14:paraId="379D4563" w14:textId="5E9C5317" w:rsidR="003A659D" w:rsidRPr="006B0625" w:rsidRDefault="003A659D" w:rsidP="003A659D">
      <w:pPr>
        <w:spacing w:after="0" w:line="240" w:lineRule="auto"/>
        <w:rPr>
          <w:rFonts w:ascii="Times New Roman" w:hAnsi="Times New Roman"/>
          <w:b/>
          <w:bCs/>
          <w:sz w:val="24"/>
          <w:szCs w:val="24"/>
        </w:rPr>
      </w:pPr>
      <w:r w:rsidRPr="006B0625">
        <w:rPr>
          <w:rFonts w:ascii="Times New Roman" w:hAnsi="Times New Roman"/>
          <w:b/>
          <w:bCs/>
          <w:sz w:val="24"/>
          <w:szCs w:val="24"/>
        </w:rPr>
        <w:t xml:space="preserve">Keywords: </w:t>
      </w:r>
      <w:r w:rsidR="009A2413">
        <w:rPr>
          <w:rFonts w:ascii="Times New Roman" w:hAnsi="Times New Roman"/>
          <w:b/>
          <w:bCs/>
          <w:sz w:val="24"/>
          <w:szCs w:val="24"/>
        </w:rPr>
        <w:t>D</w:t>
      </w:r>
      <w:r w:rsidRPr="006B0625">
        <w:rPr>
          <w:rFonts w:ascii="Times New Roman" w:hAnsi="Times New Roman"/>
          <w:b/>
          <w:bCs/>
          <w:sz w:val="24"/>
          <w:szCs w:val="24"/>
        </w:rPr>
        <w:t xml:space="preserve">isaggregated approach, </w:t>
      </w:r>
      <w:r w:rsidR="009A2413">
        <w:rPr>
          <w:rFonts w:ascii="Times New Roman" w:hAnsi="Times New Roman"/>
          <w:b/>
          <w:bCs/>
          <w:sz w:val="24"/>
          <w:szCs w:val="24"/>
        </w:rPr>
        <w:t>O</w:t>
      </w:r>
      <w:r w:rsidRPr="006B0625">
        <w:rPr>
          <w:rFonts w:ascii="Times New Roman" w:hAnsi="Times New Roman"/>
          <w:b/>
          <w:bCs/>
          <w:sz w:val="24"/>
          <w:szCs w:val="24"/>
        </w:rPr>
        <w:t xml:space="preserve">il price, </w:t>
      </w:r>
      <w:r w:rsidR="009A2413">
        <w:rPr>
          <w:rFonts w:ascii="Times New Roman" w:hAnsi="Times New Roman"/>
          <w:b/>
          <w:bCs/>
          <w:sz w:val="24"/>
          <w:szCs w:val="24"/>
        </w:rPr>
        <w:t>S</w:t>
      </w:r>
      <w:r w:rsidRPr="006B0625">
        <w:rPr>
          <w:rFonts w:ascii="Times New Roman" w:hAnsi="Times New Roman"/>
          <w:b/>
          <w:bCs/>
          <w:sz w:val="24"/>
          <w:szCs w:val="24"/>
        </w:rPr>
        <w:t xml:space="preserve">tock returns, </w:t>
      </w:r>
      <w:r w:rsidR="009A2413">
        <w:rPr>
          <w:rFonts w:ascii="Times New Roman" w:hAnsi="Times New Roman"/>
          <w:b/>
          <w:bCs/>
          <w:sz w:val="24"/>
          <w:szCs w:val="24"/>
        </w:rPr>
        <w:t>V</w:t>
      </w:r>
      <w:r w:rsidRPr="006B0625">
        <w:rPr>
          <w:rFonts w:ascii="Times New Roman" w:hAnsi="Times New Roman"/>
          <w:b/>
          <w:bCs/>
          <w:sz w:val="24"/>
          <w:szCs w:val="24"/>
        </w:rPr>
        <w:t>arma-</w:t>
      </w:r>
      <w:proofErr w:type="spellStart"/>
      <w:r w:rsidRPr="006B0625">
        <w:rPr>
          <w:rFonts w:ascii="Times New Roman" w:hAnsi="Times New Roman"/>
          <w:b/>
          <w:bCs/>
          <w:sz w:val="24"/>
          <w:szCs w:val="24"/>
        </w:rPr>
        <w:t>garch</w:t>
      </w:r>
      <w:proofErr w:type="spellEnd"/>
      <w:r w:rsidRPr="006B0625">
        <w:rPr>
          <w:rFonts w:ascii="Times New Roman" w:hAnsi="Times New Roman"/>
          <w:b/>
          <w:bCs/>
          <w:sz w:val="24"/>
          <w:szCs w:val="24"/>
        </w:rPr>
        <w:t xml:space="preserve"> model, volatility</w:t>
      </w:r>
    </w:p>
    <w:p w14:paraId="277BB9D6" w14:textId="77777777" w:rsidR="003A659D" w:rsidRPr="006B0625" w:rsidRDefault="003A659D" w:rsidP="00017658">
      <w:pPr>
        <w:spacing w:after="0" w:line="240" w:lineRule="auto"/>
        <w:ind w:right="360"/>
        <w:jc w:val="both"/>
        <w:rPr>
          <w:rFonts w:ascii="Times New Roman" w:hAnsi="Times New Roman"/>
          <w:b/>
          <w:bCs/>
          <w:sz w:val="24"/>
          <w:szCs w:val="24"/>
        </w:rPr>
      </w:pPr>
    </w:p>
    <w:p w14:paraId="50951C89" w14:textId="77777777" w:rsidR="00E05C2E" w:rsidRDefault="00E05C2E" w:rsidP="007A73BE">
      <w:pPr>
        <w:spacing w:after="0" w:line="240" w:lineRule="auto"/>
      </w:pPr>
    </w:p>
    <w:p w14:paraId="5C6D6734" w14:textId="77777777" w:rsidR="009A2413" w:rsidRDefault="009A2413" w:rsidP="00085DAE">
      <w:pPr>
        <w:spacing w:after="0" w:line="240" w:lineRule="auto"/>
        <w:rPr>
          <w:rFonts w:ascii="Times New Roman" w:hAnsi="Times New Roman"/>
          <w:b/>
          <w:sz w:val="24"/>
          <w:szCs w:val="24"/>
        </w:rPr>
        <w:sectPr w:rsidR="009A2413" w:rsidSect="003E74A5">
          <w:pgSz w:w="12240" w:h="15840"/>
          <w:pgMar w:top="360" w:right="1440" w:bottom="1440" w:left="1440" w:header="720" w:footer="720" w:gutter="0"/>
          <w:cols w:space="720"/>
          <w:docGrid w:linePitch="360"/>
        </w:sectPr>
      </w:pPr>
    </w:p>
    <w:p w14:paraId="03748CCA" w14:textId="1B191410" w:rsidR="00E05C2E" w:rsidRPr="00085DAE" w:rsidRDefault="007D4216" w:rsidP="00085DAE">
      <w:pPr>
        <w:spacing w:after="0" w:line="240" w:lineRule="auto"/>
        <w:rPr>
          <w:rFonts w:ascii="Times New Roman" w:hAnsi="Times New Roman"/>
          <w:b/>
          <w:sz w:val="24"/>
          <w:szCs w:val="24"/>
        </w:rPr>
      </w:pPr>
      <w:r w:rsidRPr="00085DAE">
        <w:rPr>
          <w:rFonts w:ascii="Times New Roman" w:hAnsi="Times New Roman"/>
          <w:b/>
          <w:sz w:val="24"/>
          <w:szCs w:val="24"/>
        </w:rPr>
        <w:t>INTRODUCTION</w:t>
      </w:r>
    </w:p>
    <w:p w14:paraId="2949CCC5" w14:textId="2B2C11F5" w:rsidR="00E05C2E" w:rsidRPr="00085DAE" w:rsidRDefault="00E05C2E" w:rsidP="00085DAE">
      <w:pPr>
        <w:spacing w:after="0" w:line="240" w:lineRule="auto"/>
        <w:rPr>
          <w:rFonts w:ascii="Times New Roman" w:hAnsi="Times New Roman"/>
          <w:sz w:val="24"/>
          <w:szCs w:val="24"/>
        </w:rPr>
      </w:pPr>
      <w:r w:rsidRPr="00085DAE">
        <w:rPr>
          <w:rFonts w:ascii="Times New Roman" w:hAnsi="Times New Roman"/>
          <w:sz w:val="24"/>
          <w:szCs w:val="24"/>
        </w:rPr>
        <w:t xml:space="preserve">The Nigerian capital market is seen as one of the fastest growing in Africa and indeed other emerging market economies (EMEs) worldwide, making it </w:t>
      </w:r>
      <w:r w:rsidR="00784799" w:rsidRPr="00085DAE">
        <w:rPr>
          <w:rFonts w:ascii="Times New Roman" w:hAnsi="Times New Roman"/>
          <w:sz w:val="24"/>
          <w:szCs w:val="24"/>
        </w:rPr>
        <w:t xml:space="preserve">the </w:t>
      </w:r>
      <w:r w:rsidRPr="00085DAE">
        <w:rPr>
          <w:rFonts w:ascii="Times New Roman" w:hAnsi="Times New Roman"/>
          <w:sz w:val="24"/>
          <w:szCs w:val="24"/>
        </w:rPr>
        <w:t xml:space="preserve">only three frontier markets in Africa since 2002. </w:t>
      </w:r>
      <w:r w:rsidR="002C0E49" w:rsidRPr="00085DAE">
        <w:rPr>
          <w:rFonts w:ascii="Times New Roman" w:hAnsi="Times New Roman"/>
          <w:sz w:val="24"/>
          <w:szCs w:val="24"/>
        </w:rPr>
        <w:t>T</w:t>
      </w:r>
      <w:r w:rsidRPr="00085DAE">
        <w:rPr>
          <w:rFonts w:ascii="Times New Roman" w:hAnsi="Times New Roman"/>
          <w:sz w:val="24"/>
          <w:szCs w:val="24"/>
        </w:rPr>
        <w:t xml:space="preserve">his provides opportunities for investors both domestic and foreign to earn high return on their </w:t>
      </w:r>
      <w:r w:rsidRPr="00085DAE">
        <w:rPr>
          <w:rFonts w:ascii="Times New Roman" w:hAnsi="Times New Roman"/>
          <w:sz w:val="24"/>
          <w:szCs w:val="24"/>
        </w:rPr>
        <w:t xml:space="preserve">investments culminating in large capital inflows into the economy. </w:t>
      </w:r>
    </w:p>
    <w:p w14:paraId="0F415B90" w14:textId="70D805A0" w:rsidR="00E05C2E" w:rsidRPr="00085DAE" w:rsidRDefault="00E05C2E" w:rsidP="00085DAE">
      <w:pPr>
        <w:spacing w:after="0" w:line="240" w:lineRule="auto"/>
        <w:rPr>
          <w:rFonts w:ascii="Times New Roman" w:hAnsi="Times New Roman"/>
          <w:sz w:val="24"/>
          <w:szCs w:val="24"/>
        </w:rPr>
      </w:pPr>
      <w:r w:rsidRPr="00085DAE">
        <w:rPr>
          <w:rFonts w:ascii="Times New Roman" w:hAnsi="Times New Roman"/>
          <w:sz w:val="24"/>
          <w:szCs w:val="24"/>
        </w:rPr>
        <w:t xml:space="preserve">However, the activities of the stock market have not been without challenges, leading to decline in stock returns. For instance, daily stock prices on the </w:t>
      </w:r>
      <w:r w:rsidR="005E247D" w:rsidRPr="00085DAE">
        <w:rPr>
          <w:rFonts w:ascii="Times New Roman" w:hAnsi="Times New Roman"/>
          <w:sz w:val="24"/>
          <w:szCs w:val="24"/>
        </w:rPr>
        <w:t xml:space="preserve">floor </w:t>
      </w:r>
      <w:r w:rsidRPr="00085DAE">
        <w:rPr>
          <w:rFonts w:ascii="Times New Roman" w:hAnsi="Times New Roman"/>
          <w:sz w:val="24"/>
          <w:szCs w:val="24"/>
        </w:rPr>
        <w:t xml:space="preserve">of the NSE show that between 2008 and 2010, prices decreased by 25%, leading to the decline in market capitalization to 9.7 trillion naira </w:t>
      </w:r>
      <w:r w:rsidRPr="00085DAE">
        <w:rPr>
          <w:rFonts w:ascii="Times New Roman" w:hAnsi="Times New Roman"/>
          <w:sz w:val="24"/>
          <w:szCs w:val="24"/>
        </w:rPr>
        <w:lastRenderedPageBreak/>
        <w:t>from 12.5 trillion naira in a space of 6 months,</w:t>
      </w:r>
      <w:r w:rsidR="005E247D" w:rsidRPr="00085DAE">
        <w:rPr>
          <w:rFonts w:ascii="Times New Roman" w:hAnsi="Times New Roman"/>
          <w:sz w:val="24"/>
          <w:szCs w:val="24"/>
        </w:rPr>
        <w:t xml:space="preserve"> as reported by</w:t>
      </w:r>
      <w:r w:rsidRPr="00085DAE">
        <w:rPr>
          <w:rFonts w:ascii="Times New Roman" w:hAnsi="Times New Roman"/>
          <w:sz w:val="24"/>
          <w:szCs w:val="24"/>
        </w:rPr>
        <w:t xml:space="preserve"> CBN (2009, 2011). The NSE All Share Index in January, 2020 decreased to about 13% and further </w:t>
      </w:r>
      <w:r w:rsidR="005E247D" w:rsidRPr="00085DAE">
        <w:rPr>
          <w:rFonts w:ascii="Times New Roman" w:hAnsi="Times New Roman"/>
          <w:sz w:val="24"/>
          <w:szCs w:val="24"/>
        </w:rPr>
        <w:t xml:space="preserve">dropped </w:t>
      </w:r>
      <w:r w:rsidRPr="00085DAE">
        <w:rPr>
          <w:rFonts w:ascii="Times New Roman" w:hAnsi="Times New Roman"/>
          <w:sz w:val="24"/>
          <w:szCs w:val="24"/>
        </w:rPr>
        <w:t>below 11% by December of the same year. Also, almost all the industrial sectors’ indices drastically declined between March and July, 2020, especially oil and gas, industrial goods and banking sectors.</w:t>
      </w:r>
      <w:r w:rsidR="00886643" w:rsidRPr="00085DAE">
        <w:rPr>
          <w:rFonts w:ascii="Times New Roman" w:hAnsi="Times New Roman"/>
          <w:sz w:val="24"/>
          <w:szCs w:val="24"/>
        </w:rPr>
        <w:t xml:space="preserve"> </w:t>
      </w:r>
      <w:r w:rsidRPr="00085DAE">
        <w:rPr>
          <w:rFonts w:ascii="Times New Roman" w:hAnsi="Times New Roman"/>
          <w:sz w:val="24"/>
          <w:szCs w:val="24"/>
        </w:rPr>
        <w:t>In order to stem these dwindling fortunes, the authorities took measures such as the introduction of the Central Securities Clearing System (CSCS) to aid computerization, introduction of a single clearing house for all shares traded on the exchange, reclassification of industrial sectors into 11 sectors from 33, to conform to global best practices, opening up the market to attract foreign participation, etc.</w:t>
      </w:r>
    </w:p>
    <w:p w14:paraId="59626D6A" w14:textId="77777777" w:rsidR="007A73BE" w:rsidRPr="00085DAE" w:rsidRDefault="007A73BE" w:rsidP="00085DAE">
      <w:pPr>
        <w:spacing w:after="0" w:line="240" w:lineRule="auto"/>
        <w:rPr>
          <w:rFonts w:ascii="Times New Roman" w:hAnsi="Times New Roman"/>
          <w:sz w:val="16"/>
          <w:szCs w:val="24"/>
        </w:rPr>
      </w:pPr>
    </w:p>
    <w:p w14:paraId="67E4BE74" w14:textId="22B2E1B9" w:rsidR="00036BF2" w:rsidRPr="00085DAE" w:rsidRDefault="005E247D" w:rsidP="00085DAE">
      <w:pPr>
        <w:spacing w:after="0" w:line="240" w:lineRule="auto"/>
        <w:rPr>
          <w:rFonts w:ascii="Times New Roman" w:hAnsi="Times New Roman"/>
          <w:sz w:val="12"/>
          <w:szCs w:val="24"/>
        </w:rPr>
      </w:pPr>
      <w:r w:rsidRPr="00085DAE">
        <w:rPr>
          <w:rFonts w:ascii="Times New Roman" w:hAnsi="Times New Roman"/>
          <w:sz w:val="24"/>
          <w:szCs w:val="24"/>
        </w:rPr>
        <w:t>O</w:t>
      </w:r>
      <w:r w:rsidR="00E05C2E" w:rsidRPr="00085DAE">
        <w:rPr>
          <w:rFonts w:ascii="Times New Roman" w:hAnsi="Times New Roman"/>
          <w:sz w:val="24"/>
          <w:szCs w:val="24"/>
        </w:rPr>
        <w:t>il, a source of energy, play a strategic role in the performance or otherwise of global economies, as it affects the consumption and investment decision of households and business firms at various times.</w:t>
      </w:r>
      <w:r w:rsidRPr="00085DAE">
        <w:rPr>
          <w:rFonts w:ascii="Times New Roman" w:hAnsi="Times New Roman"/>
          <w:sz w:val="24"/>
          <w:szCs w:val="24"/>
        </w:rPr>
        <w:t xml:space="preserve"> </w:t>
      </w:r>
      <w:r w:rsidR="00E05C2E" w:rsidRPr="00085DAE">
        <w:rPr>
          <w:rFonts w:ascii="Times New Roman" w:hAnsi="Times New Roman"/>
          <w:sz w:val="24"/>
          <w:szCs w:val="24"/>
        </w:rPr>
        <w:t>An important discourse in the financial economics literature of recent is the understanding of the complex dynamics that explains the volatility of oil prices over time as it is critical for the growth and development of any economy. It is pertinent to note that almost all issues of production had to do with oil (Malik and Rashid, 2017;</w:t>
      </w:r>
      <w:r w:rsidRPr="00085DAE">
        <w:rPr>
          <w:rFonts w:ascii="Times New Roman" w:hAnsi="Times New Roman"/>
          <w:sz w:val="24"/>
          <w:szCs w:val="24"/>
        </w:rPr>
        <w:t xml:space="preserve"> </w:t>
      </w:r>
      <w:r w:rsidR="00E05C2E" w:rsidRPr="00085DAE">
        <w:rPr>
          <w:rFonts w:ascii="Times New Roman" w:hAnsi="Times New Roman"/>
          <w:sz w:val="24"/>
          <w:szCs w:val="24"/>
        </w:rPr>
        <w:t xml:space="preserve">Mansoor, 2020; Castro and </w:t>
      </w:r>
      <w:proofErr w:type="spellStart"/>
      <w:r w:rsidR="00E05C2E" w:rsidRPr="00085DAE">
        <w:rPr>
          <w:rFonts w:ascii="Times New Roman" w:hAnsi="Times New Roman"/>
          <w:sz w:val="24"/>
          <w:szCs w:val="24"/>
        </w:rPr>
        <w:t>Rodroguez</w:t>
      </w:r>
      <w:proofErr w:type="spellEnd"/>
      <w:r w:rsidR="00E05C2E" w:rsidRPr="00085DAE">
        <w:rPr>
          <w:rFonts w:ascii="Times New Roman" w:hAnsi="Times New Roman"/>
          <w:sz w:val="24"/>
          <w:szCs w:val="24"/>
        </w:rPr>
        <w:t xml:space="preserve">, 2024). Oil is said to occupy an important place in the world economy since it is considered as an important source of energy in the world, not just as fuel and source of energy for heating, but also as raw material in </w:t>
      </w:r>
      <w:r w:rsidRPr="00085DAE">
        <w:rPr>
          <w:rFonts w:ascii="Times New Roman" w:hAnsi="Times New Roman"/>
          <w:sz w:val="24"/>
          <w:szCs w:val="24"/>
        </w:rPr>
        <w:t xml:space="preserve">various </w:t>
      </w:r>
      <w:r w:rsidR="00E05C2E" w:rsidRPr="00085DAE">
        <w:rPr>
          <w:rFonts w:ascii="Times New Roman" w:hAnsi="Times New Roman"/>
          <w:sz w:val="24"/>
          <w:szCs w:val="24"/>
        </w:rPr>
        <w:t>production process</w:t>
      </w:r>
      <w:r w:rsidRPr="00085DAE">
        <w:rPr>
          <w:rFonts w:ascii="Times New Roman" w:hAnsi="Times New Roman"/>
          <w:sz w:val="24"/>
          <w:szCs w:val="24"/>
        </w:rPr>
        <w:t>es</w:t>
      </w:r>
      <w:r w:rsidR="00E05C2E" w:rsidRPr="00085DAE">
        <w:rPr>
          <w:rFonts w:ascii="Times New Roman" w:hAnsi="Times New Roman"/>
          <w:sz w:val="24"/>
          <w:szCs w:val="24"/>
        </w:rPr>
        <w:t xml:space="preserve"> (Al-</w:t>
      </w:r>
      <w:proofErr w:type="spellStart"/>
      <w:r w:rsidR="00E05C2E" w:rsidRPr="00085DAE">
        <w:rPr>
          <w:rFonts w:ascii="Times New Roman" w:hAnsi="Times New Roman"/>
          <w:sz w:val="24"/>
          <w:szCs w:val="24"/>
        </w:rPr>
        <w:t>Quduh</w:t>
      </w:r>
      <w:proofErr w:type="spellEnd"/>
      <w:r w:rsidR="00E05C2E" w:rsidRPr="00085DAE">
        <w:rPr>
          <w:rFonts w:ascii="Times New Roman" w:hAnsi="Times New Roman"/>
          <w:sz w:val="24"/>
          <w:szCs w:val="24"/>
        </w:rPr>
        <w:t xml:space="preserve">, 2015). </w:t>
      </w:r>
      <w:proofErr w:type="spellStart"/>
      <w:r w:rsidRPr="00085DAE">
        <w:rPr>
          <w:rFonts w:ascii="Times New Roman" w:hAnsi="Times New Roman"/>
          <w:sz w:val="24"/>
          <w:szCs w:val="24"/>
        </w:rPr>
        <w:t>Ordue</w:t>
      </w:r>
      <w:proofErr w:type="spellEnd"/>
      <w:r w:rsidRPr="00085DAE">
        <w:rPr>
          <w:rFonts w:ascii="Times New Roman" w:hAnsi="Times New Roman"/>
          <w:sz w:val="24"/>
          <w:szCs w:val="24"/>
        </w:rPr>
        <w:t xml:space="preserve"> et al (2024) thus averred that f</w:t>
      </w:r>
      <w:r w:rsidR="00E05C2E" w:rsidRPr="00085DAE">
        <w:rPr>
          <w:rFonts w:ascii="Times New Roman" w:hAnsi="Times New Roman"/>
          <w:sz w:val="24"/>
          <w:szCs w:val="24"/>
        </w:rPr>
        <w:t>luctuations in the prices of oil have over bearing influence on other economic activities of a nation</w:t>
      </w:r>
      <w:r w:rsidR="00401DEF" w:rsidRPr="00085DAE">
        <w:rPr>
          <w:rFonts w:ascii="Times New Roman" w:hAnsi="Times New Roman"/>
          <w:sz w:val="24"/>
          <w:szCs w:val="24"/>
        </w:rPr>
        <w:t>.</w:t>
      </w:r>
    </w:p>
    <w:p w14:paraId="0EC5812F" w14:textId="1BC7C31F" w:rsidR="00856FD2" w:rsidRPr="00085DAE" w:rsidRDefault="00E05C2E" w:rsidP="00085DAE">
      <w:pPr>
        <w:spacing w:after="0" w:line="240" w:lineRule="auto"/>
        <w:rPr>
          <w:rFonts w:ascii="Times New Roman" w:hAnsi="Times New Roman"/>
          <w:sz w:val="24"/>
          <w:szCs w:val="24"/>
        </w:rPr>
      </w:pPr>
      <w:r w:rsidRPr="00085DAE">
        <w:rPr>
          <w:rFonts w:ascii="Times New Roman" w:hAnsi="Times New Roman"/>
          <w:sz w:val="24"/>
          <w:szCs w:val="24"/>
        </w:rPr>
        <w:t xml:space="preserve">Oil price have witnessed large volumes of fluctuations beginning from the big downward </w:t>
      </w:r>
      <w:r w:rsidR="00856FD2" w:rsidRPr="00085DAE">
        <w:rPr>
          <w:rFonts w:ascii="Times New Roman" w:hAnsi="Times New Roman"/>
          <w:sz w:val="24"/>
          <w:szCs w:val="24"/>
        </w:rPr>
        <w:t xml:space="preserve">trend </w:t>
      </w:r>
      <w:r w:rsidRPr="00085DAE">
        <w:rPr>
          <w:rFonts w:ascii="Times New Roman" w:hAnsi="Times New Roman"/>
          <w:sz w:val="24"/>
          <w:szCs w:val="24"/>
        </w:rPr>
        <w:t xml:space="preserve">in oil prices of 1970 (Hamilton, 1983). Empirical evidence from previous studies like </w:t>
      </w:r>
      <w:proofErr w:type="spellStart"/>
      <w:r w:rsidRPr="00085DAE">
        <w:rPr>
          <w:rFonts w:ascii="Times New Roman" w:hAnsi="Times New Roman"/>
          <w:sz w:val="24"/>
          <w:szCs w:val="24"/>
        </w:rPr>
        <w:t>Abeng</w:t>
      </w:r>
      <w:proofErr w:type="spellEnd"/>
      <w:r w:rsidRPr="00085DAE">
        <w:rPr>
          <w:rFonts w:ascii="Times New Roman" w:hAnsi="Times New Roman"/>
          <w:sz w:val="24"/>
          <w:szCs w:val="24"/>
        </w:rPr>
        <w:t xml:space="preserve"> (2017); Killian </w:t>
      </w:r>
      <w:r w:rsidRPr="00085DAE">
        <w:rPr>
          <w:rFonts w:ascii="Times New Roman" w:hAnsi="Times New Roman"/>
          <w:sz w:val="24"/>
          <w:szCs w:val="24"/>
        </w:rPr>
        <w:t>and Park (2009)</w:t>
      </w:r>
      <w:r w:rsidR="00E51D05" w:rsidRPr="00085DAE">
        <w:rPr>
          <w:rFonts w:ascii="Times New Roman" w:hAnsi="Times New Roman"/>
          <w:sz w:val="24"/>
          <w:szCs w:val="24"/>
        </w:rPr>
        <w:t xml:space="preserve">; </w:t>
      </w:r>
      <w:proofErr w:type="spellStart"/>
      <w:r w:rsidR="00E51D05" w:rsidRPr="00085DAE">
        <w:rPr>
          <w:rFonts w:ascii="Times New Roman" w:hAnsi="Times New Roman"/>
          <w:sz w:val="24"/>
          <w:szCs w:val="24"/>
          <w:shd w:val="clear" w:color="auto" w:fill="FFFFFF"/>
        </w:rPr>
        <w:t>Yua</w:t>
      </w:r>
      <w:proofErr w:type="spellEnd"/>
      <w:r w:rsidR="00E51D05" w:rsidRPr="00085DAE">
        <w:rPr>
          <w:rFonts w:ascii="Times New Roman" w:hAnsi="Times New Roman"/>
          <w:sz w:val="24"/>
          <w:szCs w:val="24"/>
          <w:shd w:val="clear" w:color="auto" w:fill="FFFFFF"/>
        </w:rPr>
        <w:t xml:space="preserve">, H., </w:t>
      </w:r>
      <w:proofErr w:type="spellStart"/>
      <w:r w:rsidR="00E51D05" w:rsidRPr="00085DAE">
        <w:rPr>
          <w:rFonts w:ascii="Times New Roman" w:hAnsi="Times New Roman"/>
          <w:sz w:val="24"/>
          <w:szCs w:val="24"/>
          <w:shd w:val="clear" w:color="auto" w:fill="FFFFFF"/>
        </w:rPr>
        <w:t>Epor</w:t>
      </w:r>
      <w:proofErr w:type="spellEnd"/>
      <w:r w:rsidR="00E51D05" w:rsidRPr="00085DAE">
        <w:rPr>
          <w:rFonts w:ascii="Times New Roman" w:hAnsi="Times New Roman"/>
          <w:sz w:val="24"/>
          <w:szCs w:val="24"/>
          <w:shd w:val="clear" w:color="auto" w:fill="FFFFFF"/>
        </w:rPr>
        <w:t xml:space="preserve">, S.O., and </w:t>
      </w:r>
      <w:proofErr w:type="spellStart"/>
      <w:r w:rsidR="00E51D05" w:rsidRPr="00085DAE">
        <w:rPr>
          <w:rFonts w:ascii="Times New Roman" w:hAnsi="Times New Roman"/>
          <w:sz w:val="24"/>
          <w:szCs w:val="24"/>
          <w:shd w:val="clear" w:color="auto" w:fill="FFFFFF"/>
        </w:rPr>
        <w:t>Utor</w:t>
      </w:r>
      <w:proofErr w:type="spellEnd"/>
      <w:r w:rsidR="00E51D05" w:rsidRPr="00085DAE">
        <w:rPr>
          <w:rFonts w:ascii="Times New Roman" w:hAnsi="Times New Roman"/>
          <w:sz w:val="24"/>
          <w:szCs w:val="24"/>
          <w:shd w:val="clear" w:color="auto" w:fill="FFFFFF"/>
        </w:rPr>
        <w:t xml:space="preserve"> V., (2023), </w:t>
      </w:r>
      <w:r w:rsidRPr="00085DAE">
        <w:rPr>
          <w:rFonts w:ascii="Times New Roman" w:hAnsi="Times New Roman"/>
          <w:sz w:val="24"/>
          <w:szCs w:val="24"/>
        </w:rPr>
        <w:t>link</w:t>
      </w:r>
      <w:r w:rsidR="005E247D" w:rsidRPr="00085DAE">
        <w:rPr>
          <w:rFonts w:ascii="Times New Roman" w:hAnsi="Times New Roman"/>
          <w:sz w:val="24"/>
          <w:szCs w:val="24"/>
        </w:rPr>
        <w:t>ed</w:t>
      </w:r>
      <w:r w:rsidRPr="00085DAE">
        <w:rPr>
          <w:rFonts w:ascii="Times New Roman" w:hAnsi="Times New Roman"/>
          <w:sz w:val="24"/>
          <w:szCs w:val="24"/>
        </w:rPr>
        <w:t xml:space="preserve"> changes in oil prices with weak financial systems, stunted growth of the economy, increasing inflation, high interest rates depreciating exchange rate and downward trend in unemployment situations. The price of oil was below $10 in 1986, and around $23 in the 1990s. It peaked at $145 in 2008 before declining to $76 in 2010. This decline continued till 2014 when the price rose to about $127. However, due to the outbreak of </w:t>
      </w:r>
      <w:r w:rsidR="00856FD2" w:rsidRPr="00085DAE">
        <w:rPr>
          <w:rFonts w:ascii="Times New Roman" w:hAnsi="Times New Roman"/>
          <w:sz w:val="24"/>
          <w:szCs w:val="24"/>
        </w:rPr>
        <w:t>c</w:t>
      </w:r>
      <w:r w:rsidRPr="00085DAE">
        <w:rPr>
          <w:rFonts w:ascii="Times New Roman" w:hAnsi="Times New Roman"/>
          <w:sz w:val="24"/>
          <w:szCs w:val="24"/>
        </w:rPr>
        <w:t xml:space="preserve">ovid-19, oil prices went down to as low as $12 around the middle of 2020 before averaging to $68 as at </w:t>
      </w:r>
      <w:r w:rsidR="00856FD2" w:rsidRPr="00085DAE">
        <w:rPr>
          <w:rFonts w:ascii="Times New Roman" w:hAnsi="Times New Roman"/>
          <w:sz w:val="24"/>
          <w:szCs w:val="24"/>
        </w:rPr>
        <w:t xml:space="preserve">the </w:t>
      </w:r>
      <w:r w:rsidRPr="00085DAE">
        <w:rPr>
          <w:rFonts w:ascii="Times New Roman" w:hAnsi="Times New Roman"/>
          <w:sz w:val="24"/>
          <w:szCs w:val="24"/>
        </w:rPr>
        <w:t xml:space="preserve">first quarter of 2021. As at January, 2024, oil prices averaged $98 per barrel. Since crude oil was discovered in large quantities in Nigeria in 1956, it (oil) has dominated the entire economy by accounting for more than 90% of the export earnings, contributing 25% of the GDP and about 80% of public revenues </w:t>
      </w:r>
      <w:r w:rsidR="00856FD2" w:rsidRPr="00085DAE">
        <w:rPr>
          <w:rFonts w:ascii="Times New Roman" w:hAnsi="Times New Roman"/>
          <w:sz w:val="24"/>
          <w:szCs w:val="24"/>
        </w:rPr>
        <w:t xml:space="preserve">as reported by </w:t>
      </w:r>
      <w:proofErr w:type="spellStart"/>
      <w:r w:rsidRPr="00085DAE">
        <w:rPr>
          <w:rFonts w:ascii="Times New Roman" w:hAnsi="Times New Roman"/>
          <w:sz w:val="24"/>
          <w:szCs w:val="24"/>
        </w:rPr>
        <w:t>Kumeka</w:t>
      </w:r>
      <w:proofErr w:type="spellEnd"/>
      <w:r w:rsidRPr="00085DAE">
        <w:rPr>
          <w:rFonts w:ascii="Times New Roman" w:hAnsi="Times New Roman"/>
          <w:sz w:val="24"/>
          <w:szCs w:val="24"/>
        </w:rPr>
        <w:t>, Adeniyi &amp;</w:t>
      </w:r>
      <w:r w:rsidR="00B90AA4" w:rsidRPr="00085DAE">
        <w:rPr>
          <w:rFonts w:ascii="Times New Roman" w:hAnsi="Times New Roman"/>
          <w:sz w:val="24"/>
          <w:szCs w:val="24"/>
        </w:rPr>
        <w:t xml:space="preserve"> </w:t>
      </w:r>
      <w:proofErr w:type="spellStart"/>
      <w:r w:rsidRPr="00085DAE">
        <w:rPr>
          <w:rFonts w:ascii="Times New Roman" w:hAnsi="Times New Roman"/>
          <w:sz w:val="24"/>
          <w:szCs w:val="24"/>
        </w:rPr>
        <w:t>Orekoya</w:t>
      </w:r>
      <w:proofErr w:type="spellEnd"/>
      <w:r w:rsidRPr="00085DAE">
        <w:rPr>
          <w:rFonts w:ascii="Times New Roman" w:hAnsi="Times New Roman"/>
          <w:sz w:val="24"/>
          <w:szCs w:val="24"/>
        </w:rPr>
        <w:t xml:space="preserve">, </w:t>
      </w:r>
      <w:r w:rsidR="00856FD2" w:rsidRPr="00085DAE">
        <w:rPr>
          <w:rFonts w:ascii="Times New Roman" w:hAnsi="Times New Roman"/>
          <w:sz w:val="24"/>
          <w:szCs w:val="24"/>
        </w:rPr>
        <w:t>(</w:t>
      </w:r>
      <w:r w:rsidRPr="00085DAE">
        <w:rPr>
          <w:rFonts w:ascii="Times New Roman" w:hAnsi="Times New Roman"/>
          <w:sz w:val="24"/>
          <w:szCs w:val="24"/>
        </w:rPr>
        <w:t>2017</w:t>
      </w:r>
      <w:r w:rsidR="00856FD2" w:rsidRPr="00085DAE">
        <w:rPr>
          <w:rFonts w:ascii="Times New Roman" w:hAnsi="Times New Roman"/>
          <w:sz w:val="24"/>
          <w:szCs w:val="24"/>
        </w:rPr>
        <w:t>)</w:t>
      </w:r>
      <w:r w:rsidR="00372CD3" w:rsidRPr="00085DAE">
        <w:rPr>
          <w:rFonts w:ascii="Times New Roman" w:hAnsi="Times New Roman"/>
          <w:sz w:val="24"/>
          <w:szCs w:val="24"/>
        </w:rPr>
        <w:t xml:space="preserve">; </w:t>
      </w:r>
      <w:r w:rsidR="00856FD2" w:rsidRPr="00085DAE">
        <w:rPr>
          <w:rFonts w:ascii="Times New Roman" w:hAnsi="Times New Roman"/>
          <w:sz w:val="24"/>
          <w:szCs w:val="24"/>
        </w:rPr>
        <w:t xml:space="preserve">and </w:t>
      </w:r>
      <w:proofErr w:type="spellStart"/>
      <w:r w:rsidR="00372CD3" w:rsidRPr="00085DAE">
        <w:rPr>
          <w:rFonts w:ascii="Times New Roman" w:hAnsi="Times New Roman"/>
          <w:sz w:val="24"/>
          <w:szCs w:val="24"/>
        </w:rPr>
        <w:t>Ajekwe</w:t>
      </w:r>
      <w:proofErr w:type="spellEnd"/>
      <w:r w:rsidR="00372CD3" w:rsidRPr="00085DAE">
        <w:rPr>
          <w:rFonts w:ascii="Times New Roman" w:hAnsi="Times New Roman"/>
          <w:sz w:val="24"/>
          <w:szCs w:val="24"/>
        </w:rPr>
        <w:t xml:space="preserve">, </w:t>
      </w:r>
      <w:proofErr w:type="spellStart"/>
      <w:r w:rsidR="00372CD3" w:rsidRPr="00085DAE">
        <w:rPr>
          <w:rFonts w:ascii="Times New Roman" w:hAnsi="Times New Roman"/>
          <w:sz w:val="24"/>
          <w:szCs w:val="24"/>
        </w:rPr>
        <w:t>Yua</w:t>
      </w:r>
      <w:proofErr w:type="spellEnd"/>
      <w:r w:rsidR="00372CD3" w:rsidRPr="00085DAE">
        <w:rPr>
          <w:rFonts w:ascii="Times New Roman" w:hAnsi="Times New Roman"/>
          <w:sz w:val="24"/>
          <w:szCs w:val="24"/>
        </w:rPr>
        <w:t xml:space="preserve">, &amp; </w:t>
      </w:r>
      <w:proofErr w:type="spellStart"/>
      <w:r w:rsidR="00372CD3" w:rsidRPr="00085DAE">
        <w:rPr>
          <w:rFonts w:ascii="Times New Roman" w:hAnsi="Times New Roman"/>
          <w:sz w:val="24"/>
          <w:szCs w:val="24"/>
        </w:rPr>
        <w:t>Tyona</w:t>
      </w:r>
      <w:proofErr w:type="spellEnd"/>
      <w:r w:rsidR="00372CD3" w:rsidRPr="00085DAE">
        <w:rPr>
          <w:rFonts w:ascii="Times New Roman" w:hAnsi="Times New Roman"/>
          <w:sz w:val="24"/>
          <w:szCs w:val="24"/>
        </w:rPr>
        <w:t xml:space="preserve">, </w:t>
      </w:r>
      <w:r w:rsidR="00856FD2" w:rsidRPr="00085DAE">
        <w:rPr>
          <w:rFonts w:ascii="Times New Roman" w:hAnsi="Times New Roman"/>
          <w:sz w:val="24"/>
          <w:szCs w:val="24"/>
        </w:rPr>
        <w:t>(</w:t>
      </w:r>
      <w:r w:rsidR="00372CD3" w:rsidRPr="00085DAE">
        <w:rPr>
          <w:rFonts w:ascii="Times New Roman" w:hAnsi="Times New Roman"/>
          <w:sz w:val="24"/>
          <w:szCs w:val="24"/>
        </w:rPr>
        <w:t>2024</w:t>
      </w:r>
      <w:r w:rsidRPr="00085DAE">
        <w:rPr>
          <w:rFonts w:ascii="Times New Roman" w:hAnsi="Times New Roman"/>
          <w:sz w:val="24"/>
          <w:szCs w:val="24"/>
        </w:rPr>
        <w:t>).</w:t>
      </w:r>
      <w:r w:rsidR="00CC4083" w:rsidRPr="00085DAE">
        <w:rPr>
          <w:rFonts w:ascii="Times New Roman" w:hAnsi="Times New Roman"/>
          <w:sz w:val="24"/>
          <w:szCs w:val="24"/>
        </w:rPr>
        <w:t xml:space="preserve"> </w:t>
      </w:r>
      <w:r w:rsidRPr="00085DAE">
        <w:rPr>
          <w:rFonts w:ascii="Times New Roman" w:hAnsi="Times New Roman"/>
          <w:sz w:val="24"/>
          <w:szCs w:val="24"/>
        </w:rPr>
        <w:t xml:space="preserve">In the early nineties, there was an increase in oil prices globally by about $1. This led to increased public revenue of over 300 billion dollars and foreign exchange earnings of over 600 million dollars. </w:t>
      </w:r>
    </w:p>
    <w:p w14:paraId="4D6B5AC8" w14:textId="236ACA95" w:rsidR="00E05C2E" w:rsidRPr="00085DAE" w:rsidRDefault="00E05C2E" w:rsidP="00085DAE">
      <w:pPr>
        <w:spacing w:after="0" w:line="240" w:lineRule="auto"/>
        <w:rPr>
          <w:rFonts w:ascii="Times New Roman" w:hAnsi="Times New Roman"/>
          <w:sz w:val="24"/>
          <w:szCs w:val="24"/>
        </w:rPr>
      </w:pPr>
      <w:r w:rsidRPr="00085DAE">
        <w:rPr>
          <w:rFonts w:ascii="Times New Roman" w:hAnsi="Times New Roman"/>
          <w:sz w:val="24"/>
          <w:szCs w:val="24"/>
        </w:rPr>
        <w:t>As important as oil prices are, they are prone to fluctuations; otherwise known as price shocks which according to Hamilton (1983) occurs as a result of changes in demand or supply conditions in the international oil markets. One of the areas through which oil prices exert considerable effect worldwide according to Abdalla (2014</w:t>
      </w:r>
      <w:r w:rsidR="00271F76" w:rsidRPr="00085DAE">
        <w:rPr>
          <w:rFonts w:ascii="Times New Roman" w:hAnsi="Times New Roman"/>
          <w:sz w:val="24"/>
          <w:szCs w:val="24"/>
        </w:rPr>
        <w:t>)</w:t>
      </w:r>
      <w:r w:rsidR="00CC4083" w:rsidRPr="00085DAE">
        <w:rPr>
          <w:rFonts w:ascii="Times New Roman" w:hAnsi="Times New Roman"/>
          <w:sz w:val="24"/>
          <w:szCs w:val="24"/>
        </w:rPr>
        <w:t>;</w:t>
      </w:r>
      <w:r w:rsidRPr="00085DAE">
        <w:rPr>
          <w:rFonts w:ascii="Times New Roman" w:hAnsi="Times New Roman"/>
          <w:sz w:val="24"/>
          <w:szCs w:val="24"/>
        </w:rPr>
        <w:t xml:space="preserve"> Tule, </w:t>
      </w:r>
      <w:r w:rsidR="00271F76" w:rsidRPr="00085DAE">
        <w:rPr>
          <w:rFonts w:ascii="Times New Roman" w:hAnsi="Times New Roman"/>
          <w:sz w:val="24"/>
          <w:szCs w:val="24"/>
        </w:rPr>
        <w:t>et al (</w:t>
      </w:r>
      <w:r w:rsidRPr="00085DAE">
        <w:rPr>
          <w:rFonts w:ascii="Times New Roman" w:hAnsi="Times New Roman"/>
          <w:sz w:val="24"/>
          <w:szCs w:val="24"/>
        </w:rPr>
        <w:t>2019</w:t>
      </w:r>
      <w:r w:rsidR="00271F76" w:rsidRPr="00085DAE">
        <w:rPr>
          <w:rFonts w:ascii="Times New Roman" w:hAnsi="Times New Roman"/>
          <w:sz w:val="24"/>
          <w:szCs w:val="24"/>
        </w:rPr>
        <w:t>)</w:t>
      </w:r>
      <w:r w:rsidR="00CC4083" w:rsidRPr="00085DAE">
        <w:rPr>
          <w:rFonts w:ascii="Times New Roman" w:hAnsi="Times New Roman"/>
          <w:sz w:val="24"/>
          <w:szCs w:val="24"/>
        </w:rPr>
        <w:t xml:space="preserve">; </w:t>
      </w:r>
      <w:proofErr w:type="spellStart"/>
      <w:r w:rsidR="00CC4083" w:rsidRPr="00085DAE">
        <w:rPr>
          <w:rFonts w:ascii="Times New Roman" w:hAnsi="Times New Roman"/>
          <w:sz w:val="24"/>
          <w:szCs w:val="24"/>
        </w:rPr>
        <w:t>Omale</w:t>
      </w:r>
      <w:proofErr w:type="spellEnd"/>
      <w:r w:rsidR="00CC4083" w:rsidRPr="00085DAE">
        <w:rPr>
          <w:rFonts w:ascii="Times New Roman" w:hAnsi="Times New Roman"/>
          <w:sz w:val="24"/>
          <w:szCs w:val="24"/>
        </w:rPr>
        <w:t xml:space="preserve">, </w:t>
      </w:r>
      <w:r w:rsidR="00271F76" w:rsidRPr="00085DAE">
        <w:rPr>
          <w:rFonts w:ascii="Times New Roman" w:hAnsi="Times New Roman"/>
          <w:sz w:val="24"/>
          <w:szCs w:val="24"/>
        </w:rPr>
        <w:t>et al (</w:t>
      </w:r>
      <w:r w:rsidR="00CC4083" w:rsidRPr="00085DAE">
        <w:rPr>
          <w:rFonts w:ascii="Times New Roman" w:hAnsi="Times New Roman"/>
          <w:sz w:val="24"/>
          <w:szCs w:val="24"/>
        </w:rPr>
        <w:t>2024)</w:t>
      </w:r>
      <w:r w:rsidRPr="00085DAE">
        <w:rPr>
          <w:rFonts w:ascii="Times New Roman" w:hAnsi="Times New Roman"/>
          <w:sz w:val="24"/>
          <w:szCs w:val="24"/>
        </w:rPr>
        <w:t xml:space="preserve"> has to do with stock market development.</w:t>
      </w:r>
    </w:p>
    <w:p w14:paraId="051193C3" w14:textId="34225A3B" w:rsidR="00E05C2E" w:rsidRPr="00085DAE" w:rsidRDefault="00E05C2E" w:rsidP="00085DAE">
      <w:pPr>
        <w:spacing w:after="0" w:line="240" w:lineRule="auto"/>
        <w:rPr>
          <w:rFonts w:ascii="Times New Roman" w:hAnsi="Times New Roman"/>
          <w:sz w:val="24"/>
          <w:szCs w:val="24"/>
        </w:rPr>
      </w:pPr>
      <w:r w:rsidRPr="00085DAE">
        <w:rPr>
          <w:rFonts w:ascii="Times New Roman" w:hAnsi="Times New Roman"/>
          <w:sz w:val="24"/>
          <w:szCs w:val="24"/>
        </w:rPr>
        <w:t xml:space="preserve">The stock market is considered worldwide as a market where elements that feed into the development of a nation’s economy is said to operate. In both developed and </w:t>
      </w:r>
      <w:r w:rsidR="00C519FA" w:rsidRPr="00085DAE">
        <w:rPr>
          <w:rFonts w:ascii="Times New Roman" w:hAnsi="Times New Roman"/>
          <w:sz w:val="24"/>
          <w:szCs w:val="24"/>
        </w:rPr>
        <w:t xml:space="preserve">developing </w:t>
      </w:r>
      <w:r w:rsidRPr="00085DAE">
        <w:rPr>
          <w:rFonts w:ascii="Times New Roman" w:hAnsi="Times New Roman"/>
          <w:sz w:val="24"/>
          <w:szCs w:val="24"/>
        </w:rPr>
        <w:t xml:space="preserve">economies, stock markets, which are part of the financial system plays a pivotal role in the development process. A well-functioning economy is one which is </w:t>
      </w:r>
      <w:r w:rsidR="00271F76" w:rsidRPr="00085DAE">
        <w:rPr>
          <w:rFonts w:ascii="Times New Roman" w:hAnsi="Times New Roman"/>
          <w:sz w:val="24"/>
          <w:szCs w:val="24"/>
        </w:rPr>
        <w:t>h</w:t>
      </w:r>
      <w:r w:rsidRPr="00085DAE">
        <w:rPr>
          <w:rFonts w:ascii="Times New Roman" w:hAnsi="Times New Roman"/>
          <w:sz w:val="24"/>
          <w:szCs w:val="24"/>
        </w:rPr>
        <w:t xml:space="preserve">inged on a sound financial system </w:t>
      </w:r>
      <w:r w:rsidR="00DF6CB9" w:rsidRPr="00085DAE">
        <w:rPr>
          <w:rFonts w:ascii="Times New Roman" w:hAnsi="Times New Roman"/>
          <w:sz w:val="24"/>
          <w:szCs w:val="24"/>
        </w:rPr>
        <w:t>in</w:t>
      </w:r>
      <w:r w:rsidRPr="00085DAE">
        <w:rPr>
          <w:rFonts w:ascii="Times New Roman" w:hAnsi="Times New Roman"/>
          <w:sz w:val="24"/>
          <w:szCs w:val="24"/>
        </w:rPr>
        <w:t xml:space="preserve"> which the stock market is a major player.</w:t>
      </w:r>
      <w:r w:rsidR="00AA7C90" w:rsidRPr="00085DAE">
        <w:rPr>
          <w:rFonts w:ascii="Times New Roman" w:hAnsi="Times New Roman"/>
          <w:sz w:val="24"/>
          <w:szCs w:val="24"/>
        </w:rPr>
        <w:t xml:space="preserve"> </w:t>
      </w:r>
      <w:r w:rsidRPr="00085DAE">
        <w:rPr>
          <w:rFonts w:ascii="Times New Roman" w:hAnsi="Times New Roman"/>
          <w:sz w:val="24"/>
          <w:szCs w:val="24"/>
        </w:rPr>
        <w:t xml:space="preserve">Stock </w:t>
      </w:r>
      <w:r w:rsidRPr="00085DAE">
        <w:rPr>
          <w:rFonts w:ascii="Times New Roman" w:hAnsi="Times New Roman"/>
          <w:sz w:val="24"/>
          <w:szCs w:val="24"/>
        </w:rPr>
        <w:lastRenderedPageBreak/>
        <w:t>markets are often seen as a place for accessing long term securities comprising both the primary and secondary market for the issu</w:t>
      </w:r>
      <w:r w:rsidR="00DF6CB9" w:rsidRPr="00085DAE">
        <w:rPr>
          <w:rFonts w:ascii="Times New Roman" w:hAnsi="Times New Roman"/>
          <w:sz w:val="24"/>
          <w:szCs w:val="24"/>
        </w:rPr>
        <w:t xml:space="preserve">ance </w:t>
      </w:r>
      <w:r w:rsidRPr="00085DAE">
        <w:rPr>
          <w:rFonts w:ascii="Times New Roman" w:hAnsi="Times New Roman"/>
          <w:sz w:val="24"/>
          <w:szCs w:val="24"/>
        </w:rPr>
        <w:t xml:space="preserve">of new securities and trading of existing share respectively. Stock markets, as posited by Adenuga </w:t>
      </w:r>
      <w:r w:rsidR="00DF6CB9" w:rsidRPr="00085DAE">
        <w:rPr>
          <w:rFonts w:ascii="Times New Roman" w:hAnsi="Times New Roman"/>
          <w:sz w:val="24"/>
          <w:szCs w:val="24"/>
        </w:rPr>
        <w:t>(</w:t>
      </w:r>
      <w:r w:rsidRPr="00085DAE">
        <w:rPr>
          <w:rFonts w:ascii="Times New Roman" w:hAnsi="Times New Roman"/>
          <w:sz w:val="24"/>
          <w:szCs w:val="24"/>
        </w:rPr>
        <w:t>2010</w:t>
      </w:r>
      <w:r w:rsidR="00DF6CB9" w:rsidRPr="00085DAE">
        <w:rPr>
          <w:rFonts w:ascii="Times New Roman" w:hAnsi="Times New Roman"/>
          <w:sz w:val="24"/>
          <w:szCs w:val="24"/>
        </w:rPr>
        <w:t>)</w:t>
      </w:r>
      <w:r w:rsidR="008D2FD6" w:rsidRPr="00085DAE">
        <w:rPr>
          <w:rFonts w:ascii="Times New Roman" w:hAnsi="Times New Roman"/>
          <w:sz w:val="24"/>
          <w:szCs w:val="24"/>
        </w:rPr>
        <w:t xml:space="preserve">; </w:t>
      </w:r>
      <w:proofErr w:type="spellStart"/>
      <w:r w:rsidR="007A77EA" w:rsidRPr="00085DAE">
        <w:rPr>
          <w:rFonts w:ascii="Times New Roman" w:hAnsi="Times New Roman"/>
          <w:bCs/>
          <w:sz w:val="24"/>
          <w:szCs w:val="24"/>
        </w:rPr>
        <w:t>Yua</w:t>
      </w:r>
      <w:proofErr w:type="spellEnd"/>
      <w:r w:rsidR="007A77EA" w:rsidRPr="00085DAE">
        <w:rPr>
          <w:rFonts w:ascii="Times New Roman" w:hAnsi="Times New Roman"/>
          <w:bCs/>
          <w:sz w:val="24"/>
          <w:szCs w:val="24"/>
        </w:rPr>
        <w:t>,</w:t>
      </w:r>
      <w:r w:rsidR="007A77EA" w:rsidRPr="00085DAE">
        <w:rPr>
          <w:rFonts w:ascii="Times New Roman" w:hAnsi="Times New Roman"/>
          <w:sz w:val="24"/>
          <w:szCs w:val="24"/>
        </w:rPr>
        <w:t xml:space="preserve"> </w:t>
      </w:r>
      <w:proofErr w:type="spellStart"/>
      <w:r w:rsidR="007A77EA" w:rsidRPr="00085DAE">
        <w:rPr>
          <w:rFonts w:ascii="Times New Roman" w:hAnsi="Times New Roman"/>
          <w:sz w:val="24"/>
          <w:szCs w:val="24"/>
        </w:rPr>
        <w:t>Epor</w:t>
      </w:r>
      <w:proofErr w:type="spellEnd"/>
      <w:r w:rsidR="007A77EA" w:rsidRPr="00085DAE">
        <w:rPr>
          <w:rFonts w:ascii="Times New Roman" w:hAnsi="Times New Roman"/>
          <w:sz w:val="24"/>
          <w:szCs w:val="24"/>
        </w:rPr>
        <w:t xml:space="preserve">, &amp; </w:t>
      </w:r>
      <w:proofErr w:type="spellStart"/>
      <w:r w:rsidR="007A77EA" w:rsidRPr="00085DAE">
        <w:rPr>
          <w:rFonts w:ascii="Times New Roman" w:hAnsi="Times New Roman"/>
          <w:sz w:val="24"/>
          <w:szCs w:val="24"/>
        </w:rPr>
        <w:t>Ajekwe</w:t>
      </w:r>
      <w:proofErr w:type="spellEnd"/>
      <w:r w:rsidR="007A77EA" w:rsidRPr="00085DAE">
        <w:rPr>
          <w:rFonts w:ascii="Times New Roman" w:hAnsi="Times New Roman"/>
          <w:sz w:val="24"/>
          <w:szCs w:val="24"/>
        </w:rPr>
        <w:t xml:space="preserve">, </w:t>
      </w:r>
      <w:r w:rsidR="00DF6CB9" w:rsidRPr="00085DAE">
        <w:rPr>
          <w:rFonts w:ascii="Times New Roman" w:hAnsi="Times New Roman"/>
          <w:sz w:val="24"/>
          <w:szCs w:val="24"/>
        </w:rPr>
        <w:t>(</w:t>
      </w:r>
      <w:r w:rsidR="007A77EA" w:rsidRPr="00085DAE">
        <w:rPr>
          <w:rFonts w:ascii="Times New Roman" w:hAnsi="Times New Roman"/>
          <w:sz w:val="24"/>
          <w:szCs w:val="24"/>
        </w:rPr>
        <w:t>2025)</w:t>
      </w:r>
      <w:r w:rsidRPr="00085DAE">
        <w:rPr>
          <w:rFonts w:ascii="Times New Roman" w:hAnsi="Times New Roman"/>
          <w:sz w:val="24"/>
          <w:szCs w:val="24"/>
        </w:rPr>
        <w:t xml:space="preserve"> supports resource allocation to spur growth by reducing transaction costs, affecting the average productivity of capital mobilizing savings and altering the rate of investment, promoting and improving resource allocation among others. On the other hand, stock market also has some degree of influence on the oil market. For instance, a boom in the stock market will induce an increase demand for more production which will require listed firms using more inputs from oil which may likely affect the oil prices.</w:t>
      </w:r>
    </w:p>
    <w:p w14:paraId="5347A0C1" w14:textId="4215DB18" w:rsidR="00580757" w:rsidRPr="00085DAE" w:rsidRDefault="00E05C2E" w:rsidP="00085DAE">
      <w:pPr>
        <w:spacing w:after="0" w:line="240" w:lineRule="auto"/>
        <w:rPr>
          <w:rFonts w:ascii="Times New Roman" w:hAnsi="Times New Roman"/>
          <w:sz w:val="24"/>
          <w:szCs w:val="24"/>
        </w:rPr>
      </w:pPr>
      <w:r w:rsidRPr="00085DAE">
        <w:rPr>
          <w:rFonts w:ascii="Times New Roman" w:hAnsi="Times New Roman"/>
          <w:sz w:val="24"/>
          <w:szCs w:val="24"/>
        </w:rPr>
        <w:t xml:space="preserve">Oil price shocks are considered to be among the factors that effects stock market performance in Nigeria considering its predominance both as a source of public revenue and foreign exchange. </w:t>
      </w:r>
      <w:r w:rsidR="00DF6CB9" w:rsidRPr="00085DAE">
        <w:rPr>
          <w:rFonts w:ascii="Times New Roman" w:hAnsi="Times New Roman"/>
          <w:sz w:val="24"/>
          <w:szCs w:val="24"/>
        </w:rPr>
        <w:t xml:space="preserve">Due to </w:t>
      </w:r>
      <w:r w:rsidRPr="00085DAE">
        <w:rPr>
          <w:rFonts w:ascii="Times New Roman" w:hAnsi="Times New Roman"/>
          <w:sz w:val="24"/>
          <w:szCs w:val="24"/>
        </w:rPr>
        <w:t xml:space="preserve">the glaring effect of oil prices shocks on real economic activity, especially on a stock market return, several scholars have probe into the oil prices stock return nexus. Studies such as </w:t>
      </w:r>
      <w:proofErr w:type="spellStart"/>
      <w:r w:rsidRPr="00085DAE">
        <w:rPr>
          <w:rFonts w:ascii="Times New Roman" w:hAnsi="Times New Roman"/>
          <w:sz w:val="24"/>
          <w:szCs w:val="24"/>
        </w:rPr>
        <w:t>Olufisayo</w:t>
      </w:r>
      <w:proofErr w:type="spellEnd"/>
      <w:r w:rsidRPr="00085DAE">
        <w:rPr>
          <w:rFonts w:ascii="Times New Roman" w:hAnsi="Times New Roman"/>
          <w:sz w:val="24"/>
          <w:szCs w:val="24"/>
        </w:rPr>
        <w:t xml:space="preserve"> (2014), Abraham (2016), </w:t>
      </w:r>
      <w:proofErr w:type="spellStart"/>
      <w:r w:rsidR="00146E45" w:rsidRPr="00085DAE">
        <w:rPr>
          <w:rFonts w:ascii="Times New Roman" w:hAnsi="Times New Roman"/>
          <w:sz w:val="24"/>
          <w:szCs w:val="24"/>
        </w:rPr>
        <w:t>Ajekwe</w:t>
      </w:r>
      <w:proofErr w:type="spellEnd"/>
      <w:r w:rsidR="00146E45" w:rsidRPr="00085DAE">
        <w:rPr>
          <w:rFonts w:ascii="Times New Roman" w:hAnsi="Times New Roman"/>
          <w:sz w:val="24"/>
          <w:szCs w:val="24"/>
        </w:rPr>
        <w:t xml:space="preserve">, </w:t>
      </w:r>
      <w:r w:rsidR="00DF6CB9" w:rsidRPr="00085DAE">
        <w:rPr>
          <w:rFonts w:ascii="Times New Roman" w:hAnsi="Times New Roman"/>
          <w:sz w:val="24"/>
          <w:szCs w:val="24"/>
        </w:rPr>
        <w:t xml:space="preserve">et al </w:t>
      </w:r>
      <w:r w:rsidR="00146E45" w:rsidRPr="00085DAE">
        <w:rPr>
          <w:rFonts w:ascii="Times New Roman" w:hAnsi="Times New Roman"/>
          <w:sz w:val="24"/>
          <w:szCs w:val="24"/>
        </w:rPr>
        <w:t xml:space="preserve">(2024), </w:t>
      </w:r>
      <w:r w:rsidRPr="00085DAE">
        <w:rPr>
          <w:rFonts w:ascii="Times New Roman" w:hAnsi="Times New Roman"/>
          <w:sz w:val="24"/>
          <w:szCs w:val="24"/>
        </w:rPr>
        <w:t xml:space="preserve">Lawal, </w:t>
      </w:r>
      <w:proofErr w:type="spellStart"/>
      <w:r w:rsidRPr="00085DAE">
        <w:rPr>
          <w:rFonts w:ascii="Times New Roman" w:hAnsi="Times New Roman"/>
          <w:sz w:val="24"/>
          <w:szCs w:val="24"/>
        </w:rPr>
        <w:t>Somoye</w:t>
      </w:r>
      <w:proofErr w:type="spellEnd"/>
      <w:r w:rsidRPr="00085DAE">
        <w:rPr>
          <w:rFonts w:ascii="Times New Roman" w:hAnsi="Times New Roman"/>
          <w:sz w:val="24"/>
          <w:szCs w:val="24"/>
        </w:rPr>
        <w:t xml:space="preserve"> and </w:t>
      </w:r>
      <w:proofErr w:type="spellStart"/>
      <w:r w:rsidRPr="00085DAE">
        <w:rPr>
          <w:rFonts w:ascii="Times New Roman" w:hAnsi="Times New Roman"/>
          <w:sz w:val="24"/>
          <w:szCs w:val="24"/>
        </w:rPr>
        <w:t>Babajide</w:t>
      </w:r>
      <w:proofErr w:type="spellEnd"/>
      <w:r w:rsidRPr="00085DAE">
        <w:rPr>
          <w:rFonts w:ascii="Times New Roman" w:hAnsi="Times New Roman"/>
          <w:sz w:val="24"/>
          <w:szCs w:val="24"/>
        </w:rPr>
        <w:t xml:space="preserve"> (2016) maintained that oil price shocks </w:t>
      </w:r>
      <w:r w:rsidR="00DF6CB9" w:rsidRPr="00085DAE">
        <w:rPr>
          <w:rFonts w:ascii="Times New Roman" w:hAnsi="Times New Roman"/>
          <w:sz w:val="24"/>
          <w:szCs w:val="24"/>
        </w:rPr>
        <w:t>affect</w:t>
      </w:r>
      <w:r w:rsidRPr="00085DAE">
        <w:rPr>
          <w:rFonts w:ascii="Times New Roman" w:hAnsi="Times New Roman"/>
          <w:sz w:val="24"/>
          <w:szCs w:val="24"/>
        </w:rPr>
        <w:t xml:space="preserve"> stock returns negatively, while other </w:t>
      </w:r>
      <w:r w:rsidR="00DF6CB9" w:rsidRPr="00085DAE">
        <w:rPr>
          <w:rFonts w:ascii="Times New Roman" w:hAnsi="Times New Roman"/>
          <w:sz w:val="24"/>
          <w:szCs w:val="24"/>
        </w:rPr>
        <w:t xml:space="preserve">studies reported by </w:t>
      </w:r>
      <w:proofErr w:type="spellStart"/>
      <w:r w:rsidRPr="00085DAE">
        <w:rPr>
          <w:rFonts w:ascii="Times New Roman" w:hAnsi="Times New Roman"/>
          <w:sz w:val="24"/>
          <w:szCs w:val="24"/>
        </w:rPr>
        <w:t>Adebuji</w:t>
      </w:r>
      <w:proofErr w:type="spellEnd"/>
      <w:r w:rsidRPr="00085DAE">
        <w:rPr>
          <w:rFonts w:ascii="Times New Roman" w:hAnsi="Times New Roman"/>
          <w:sz w:val="24"/>
          <w:szCs w:val="24"/>
        </w:rPr>
        <w:t xml:space="preserve">, </w:t>
      </w:r>
      <w:r w:rsidR="00DF6CB9" w:rsidRPr="00085DAE">
        <w:rPr>
          <w:rFonts w:ascii="Times New Roman" w:hAnsi="Times New Roman"/>
          <w:sz w:val="24"/>
          <w:szCs w:val="24"/>
        </w:rPr>
        <w:t xml:space="preserve">et al </w:t>
      </w:r>
      <w:r w:rsidRPr="00085DAE">
        <w:rPr>
          <w:rFonts w:ascii="Times New Roman" w:hAnsi="Times New Roman"/>
          <w:sz w:val="24"/>
          <w:szCs w:val="24"/>
        </w:rPr>
        <w:t xml:space="preserve">(2009) </w:t>
      </w:r>
      <w:r w:rsidR="00DF6CB9" w:rsidRPr="00085DAE">
        <w:rPr>
          <w:rFonts w:ascii="Times New Roman" w:hAnsi="Times New Roman"/>
          <w:sz w:val="24"/>
          <w:szCs w:val="24"/>
        </w:rPr>
        <w:t xml:space="preserve">expressed </w:t>
      </w:r>
      <w:r w:rsidRPr="00085DAE">
        <w:rPr>
          <w:rFonts w:ascii="Times New Roman" w:hAnsi="Times New Roman"/>
          <w:sz w:val="24"/>
          <w:szCs w:val="24"/>
        </w:rPr>
        <w:t xml:space="preserve">contrary </w:t>
      </w:r>
      <w:r w:rsidR="00DF6CB9" w:rsidRPr="00085DAE">
        <w:rPr>
          <w:rFonts w:ascii="Times New Roman" w:hAnsi="Times New Roman"/>
          <w:sz w:val="24"/>
          <w:szCs w:val="24"/>
        </w:rPr>
        <w:t>opinion</w:t>
      </w:r>
      <w:r w:rsidRPr="00085DAE">
        <w:rPr>
          <w:rFonts w:ascii="Times New Roman" w:hAnsi="Times New Roman"/>
          <w:sz w:val="24"/>
          <w:szCs w:val="24"/>
        </w:rPr>
        <w:t>. However, as Kumar (2014) discovered, emerging markets are more vulnerable or prone to negative news and events happening elsewhere like the global economic crises of 2008/2009 usually results in institutional investments flowing into or out of the market, creating an environment of high volatility and uncertainty.</w:t>
      </w:r>
      <w:r w:rsidR="000573DC" w:rsidRPr="00085DAE">
        <w:rPr>
          <w:rFonts w:ascii="Times New Roman" w:hAnsi="Times New Roman"/>
          <w:sz w:val="24"/>
          <w:szCs w:val="24"/>
        </w:rPr>
        <w:t xml:space="preserve"> </w:t>
      </w:r>
      <w:r w:rsidRPr="00085DAE">
        <w:rPr>
          <w:rFonts w:ascii="Times New Roman" w:hAnsi="Times New Roman"/>
          <w:sz w:val="24"/>
          <w:szCs w:val="24"/>
        </w:rPr>
        <w:t>Against this background, therefore, this study intends to examine</w:t>
      </w:r>
      <w:r w:rsidR="00580757" w:rsidRPr="00085DAE">
        <w:rPr>
          <w:rFonts w:ascii="Times New Roman" w:hAnsi="Times New Roman"/>
          <w:sz w:val="24"/>
          <w:szCs w:val="24"/>
        </w:rPr>
        <w:t xml:space="preserve"> the impact of the return spillover from oil prices to sector specific stock returns, stock indices, stock returns to oil prices, conditional correlation between oil prices and each of the sectors in</w:t>
      </w:r>
      <w:r w:rsidR="007A73BE" w:rsidRPr="00085DAE">
        <w:rPr>
          <w:rFonts w:ascii="Times New Roman" w:hAnsi="Times New Roman"/>
          <w:sz w:val="24"/>
          <w:szCs w:val="24"/>
        </w:rPr>
        <w:t xml:space="preserve"> </w:t>
      </w:r>
      <w:r w:rsidR="00580757" w:rsidRPr="00085DAE">
        <w:rPr>
          <w:rFonts w:ascii="Times New Roman" w:hAnsi="Times New Roman"/>
          <w:sz w:val="24"/>
          <w:szCs w:val="24"/>
        </w:rPr>
        <w:t>Nigeria.</w:t>
      </w:r>
    </w:p>
    <w:p w14:paraId="44896E24" w14:textId="77777777" w:rsidR="009A2413" w:rsidRDefault="009A2413" w:rsidP="00DE0B1C">
      <w:pPr>
        <w:spacing w:after="0" w:line="240" w:lineRule="auto"/>
        <w:jc w:val="both"/>
        <w:rPr>
          <w:rFonts w:ascii="Times New Roman" w:hAnsi="Times New Roman"/>
          <w:b/>
          <w:sz w:val="24"/>
          <w:szCs w:val="24"/>
        </w:rPr>
      </w:pPr>
    </w:p>
    <w:p w14:paraId="572A65BC" w14:textId="10310B41" w:rsidR="00DF6CB9" w:rsidRPr="00085DAE" w:rsidRDefault="00DF6CB9" w:rsidP="00DE0B1C">
      <w:pPr>
        <w:spacing w:after="0" w:line="240" w:lineRule="auto"/>
        <w:jc w:val="both"/>
        <w:rPr>
          <w:rFonts w:ascii="Times New Roman" w:hAnsi="Times New Roman"/>
          <w:b/>
          <w:sz w:val="24"/>
          <w:szCs w:val="24"/>
        </w:rPr>
      </w:pPr>
      <w:r w:rsidRPr="00085DAE">
        <w:rPr>
          <w:rFonts w:ascii="Times New Roman" w:hAnsi="Times New Roman"/>
          <w:b/>
          <w:sz w:val="24"/>
          <w:szCs w:val="24"/>
        </w:rPr>
        <w:t>CONCEPTUAL PERSPECTIVE</w:t>
      </w:r>
    </w:p>
    <w:p w14:paraId="36AEB0E5" w14:textId="5B82FFAF" w:rsidR="00D458F7" w:rsidRDefault="00D458F7" w:rsidP="00085DAE">
      <w:pPr>
        <w:spacing w:after="0" w:line="240" w:lineRule="auto"/>
        <w:rPr>
          <w:rFonts w:ascii="Times New Roman" w:eastAsia="Times New Roman" w:hAnsi="Times New Roman"/>
          <w:sz w:val="24"/>
          <w:szCs w:val="24"/>
        </w:rPr>
      </w:pPr>
      <w:r w:rsidRPr="00D458F7">
        <w:rPr>
          <w:rFonts w:ascii="Times New Roman" w:eastAsia="Times New Roman" w:hAnsi="Times New Roman"/>
          <w:sz w:val="24"/>
          <w:szCs w:val="24"/>
        </w:rPr>
        <w:t>Oil price shocks are unexpected changes in global demand and supply due to economic or geopolitical events. Demand-side shocks, such as the Iranian invasion of the U.S. embassy in 1978 and Iraq's invasion of Kuwait in 1980, disrupt</w:t>
      </w:r>
      <w:r w:rsidR="00E742A3">
        <w:rPr>
          <w:rFonts w:ascii="Times New Roman" w:eastAsia="Times New Roman" w:hAnsi="Times New Roman"/>
          <w:sz w:val="24"/>
          <w:szCs w:val="24"/>
        </w:rPr>
        <w:t>ed</w:t>
      </w:r>
      <w:r w:rsidRPr="00D458F7">
        <w:rPr>
          <w:rFonts w:ascii="Times New Roman" w:eastAsia="Times New Roman" w:hAnsi="Times New Roman"/>
          <w:sz w:val="24"/>
          <w:szCs w:val="24"/>
        </w:rPr>
        <w:t xml:space="preserve"> oil production and led to higher prices. Demand-side shocks, like China's economic growth and the 2007-2009 financial crises, also </w:t>
      </w:r>
      <w:r w:rsidR="00E742A3">
        <w:rPr>
          <w:rFonts w:ascii="Times New Roman" w:eastAsia="Times New Roman" w:hAnsi="Times New Roman"/>
          <w:sz w:val="24"/>
          <w:szCs w:val="24"/>
        </w:rPr>
        <w:t xml:space="preserve">resulted in </w:t>
      </w:r>
      <w:r w:rsidRPr="00D458F7">
        <w:rPr>
          <w:rFonts w:ascii="Times New Roman" w:eastAsia="Times New Roman" w:hAnsi="Times New Roman"/>
          <w:sz w:val="24"/>
          <w:szCs w:val="24"/>
        </w:rPr>
        <w:t xml:space="preserve">oil price collapse. Killian (2009) </w:t>
      </w:r>
      <w:r w:rsidR="00E742A3" w:rsidRPr="00085DAE">
        <w:rPr>
          <w:rFonts w:ascii="Times New Roman" w:eastAsia="Times New Roman" w:hAnsi="Times New Roman"/>
          <w:sz w:val="24"/>
          <w:szCs w:val="24"/>
        </w:rPr>
        <w:t xml:space="preserve">thus </w:t>
      </w:r>
      <w:r w:rsidRPr="00085DAE">
        <w:rPr>
          <w:rFonts w:ascii="Times New Roman" w:eastAsia="Times New Roman" w:hAnsi="Times New Roman"/>
          <w:sz w:val="24"/>
          <w:szCs w:val="24"/>
        </w:rPr>
        <w:t>identifie</w:t>
      </w:r>
      <w:r w:rsidR="00E742A3" w:rsidRPr="00085DAE">
        <w:rPr>
          <w:rFonts w:ascii="Times New Roman" w:eastAsia="Times New Roman" w:hAnsi="Times New Roman"/>
          <w:sz w:val="24"/>
          <w:szCs w:val="24"/>
        </w:rPr>
        <w:t>d</w:t>
      </w:r>
      <w:r w:rsidRPr="00D458F7">
        <w:rPr>
          <w:rFonts w:ascii="Times New Roman" w:eastAsia="Times New Roman" w:hAnsi="Times New Roman"/>
          <w:sz w:val="24"/>
          <w:szCs w:val="24"/>
        </w:rPr>
        <w:t xml:space="preserve"> three types of oil price shocks: supply-side shocks, aggregate demand shocks, and precautionary demand shocks.</w:t>
      </w:r>
    </w:p>
    <w:p w14:paraId="66C51183" w14:textId="77777777" w:rsidR="0019525A" w:rsidRPr="00D458F7" w:rsidRDefault="0019525A" w:rsidP="00D458F7">
      <w:pPr>
        <w:spacing w:after="0" w:line="240" w:lineRule="auto"/>
        <w:jc w:val="both"/>
        <w:rPr>
          <w:rFonts w:ascii="Times New Roman" w:eastAsia="Times New Roman" w:hAnsi="Times New Roman"/>
          <w:sz w:val="14"/>
          <w:szCs w:val="24"/>
        </w:rPr>
      </w:pPr>
    </w:p>
    <w:p w14:paraId="313DC401" w14:textId="7EEFD30F" w:rsidR="00DE0B1C" w:rsidRPr="00E742A3" w:rsidRDefault="00DE0B1C" w:rsidP="00E742A3">
      <w:pPr>
        <w:pStyle w:val="ListParagraph"/>
        <w:numPr>
          <w:ilvl w:val="0"/>
          <w:numId w:val="21"/>
        </w:numPr>
        <w:spacing w:after="0" w:line="240" w:lineRule="auto"/>
        <w:rPr>
          <w:rFonts w:ascii="Times New Roman" w:hAnsi="Times New Roman"/>
          <w:b/>
          <w:sz w:val="24"/>
          <w:szCs w:val="24"/>
        </w:rPr>
      </w:pPr>
      <w:r w:rsidRPr="00E742A3">
        <w:rPr>
          <w:rFonts w:ascii="Times New Roman" w:hAnsi="Times New Roman"/>
          <w:b/>
          <w:sz w:val="24"/>
          <w:szCs w:val="24"/>
        </w:rPr>
        <w:t>Concept of Stock Returns</w:t>
      </w:r>
    </w:p>
    <w:p w14:paraId="2995260B" w14:textId="77777777" w:rsidR="004C1886" w:rsidRPr="004C1886" w:rsidRDefault="004C1886" w:rsidP="004C1886">
      <w:pPr>
        <w:spacing w:after="0" w:line="240" w:lineRule="auto"/>
        <w:rPr>
          <w:rFonts w:ascii="Times New Roman" w:eastAsia="Times New Roman" w:hAnsi="Times New Roman"/>
          <w:sz w:val="24"/>
          <w:szCs w:val="24"/>
        </w:rPr>
      </w:pPr>
      <w:r w:rsidRPr="004C1886">
        <w:rPr>
          <w:rFonts w:ascii="Times New Roman" w:eastAsia="Times New Roman" w:hAnsi="Times New Roman"/>
          <w:sz w:val="24"/>
          <w:szCs w:val="24"/>
        </w:rPr>
        <w:t>Investors invest resources for earnings and income, often foc</w:t>
      </w:r>
      <w:r>
        <w:rPr>
          <w:rFonts w:ascii="Times New Roman" w:eastAsia="Times New Roman" w:hAnsi="Times New Roman"/>
          <w:sz w:val="24"/>
          <w:szCs w:val="24"/>
        </w:rPr>
        <w:t xml:space="preserve">using on profits from shares or </w:t>
      </w:r>
      <w:r w:rsidRPr="004C1886">
        <w:rPr>
          <w:rFonts w:ascii="Times New Roman" w:eastAsia="Times New Roman" w:hAnsi="Times New Roman"/>
          <w:sz w:val="24"/>
          <w:szCs w:val="24"/>
        </w:rPr>
        <w:t>dividends. Stock returns, measured by changes in firm prices on the Nigerian stock exchange, are influenced by various economic risk factors and global economic events.</w:t>
      </w:r>
    </w:p>
    <w:p w14:paraId="59E13901" w14:textId="77777777" w:rsidR="00DE0B1C" w:rsidRDefault="00DE0B1C" w:rsidP="00DE0B1C">
      <w:pPr>
        <w:spacing w:line="240" w:lineRule="auto"/>
        <w:jc w:val="both"/>
        <w:rPr>
          <w:rFonts w:ascii="Times New Roman" w:hAnsi="Times New Roman"/>
          <w:sz w:val="24"/>
          <w:szCs w:val="24"/>
        </w:rPr>
      </w:pPr>
      <w:r>
        <w:rPr>
          <w:rFonts w:ascii="Times New Roman" w:hAnsi="Times New Roman"/>
          <w:sz w:val="24"/>
          <w:szCs w:val="24"/>
        </w:rPr>
        <w:t>For this study the daily returns of the series will be calculated as</w:t>
      </w:r>
    </w:p>
    <w:p w14:paraId="3054C05E" w14:textId="0871B6CE" w:rsidR="00DE0B1C" w:rsidRPr="00E2049E" w:rsidRDefault="00000000" w:rsidP="00DE0B1C">
      <w:pPr>
        <w:spacing w:line="240" w:lineRule="auto"/>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it</m:t>
            </m:r>
          </m:sub>
        </m:sSub>
        <m:r>
          <w:rPr>
            <w:rFonts w:ascii="Cambria Math" w:hAnsi="Cambria Math"/>
            <w:sz w:val="28"/>
            <w:szCs w:val="28"/>
          </w:rPr>
          <m:t>=log</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m:t>
                </m:r>
              </m:sub>
            </m:sSub>
          </m:num>
          <m:den>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t-1</m:t>
                </m:r>
              </m:sub>
            </m:sSub>
          </m:den>
        </m:f>
        <m:r>
          <w:rPr>
            <w:rFonts w:ascii="Cambria Math" w:hAnsi="Cambria Math"/>
            <w:sz w:val="28"/>
            <w:szCs w:val="28"/>
          </w:rPr>
          <m:t>=log</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m:t>
            </m:r>
          </m:sub>
        </m:sSub>
        <m:r>
          <w:rPr>
            <w:rFonts w:ascii="Cambria Math" w:hAnsi="Cambria Math"/>
            <w:sz w:val="28"/>
            <w:szCs w:val="28"/>
          </w:rPr>
          <m:t>-log</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t-1</m:t>
            </m:r>
          </m:sub>
        </m:sSub>
      </m:oMath>
      <w:r w:rsidR="00DE0B1C" w:rsidRPr="00E2049E">
        <w:rPr>
          <w:rFonts w:ascii="Times New Roman" w:hAnsi="Times New Roman"/>
          <w:sz w:val="24"/>
          <w:szCs w:val="24"/>
        </w:rPr>
        <w:tab/>
      </w:r>
      <w:r w:rsidR="00DE0B1C" w:rsidRPr="00E2049E">
        <w:rPr>
          <w:rFonts w:ascii="Times New Roman" w:hAnsi="Times New Roman"/>
          <w:sz w:val="24"/>
          <w:szCs w:val="24"/>
        </w:rPr>
        <w:tab/>
      </w:r>
      <w:r w:rsidR="00DE0B1C" w:rsidRPr="00E2049E">
        <w:rPr>
          <w:rFonts w:ascii="Times New Roman" w:hAnsi="Times New Roman"/>
          <w:sz w:val="24"/>
          <w:szCs w:val="24"/>
        </w:rPr>
        <w:tab/>
      </w:r>
    </w:p>
    <w:p w14:paraId="2F395D7B" w14:textId="77777777" w:rsidR="009A2413" w:rsidRDefault="00DE0B1C" w:rsidP="00DE0B1C">
      <w:pPr>
        <w:spacing w:line="240" w:lineRule="auto"/>
        <w:jc w:val="both"/>
        <w:rPr>
          <w:rFonts w:ascii="Times New Roman" w:hAnsi="Times New Roman"/>
          <w:sz w:val="24"/>
          <w:szCs w:val="24"/>
        </w:rPr>
      </w:pPr>
      <w:r w:rsidRPr="00E2049E">
        <w:rPr>
          <w:rFonts w:ascii="Times New Roman" w:hAnsi="Times New Roman"/>
          <w:sz w:val="24"/>
          <w:szCs w:val="24"/>
        </w:rPr>
        <w:t>Where</w:t>
      </w:r>
      <w:r w:rsidR="009A2413">
        <w:rPr>
          <w:rFonts w:ascii="Times New Roman" w:hAnsi="Times New Roman"/>
          <w:sz w:val="24"/>
          <w:szCs w:val="24"/>
        </w:rPr>
        <w:t>;</w:t>
      </w:r>
    </w:p>
    <w:p w14:paraId="3E64AA4B" w14:textId="392D0BF8" w:rsidR="00DE0B1C" w:rsidRPr="00E2049E" w:rsidRDefault="00DE0B1C" w:rsidP="009A2413">
      <w:pPr>
        <w:spacing w:line="240" w:lineRule="auto"/>
        <w:rPr>
          <w:rFonts w:ascii="Times New Roman" w:hAnsi="Times New Roman"/>
          <w:sz w:val="24"/>
          <w:szCs w:val="24"/>
        </w:rPr>
      </w:pPr>
      <w:r w:rsidRPr="00E2049E">
        <w:rPr>
          <w:rFonts w:ascii="Times New Roman" w:hAnsi="Times New Roman"/>
          <w:sz w:val="24"/>
          <w:szCs w:val="24"/>
        </w:rPr>
        <w:t xml:space="preserve"> </w:t>
      </w:r>
      <m:oMath>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m:t>
            </m:r>
          </m:sub>
        </m:sSub>
      </m:oMath>
      <w:r w:rsidRPr="00E2049E">
        <w:rPr>
          <w:rFonts w:ascii="Times New Roman" w:hAnsi="Times New Roman"/>
          <w:sz w:val="24"/>
          <w:szCs w:val="24"/>
        </w:rPr>
        <w:t xml:space="preserve"> is the dail</w:t>
      </w:r>
      <w:r>
        <w:rPr>
          <w:rFonts w:ascii="Times New Roman" w:hAnsi="Times New Roman"/>
          <w:sz w:val="24"/>
          <w:szCs w:val="24"/>
        </w:rPr>
        <w:t>y close price of oil, and the eleven (11)</w:t>
      </w:r>
      <w:r w:rsidR="00E742A3">
        <w:rPr>
          <w:rFonts w:ascii="Times New Roman" w:hAnsi="Times New Roman"/>
          <w:sz w:val="24"/>
          <w:szCs w:val="24"/>
        </w:rPr>
        <w:t xml:space="preserve"> </w:t>
      </w:r>
      <w:r>
        <w:rPr>
          <w:rFonts w:ascii="Times New Roman" w:hAnsi="Times New Roman"/>
          <w:sz w:val="24"/>
          <w:szCs w:val="24"/>
        </w:rPr>
        <w:t>sector</w:t>
      </w:r>
      <w:r w:rsidR="00E742A3">
        <w:rPr>
          <w:rFonts w:ascii="Times New Roman" w:hAnsi="Times New Roman"/>
          <w:sz w:val="24"/>
          <w:szCs w:val="24"/>
        </w:rPr>
        <w:t>-</w:t>
      </w:r>
      <w:r w:rsidRPr="00E2049E">
        <w:rPr>
          <w:rFonts w:ascii="Times New Roman" w:hAnsi="Times New Roman"/>
          <w:sz w:val="24"/>
          <w:szCs w:val="24"/>
        </w:rPr>
        <w:t>indices</w:t>
      </w:r>
      <w:r>
        <w:rPr>
          <w:rFonts w:ascii="Times New Roman" w:hAnsi="Times New Roman"/>
          <w:sz w:val="24"/>
          <w:szCs w:val="24"/>
        </w:rPr>
        <w:t xml:space="preserve"> namely; Agriculture,</w:t>
      </w:r>
      <w:r w:rsidR="009A2413">
        <w:rPr>
          <w:rFonts w:ascii="Times New Roman" w:hAnsi="Times New Roman"/>
          <w:sz w:val="24"/>
          <w:szCs w:val="24"/>
        </w:rPr>
        <w:t xml:space="preserve"> </w:t>
      </w:r>
      <w:r>
        <w:rPr>
          <w:rFonts w:ascii="Times New Roman" w:hAnsi="Times New Roman"/>
          <w:sz w:val="24"/>
          <w:szCs w:val="24"/>
        </w:rPr>
        <w:t>Conglomerates,</w:t>
      </w:r>
      <w:r w:rsidR="009A2413">
        <w:rPr>
          <w:rFonts w:ascii="Times New Roman" w:hAnsi="Times New Roman"/>
          <w:sz w:val="24"/>
          <w:szCs w:val="24"/>
        </w:rPr>
        <w:t xml:space="preserve"> </w:t>
      </w:r>
      <w:r>
        <w:rPr>
          <w:rFonts w:ascii="Times New Roman" w:hAnsi="Times New Roman"/>
          <w:sz w:val="24"/>
          <w:szCs w:val="24"/>
        </w:rPr>
        <w:t>Construction</w:t>
      </w:r>
      <w:r w:rsidR="009A2413">
        <w:rPr>
          <w:rFonts w:ascii="Times New Roman" w:hAnsi="Times New Roman"/>
          <w:sz w:val="24"/>
          <w:szCs w:val="24"/>
        </w:rPr>
        <w:t xml:space="preserve"> </w:t>
      </w:r>
      <w:r>
        <w:rPr>
          <w:rFonts w:ascii="Times New Roman" w:hAnsi="Times New Roman"/>
          <w:sz w:val="24"/>
          <w:szCs w:val="24"/>
        </w:rPr>
        <w:t>/Real Estate, Consumer Goods, Financial Services, Health Care, ICT, Industrial Goods, Natural Resources and Oil &amp; Gas</w:t>
      </w:r>
      <w:r w:rsidRPr="00E2049E">
        <w:rPr>
          <w:rFonts w:ascii="Times New Roman" w:hAnsi="Times New Roman"/>
          <w:sz w:val="24"/>
          <w:szCs w:val="24"/>
        </w:rPr>
        <w:t xml:space="preserve"> on the Nigerian Exchange</w:t>
      </w:r>
      <w:r>
        <w:rPr>
          <w:rFonts w:ascii="Times New Roman" w:hAnsi="Times New Roman"/>
          <w:sz w:val="24"/>
          <w:szCs w:val="24"/>
        </w:rPr>
        <w:t xml:space="preserve"> Group</w:t>
      </w:r>
      <w:r w:rsidRPr="00E2049E">
        <w:rPr>
          <w:rFonts w:ascii="Times New Roman" w:hAnsi="Times New Roman"/>
          <w:sz w:val="24"/>
          <w:szCs w:val="24"/>
        </w:rPr>
        <w:t xml:space="preserve">. </w:t>
      </w:r>
    </w:p>
    <w:p w14:paraId="36E5D869" w14:textId="5833DD38" w:rsidR="00DE0B1C" w:rsidRPr="009A2413" w:rsidRDefault="00DE0B1C" w:rsidP="009A2413">
      <w:pPr>
        <w:pStyle w:val="ListParagraph"/>
        <w:numPr>
          <w:ilvl w:val="0"/>
          <w:numId w:val="21"/>
        </w:numPr>
        <w:spacing w:after="0" w:line="240" w:lineRule="auto"/>
        <w:jc w:val="both"/>
        <w:rPr>
          <w:rFonts w:ascii="Times New Roman" w:hAnsi="Times New Roman"/>
          <w:b/>
          <w:sz w:val="24"/>
          <w:szCs w:val="24"/>
        </w:rPr>
      </w:pPr>
      <w:r w:rsidRPr="009A2413">
        <w:rPr>
          <w:rFonts w:ascii="Times New Roman" w:hAnsi="Times New Roman"/>
          <w:b/>
          <w:sz w:val="24"/>
          <w:szCs w:val="24"/>
        </w:rPr>
        <w:t xml:space="preserve">Concept of Stock Market </w:t>
      </w:r>
    </w:p>
    <w:p w14:paraId="2AAC13D4" w14:textId="4628BE3A" w:rsidR="003D6296" w:rsidRPr="003D6296" w:rsidRDefault="003D6296" w:rsidP="009A2413">
      <w:pPr>
        <w:spacing w:after="0" w:line="240" w:lineRule="auto"/>
        <w:rPr>
          <w:rFonts w:ascii="Times New Roman" w:eastAsia="Times New Roman" w:hAnsi="Times New Roman"/>
          <w:sz w:val="24"/>
          <w:szCs w:val="24"/>
        </w:rPr>
      </w:pPr>
      <w:r w:rsidRPr="003D6296">
        <w:rPr>
          <w:rFonts w:ascii="Times New Roman" w:eastAsia="Times New Roman" w:hAnsi="Times New Roman"/>
          <w:sz w:val="24"/>
          <w:szCs w:val="24"/>
        </w:rPr>
        <w:t xml:space="preserve">Volatility is a key concept in financial markets, indicating an asset's riskiness over time. It can be classified as conditional volatility, which changes over time, or unconditional volatility, which doesn't depend on time. Asset returns show features like serial correlation, volatility clustering, and asymmetry. Conditional volatility is negatively correlated, aligning with the </w:t>
      </w:r>
      <w:proofErr w:type="spellStart"/>
      <w:r w:rsidRPr="003D6296">
        <w:rPr>
          <w:rFonts w:ascii="Times New Roman" w:eastAsia="Times New Roman" w:hAnsi="Times New Roman"/>
          <w:sz w:val="24"/>
          <w:szCs w:val="24"/>
        </w:rPr>
        <w:lastRenderedPageBreak/>
        <w:t>LeBann</w:t>
      </w:r>
      <w:proofErr w:type="spellEnd"/>
      <w:r w:rsidRPr="003D6296">
        <w:rPr>
          <w:rFonts w:ascii="Times New Roman" w:eastAsia="Times New Roman" w:hAnsi="Times New Roman"/>
          <w:sz w:val="24"/>
          <w:szCs w:val="24"/>
        </w:rPr>
        <w:t xml:space="preserve"> effect. During economic downturns, stock price falls cause increased market volatility, leading to the 'lover age effect', increasing financial leverage and making stocks </w:t>
      </w:r>
      <w:r w:rsidR="009A2413" w:rsidRPr="003D6296">
        <w:rPr>
          <w:rFonts w:ascii="Times New Roman" w:eastAsia="Times New Roman" w:hAnsi="Times New Roman"/>
          <w:sz w:val="24"/>
          <w:szCs w:val="24"/>
        </w:rPr>
        <w:t>riskier</w:t>
      </w:r>
      <w:r w:rsidRPr="003D6296">
        <w:rPr>
          <w:rFonts w:ascii="Times New Roman" w:eastAsia="Times New Roman" w:hAnsi="Times New Roman"/>
          <w:sz w:val="24"/>
          <w:szCs w:val="24"/>
        </w:rPr>
        <w:t>.</w:t>
      </w:r>
    </w:p>
    <w:p w14:paraId="51B6D734" w14:textId="58BA8695" w:rsidR="00DE0B1C" w:rsidRPr="009A2413" w:rsidRDefault="00DE0B1C" w:rsidP="009A2413">
      <w:pPr>
        <w:pStyle w:val="ListParagraph"/>
        <w:numPr>
          <w:ilvl w:val="0"/>
          <w:numId w:val="21"/>
        </w:numPr>
        <w:spacing w:after="0" w:line="240" w:lineRule="auto"/>
        <w:rPr>
          <w:rFonts w:ascii="Times New Roman" w:hAnsi="Times New Roman"/>
          <w:b/>
          <w:sz w:val="24"/>
          <w:szCs w:val="24"/>
        </w:rPr>
      </w:pPr>
      <w:r w:rsidRPr="009A2413">
        <w:rPr>
          <w:rFonts w:ascii="Times New Roman" w:hAnsi="Times New Roman"/>
          <w:b/>
          <w:sz w:val="24"/>
          <w:szCs w:val="24"/>
        </w:rPr>
        <w:t>Concept of Stock Volatility Spillover</w:t>
      </w:r>
    </w:p>
    <w:p w14:paraId="6E6AD156" w14:textId="3EF9978B" w:rsidR="00F478D1" w:rsidRPr="00F478D1" w:rsidRDefault="00DE0B1C" w:rsidP="00F478D1">
      <w:pPr>
        <w:rPr>
          <w:rFonts w:ascii="Times New Roman" w:eastAsia="Times New Roman" w:hAnsi="Times New Roman"/>
          <w:sz w:val="24"/>
          <w:szCs w:val="24"/>
        </w:rPr>
      </w:pPr>
      <w:r w:rsidRPr="00560CAA">
        <w:rPr>
          <w:rFonts w:ascii="Times New Roman" w:hAnsi="Times New Roman"/>
          <w:sz w:val="24"/>
          <w:szCs w:val="24"/>
        </w:rPr>
        <w:t xml:space="preserve">The notion of the volatility of stock returns can be traced back to the </w:t>
      </w:r>
      <w:r>
        <w:rPr>
          <w:rFonts w:ascii="Times New Roman" w:hAnsi="Times New Roman"/>
          <w:sz w:val="24"/>
          <w:szCs w:val="24"/>
        </w:rPr>
        <w:t>pioneer</w:t>
      </w:r>
      <w:r w:rsidRPr="00560CAA">
        <w:rPr>
          <w:rFonts w:ascii="Times New Roman" w:hAnsi="Times New Roman"/>
          <w:sz w:val="24"/>
          <w:szCs w:val="24"/>
        </w:rPr>
        <w:t xml:space="preserve"> work of Engle</w:t>
      </w:r>
      <w:r>
        <w:rPr>
          <w:rFonts w:ascii="Times New Roman" w:hAnsi="Times New Roman"/>
          <w:sz w:val="24"/>
          <w:szCs w:val="24"/>
        </w:rPr>
        <w:t xml:space="preserve">, Ng and </w:t>
      </w:r>
      <w:proofErr w:type="spellStart"/>
      <w:r>
        <w:rPr>
          <w:rFonts w:ascii="Times New Roman" w:hAnsi="Times New Roman"/>
          <w:sz w:val="24"/>
          <w:szCs w:val="24"/>
        </w:rPr>
        <w:t>Rothshid</w:t>
      </w:r>
      <w:proofErr w:type="spellEnd"/>
      <w:r w:rsidRPr="00560CAA">
        <w:rPr>
          <w:rFonts w:ascii="Times New Roman" w:hAnsi="Times New Roman"/>
          <w:sz w:val="24"/>
          <w:szCs w:val="24"/>
        </w:rPr>
        <w:t xml:space="preserve"> (1990)</w:t>
      </w:r>
      <w:r w:rsidR="00E742A3">
        <w:rPr>
          <w:rFonts w:ascii="Times New Roman" w:hAnsi="Times New Roman"/>
          <w:sz w:val="24"/>
          <w:szCs w:val="24"/>
        </w:rPr>
        <w:t xml:space="preserve">. </w:t>
      </w:r>
      <w:r w:rsidR="00E742A3" w:rsidRPr="00085DAE">
        <w:rPr>
          <w:rFonts w:ascii="Times New Roman" w:hAnsi="Times New Roman"/>
          <w:sz w:val="24"/>
          <w:szCs w:val="24"/>
        </w:rPr>
        <w:t>They emphasized that o</w:t>
      </w:r>
      <w:r w:rsidR="00F478D1" w:rsidRPr="00085DAE">
        <w:rPr>
          <w:rFonts w:ascii="Times New Roman" w:eastAsia="Times New Roman" w:hAnsi="Times New Roman"/>
          <w:sz w:val="24"/>
          <w:szCs w:val="24"/>
        </w:rPr>
        <w:t xml:space="preserve">wn and cross spillover are two types of volatility spillover. </w:t>
      </w:r>
      <w:r w:rsidR="00E742A3" w:rsidRPr="00085DAE">
        <w:rPr>
          <w:rFonts w:ascii="Times New Roman" w:eastAsia="Times New Roman" w:hAnsi="Times New Roman"/>
          <w:sz w:val="24"/>
          <w:szCs w:val="24"/>
        </w:rPr>
        <w:t>While o</w:t>
      </w:r>
      <w:r w:rsidR="00F478D1" w:rsidRPr="00085DAE">
        <w:rPr>
          <w:rFonts w:ascii="Times New Roman" w:eastAsia="Times New Roman" w:hAnsi="Times New Roman"/>
          <w:sz w:val="24"/>
          <w:szCs w:val="24"/>
        </w:rPr>
        <w:t>wn spillover refers to the volatility of an asset based on past volatility, cross spillover focuses on the current volatility of the same asset and other assets.</w:t>
      </w:r>
    </w:p>
    <w:p w14:paraId="7E80C8C6" w14:textId="77777777" w:rsidR="009A2413" w:rsidRDefault="009A2413" w:rsidP="00085DAE">
      <w:pPr>
        <w:spacing w:line="240" w:lineRule="auto"/>
        <w:rPr>
          <w:rFonts w:ascii="Times New Roman" w:hAnsi="Times New Roman"/>
          <w:b/>
          <w:sz w:val="24"/>
          <w:szCs w:val="24"/>
        </w:rPr>
      </w:pPr>
    </w:p>
    <w:p w14:paraId="6AAC3307" w14:textId="77777777" w:rsidR="009A2413" w:rsidRDefault="009A2413" w:rsidP="00085DAE">
      <w:pPr>
        <w:spacing w:line="240" w:lineRule="auto"/>
        <w:rPr>
          <w:rFonts w:ascii="Times New Roman" w:hAnsi="Times New Roman"/>
          <w:b/>
          <w:sz w:val="24"/>
          <w:szCs w:val="24"/>
        </w:rPr>
      </w:pPr>
    </w:p>
    <w:p w14:paraId="74B5FA41" w14:textId="77777777" w:rsidR="009A2413" w:rsidRDefault="009A2413" w:rsidP="00085DAE">
      <w:pPr>
        <w:spacing w:line="240" w:lineRule="auto"/>
        <w:rPr>
          <w:rFonts w:ascii="Times New Roman" w:hAnsi="Times New Roman"/>
          <w:b/>
          <w:sz w:val="24"/>
          <w:szCs w:val="24"/>
        </w:rPr>
      </w:pPr>
    </w:p>
    <w:p w14:paraId="12EDBC38" w14:textId="6B2E9278" w:rsidR="00EC1B00" w:rsidRPr="00085DAE" w:rsidRDefault="00E742A3" w:rsidP="00085DAE">
      <w:pPr>
        <w:spacing w:line="240" w:lineRule="auto"/>
        <w:rPr>
          <w:rFonts w:ascii="Times New Roman" w:hAnsi="Times New Roman"/>
          <w:b/>
          <w:sz w:val="24"/>
          <w:szCs w:val="24"/>
        </w:rPr>
      </w:pPr>
      <w:r w:rsidRPr="00085DAE">
        <w:rPr>
          <w:rFonts w:ascii="Times New Roman" w:hAnsi="Times New Roman"/>
          <w:b/>
          <w:sz w:val="24"/>
          <w:szCs w:val="24"/>
        </w:rPr>
        <w:t>THEORETICAL PERSPECTIVE</w:t>
      </w:r>
    </w:p>
    <w:p w14:paraId="455A5A14" w14:textId="6E1F6403" w:rsidR="00EC1B00" w:rsidRPr="00085DAE" w:rsidRDefault="00EC1B00" w:rsidP="00085DAE">
      <w:pPr>
        <w:pStyle w:val="ListParagraph"/>
        <w:numPr>
          <w:ilvl w:val="0"/>
          <w:numId w:val="21"/>
        </w:numPr>
        <w:spacing w:after="0" w:line="240" w:lineRule="auto"/>
        <w:rPr>
          <w:rFonts w:ascii="Times New Roman" w:hAnsi="Times New Roman"/>
          <w:b/>
          <w:sz w:val="24"/>
          <w:szCs w:val="24"/>
        </w:rPr>
      </w:pPr>
      <w:r w:rsidRPr="00085DAE">
        <w:rPr>
          <w:rFonts w:ascii="Times New Roman" w:hAnsi="Times New Roman"/>
          <w:b/>
          <w:sz w:val="24"/>
          <w:szCs w:val="24"/>
        </w:rPr>
        <w:t>Capital Asset Pricing Model (CAPM)</w:t>
      </w:r>
    </w:p>
    <w:p w14:paraId="363E91C6" w14:textId="573BED2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 xml:space="preserve">The capital asset pricing model was pioneered by notable authors including Sharpe (1964), </w:t>
      </w:r>
      <w:proofErr w:type="spellStart"/>
      <w:r w:rsidRPr="00085DAE">
        <w:rPr>
          <w:rFonts w:ascii="Times New Roman" w:hAnsi="Times New Roman"/>
          <w:sz w:val="24"/>
          <w:szCs w:val="24"/>
        </w:rPr>
        <w:t>Umer</w:t>
      </w:r>
      <w:proofErr w:type="spellEnd"/>
      <w:r w:rsidRPr="00085DAE">
        <w:rPr>
          <w:rFonts w:ascii="Times New Roman" w:hAnsi="Times New Roman"/>
          <w:sz w:val="24"/>
          <w:szCs w:val="24"/>
        </w:rPr>
        <w:t xml:space="preserve"> (1965), </w:t>
      </w:r>
      <w:r w:rsidR="00E742A3" w:rsidRPr="00085DAE">
        <w:rPr>
          <w:rFonts w:ascii="Times New Roman" w:hAnsi="Times New Roman"/>
          <w:sz w:val="24"/>
          <w:szCs w:val="24"/>
        </w:rPr>
        <w:t xml:space="preserve">and </w:t>
      </w:r>
      <w:proofErr w:type="spellStart"/>
      <w:r w:rsidRPr="00085DAE">
        <w:rPr>
          <w:rFonts w:ascii="Times New Roman" w:hAnsi="Times New Roman"/>
          <w:sz w:val="24"/>
          <w:szCs w:val="24"/>
        </w:rPr>
        <w:t>Mossin</w:t>
      </w:r>
      <w:proofErr w:type="spellEnd"/>
      <w:r w:rsidRPr="00085DAE">
        <w:rPr>
          <w:rFonts w:ascii="Times New Roman" w:hAnsi="Times New Roman"/>
          <w:sz w:val="24"/>
          <w:szCs w:val="24"/>
        </w:rPr>
        <w:t xml:space="preserve"> (1960). The CAPM is a single factor model, quantifies the expected rates of return of an asset with level of market systematic risk. The CAPM has variously been used among others by Chen (2003) and Kim and Moser. (a) 2017.</w:t>
      </w:r>
    </w:p>
    <w:p w14:paraId="196B30F9" w14:textId="69FE3203" w:rsidR="00597C36" w:rsidRPr="00085DAE" w:rsidRDefault="00E742A3" w:rsidP="00085DAE">
      <w:pPr>
        <w:rPr>
          <w:rFonts w:ascii="Times New Roman" w:eastAsia="Times New Roman" w:hAnsi="Times New Roman"/>
          <w:sz w:val="24"/>
          <w:szCs w:val="24"/>
        </w:rPr>
      </w:pPr>
      <w:r w:rsidRPr="00085DAE">
        <w:rPr>
          <w:rFonts w:ascii="Times New Roman" w:hAnsi="Times New Roman"/>
          <w:sz w:val="24"/>
          <w:szCs w:val="24"/>
        </w:rPr>
        <w:t xml:space="preserve">As opined by </w:t>
      </w:r>
      <w:r w:rsidR="00EC1B00" w:rsidRPr="00085DAE">
        <w:rPr>
          <w:rFonts w:ascii="Times New Roman" w:hAnsi="Times New Roman"/>
          <w:sz w:val="24"/>
          <w:szCs w:val="24"/>
        </w:rPr>
        <w:t>Nguyen and Nguyen (2017)</w:t>
      </w:r>
      <w:r w:rsidRPr="00085DAE">
        <w:rPr>
          <w:rFonts w:ascii="Times New Roman" w:hAnsi="Times New Roman"/>
          <w:sz w:val="24"/>
          <w:szCs w:val="24"/>
        </w:rPr>
        <w:t>,</w:t>
      </w:r>
      <w:r w:rsidR="00EC1B00" w:rsidRPr="00085DAE">
        <w:rPr>
          <w:rFonts w:ascii="Times New Roman" w:hAnsi="Times New Roman"/>
          <w:sz w:val="24"/>
          <w:szCs w:val="24"/>
        </w:rPr>
        <w:t xml:space="preserve"> </w:t>
      </w:r>
      <w:r w:rsidR="00043E3F" w:rsidRPr="00085DAE">
        <w:rPr>
          <w:rFonts w:ascii="Times New Roman" w:eastAsia="Times New Roman" w:hAnsi="Times New Roman"/>
          <w:sz w:val="24"/>
          <w:szCs w:val="24"/>
        </w:rPr>
        <w:t>the</w:t>
      </w:r>
      <w:r w:rsidR="00597C36" w:rsidRPr="00085DAE">
        <w:rPr>
          <w:rFonts w:ascii="Times New Roman" w:eastAsia="Times New Roman" w:hAnsi="Times New Roman"/>
          <w:sz w:val="24"/>
          <w:szCs w:val="24"/>
        </w:rPr>
        <w:t xml:space="preserve"> model assume</w:t>
      </w:r>
      <w:r w:rsidRPr="00085DAE">
        <w:rPr>
          <w:rFonts w:ascii="Times New Roman" w:eastAsia="Times New Roman" w:hAnsi="Times New Roman"/>
          <w:sz w:val="24"/>
          <w:szCs w:val="24"/>
        </w:rPr>
        <w:t>d that</w:t>
      </w:r>
      <w:r w:rsidR="00597C36" w:rsidRPr="00085DAE">
        <w:rPr>
          <w:rFonts w:ascii="Times New Roman" w:eastAsia="Times New Roman" w:hAnsi="Times New Roman"/>
          <w:sz w:val="24"/>
          <w:szCs w:val="24"/>
        </w:rPr>
        <w:t xml:space="preserve"> </w:t>
      </w:r>
      <w:r w:rsidRPr="00085DAE">
        <w:rPr>
          <w:rFonts w:ascii="Times New Roman" w:eastAsia="Times New Roman" w:hAnsi="Times New Roman"/>
          <w:sz w:val="24"/>
          <w:szCs w:val="24"/>
        </w:rPr>
        <w:t xml:space="preserve">in </w:t>
      </w:r>
      <w:r w:rsidR="00597C36" w:rsidRPr="00085DAE">
        <w:rPr>
          <w:rFonts w:ascii="Times New Roman" w:eastAsia="Times New Roman" w:hAnsi="Times New Roman"/>
          <w:sz w:val="24"/>
          <w:szCs w:val="24"/>
        </w:rPr>
        <w:t>competitive financial markets, investors plan to invest over the same time horizon, no discretionary taxes or transaction costs, and unlimited borrowing and lending. Investors like overall portfolio reward and dislike risk.</w:t>
      </w:r>
    </w:p>
    <w:p w14:paraId="40428458"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 xml:space="preserve">Algebraically, the Capital Assets Model is presented as </w:t>
      </w:r>
    </w:p>
    <w:p w14:paraId="52DBED2C"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R</w:t>
      </w:r>
      <w:r w:rsidRPr="00085DAE">
        <w:rPr>
          <w:rFonts w:ascii="Times New Roman" w:hAnsi="Times New Roman"/>
          <w:sz w:val="24"/>
          <w:szCs w:val="24"/>
          <w:vertAlign w:val="subscript"/>
        </w:rPr>
        <w:t>i</w:t>
      </w:r>
      <w:r w:rsidRPr="00085DAE">
        <w:rPr>
          <w:rFonts w:ascii="Times New Roman" w:hAnsi="Times New Roman"/>
          <w:sz w:val="24"/>
          <w:szCs w:val="24"/>
        </w:rPr>
        <w:t xml:space="preserve"> = RFR + β</w:t>
      </w:r>
      <w:proofErr w:type="spellStart"/>
      <w:r w:rsidRPr="00085DAE">
        <w:rPr>
          <w:rFonts w:ascii="Times New Roman" w:hAnsi="Times New Roman"/>
          <w:sz w:val="24"/>
          <w:szCs w:val="24"/>
          <w:vertAlign w:val="subscript"/>
        </w:rPr>
        <w:t>i</w:t>
      </w:r>
      <w:proofErr w:type="spellEnd"/>
      <w:r w:rsidRPr="00085DAE">
        <w:rPr>
          <w:rFonts w:ascii="Times New Roman" w:hAnsi="Times New Roman"/>
          <w:sz w:val="24"/>
          <w:szCs w:val="24"/>
        </w:rPr>
        <w:t xml:space="preserve"> (Rm – RFR)</w:t>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t>2.1</w:t>
      </w:r>
    </w:p>
    <w:p w14:paraId="5A269C95" w14:textId="24169362"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Where</w:t>
      </w:r>
      <w:r w:rsidR="009A2413">
        <w:rPr>
          <w:rFonts w:ascii="Times New Roman" w:hAnsi="Times New Roman"/>
          <w:sz w:val="24"/>
          <w:szCs w:val="24"/>
        </w:rPr>
        <w:t>;</w:t>
      </w:r>
    </w:p>
    <w:p w14:paraId="1651D3AD"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Rm</w:t>
      </w:r>
      <w:r w:rsidRPr="00085DAE">
        <w:rPr>
          <w:rFonts w:ascii="Times New Roman" w:hAnsi="Times New Roman"/>
          <w:sz w:val="24"/>
          <w:szCs w:val="24"/>
        </w:rPr>
        <w:tab/>
        <w:t>=</w:t>
      </w:r>
      <w:r w:rsidRPr="00085DAE">
        <w:rPr>
          <w:rFonts w:ascii="Times New Roman" w:hAnsi="Times New Roman"/>
          <w:sz w:val="24"/>
          <w:szCs w:val="24"/>
        </w:rPr>
        <w:tab/>
        <w:t>Expected return on portfolio</w:t>
      </w:r>
    </w:p>
    <w:p w14:paraId="5C325BA1"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RFR</w:t>
      </w:r>
      <w:r w:rsidRPr="00085DAE">
        <w:rPr>
          <w:rFonts w:ascii="Times New Roman" w:hAnsi="Times New Roman"/>
          <w:sz w:val="24"/>
          <w:szCs w:val="24"/>
        </w:rPr>
        <w:tab/>
        <w:t>=</w:t>
      </w:r>
      <w:r w:rsidRPr="00085DAE">
        <w:rPr>
          <w:rFonts w:ascii="Times New Roman" w:hAnsi="Times New Roman"/>
          <w:sz w:val="24"/>
          <w:szCs w:val="24"/>
        </w:rPr>
        <w:tab/>
        <w:t>risk free return</w:t>
      </w:r>
    </w:p>
    <w:p w14:paraId="12F209C8"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R</w:t>
      </w:r>
      <w:r w:rsidRPr="00085DAE">
        <w:rPr>
          <w:rFonts w:ascii="Times New Roman" w:hAnsi="Times New Roman"/>
          <w:sz w:val="24"/>
          <w:szCs w:val="24"/>
          <w:vertAlign w:val="subscript"/>
        </w:rPr>
        <w:t>i</w:t>
      </w:r>
      <w:r w:rsidRPr="00085DAE">
        <w:rPr>
          <w:rFonts w:ascii="Times New Roman" w:hAnsi="Times New Roman"/>
          <w:sz w:val="24"/>
          <w:szCs w:val="24"/>
        </w:rPr>
        <w:tab/>
        <w:t>=</w:t>
      </w:r>
      <w:r w:rsidRPr="00085DAE">
        <w:rPr>
          <w:rFonts w:ascii="Times New Roman" w:hAnsi="Times New Roman"/>
          <w:sz w:val="24"/>
          <w:szCs w:val="24"/>
        </w:rPr>
        <w:tab/>
        <w:t>Return on asset</w:t>
      </w:r>
    </w:p>
    <w:p w14:paraId="6A6DEC69"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β</w:t>
      </w:r>
      <w:proofErr w:type="spellStart"/>
      <w:r w:rsidRPr="00085DAE">
        <w:rPr>
          <w:rFonts w:ascii="Times New Roman" w:hAnsi="Times New Roman"/>
          <w:sz w:val="24"/>
          <w:szCs w:val="24"/>
          <w:vertAlign w:val="subscript"/>
        </w:rPr>
        <w:t>i</w:t>
      </w:r>
      <w:proofErr w:type="spellEnd"/>
      <w:r w:rsidRPr="00085DAE">
        <w:rPr>
          <w:rFonts w:ascii="Times New Roman" w:hAnsi="Times New Roman"/>
          <w:sz w:val="24"/>
          <w:szCs w:val="24"/>
        </w:rPr>
        <w:tab/>
        <w:t>=</w:t>
      </w:r>
      <w:r w:rsidRPr="00085DAE">
        <w:rPr>
          <w:rFonts w:ascii="Times New Roman" w:hAnsi="Times New Roman"/>
          <w:sz w:val="24"/>
          <w:szCs w:val="24"/>
        </w:rPr>
        <w:tab/>
      </w:r>
      <m:oMath>
        <m:f>
          <m:fPr>
            <m:ctrlPr>
              <w:rPr>
                <w:rFonts w:ascii="Cambria Math" w:hAnsi="Cambria Math"/>
                <w:i/>
                <w:sz w:val="24"/>
                <w:szCs w:val="24"/>
              </w:rPr>
            </m:ctrlPr>
          </m:fPr>
          <m:num>
            <m:r>
              <w:rPr>
                <w:rFonts w:ascii="Cambria Math" w:hAnsi="Cambria Math"/>
                <w:sz w:val="24"/>
                <w:szCs w:val="24"/>
              </w:rPr>
              <m:t>COV (RI,RM)</m:t>
            </m:r>
          </m:num>
          <m:den>
            <m:sSup>
              <m:sSupPr>
                <m:ctrlPr>
                  <w:rPr>
                    <w:rFonts w:ascii="Cambria Math" w:hAnsi="Cambria Math"/>
                    <w:i/>
                    <w:sz w:val="24"/>
                    <w:szCs w:val="24"/>
                  </w:rPr>
                </m:ctrlPr>
              </m:sSupPr>
              <m:e>
                <m:r>
                  <w:rPr>
                    <w:rFonts w:ascii="Cambria Math" w:hAnsi="Cambria Math"/>
                    <w:sz w:val="24"/>
                    <w:szCs w:val="24"/>
                  </w:rPr>
                  <m:t>δ</m:t>
                </m:r>
              </m:e>
              <m:sup>
                <m:r>
                  <w:rPr>
                    <w:rFonts w:ascii="Cambria Math" w:hAnsi="Cambria Math"/>
                    <w:sz w:val="24"/>
                    <w:szCs w:val="24"/>
                  </w:rPr>
                  <m:t>2</m:t>
                </m:r>
              </m:sup>
            </m:sSup>
            <m:r>
              <w:rPr>
                <w:rFonts w:ascii="Cambria Math" w:hAnsi="Cambria Math"/>
                <w:sz w:val="24"/>
                <w:szCs w:val="24"/>
              </w:rPr>
              <m:t>M</m:t>
            </m:r>
          </m:den>
        </m:f>
      </m:oMath>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t>2.2</w:t>
      </w:r>
    </w:p>
    <w:p w14:paraId="16135F2C"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 xml:space="preserve">βis called the beta of the asset </w:t>
      </w:r>
      <w:proofErr w:type="spellStart"/>
      <w:r w:rsidRPr="00085DAE">
        <w:rPr>
          <w:rFonts w:ascii="Times New Roman" w:hAnsi="Times New Roman"/>
          <w:sz w:val="24"/>
          <w:szCs w:val="24"/>
        </w:rPr>
        <w:t>i</w:t>
      </w:r>
      <w:proofErr w:type="spellEnd"/>
      <w:r w:rsidRPr="00085DAE">
        <w:rPr>
          <w:rFonts w:ascii="Times New Roman" w:hAnsi="Times New Roman"/>
          <w:sz w:val="24"/>
          <w:szCs w:val="24"/>
        </w:rPr>
        <w:t xml:space="preserve"> and</w:t>
      </w:r>
      <w:r w:rsidRPr="00085DAE">
        <w:rPr>
          <w:rFonts w:ascii="Times New Roman" w:hAnsi="Times New Roman"/>
          <w:position w:val="-12"/>
          <w:sz w:val="24"/>
          <w:szCs w:val="24"/>
        </w:rPr>
        <w:object w:dxaOrig="320" w:dyaOrig="380" w14:anchorId="206E86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8pt" o:ole="">
            <v:imagedata r:id="rId7" o:title=""/>
          </v:shape>
          <o:OLEObject Type="Embed" ProgID="Equation.3" ShapeID="_x0000_i1025" DrawAspect="Content" ObjectID="_1817947882" r:id="rId8"/>
        </w:object>
      </w:r>
      <w:r w:rsidRPr="00085DAE">
        <w:rPr>
          <w:rFonts w:ascii="Times New Roman" w:hAnsi="Times New Roman"/>
          <w:sz w:val="24"/>
          <w:szCs w:val="24"/>
        </w:rPr>
        <w:t xml:space="preserve"> is the variance of the market portfolio. For any portfolio &lt; = (&lt;1----&lt;n) of risky assets, its beta can be constructed as a weighted average of individual asset betas as follows:</w:t>
      </w:r>
    </w:p>
    <w:p w14:paraId="0036EB76"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E(</w:t>
      </w:r>
      <w:proofErr w:type="spellStart"/>
      <w:r w:rsidRPr="00085DAE">
        <w:rPr>
          <w:rFonts w:ascii="Times New Roman" w:hAnsi="Times New Roman"/>
          <w:sz w:val="24"/>
          <w:szCs w:val="24"/>
        </w:rPr>
        <w:t>rd</w:t>
      </w:r>
      <w:proofErr w:type="spellEnd"/>
      <w:r w:rsidRPr="00085DAE">
        <w:rPr>
          <w:rFonts w:ascii="Times New Roman" w:hAnsi="Times New Roman"/>
          <w:sz w:val="24"/>
          <w:szCs w:val="24"/>
        </w:rPr>
        <w:t>) = RFR+</w:t>
      </w:r>
      <w:proofErr w:type="gramStart"/>
      <w:r w:rsidRPr="00085DAE">
        <w:rPr>
          <w:rFonts w:ascii="Times New Roman" w:hAnsi="Times New Roman"/>
          <w:sz w:val="24"/>
          <w:szCs w:val="24"/>
        </w:rPr>
        <w:t>βλ(</w:t>
      </w:r>
      <w:proofErr w:type="gramEnd"/>
      <w:r w:rsidRPr="00085DAE">
        <w:rPr>
          <w:rFonts w:ascii="Times New Roman" w:hAnsi="Times New Roman"/>
          <w:sz w:val="24"/>
          <w:szCs w:val="24"/>
        </w:rPr>
        <w:t>RM) – RFR</w:t>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r>
      <w:r w:rsidRPr="00085DAE">
        <w:rPr>
          <w:rFonts w:ascii="Times New Roman" w:hAnsi="Times New Roman"/>
          <w:sz w:val="24"/>
          <w:szCs w:val="24"/>
        </w:rPr>
        <w:tab/>
        <w:t>2.3</w:t>
      </w:r>
    </w:p>
    <w:p w14:paraId="55F3C47D"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βλ =</w:t>
      </w:r>
      <w:r w:rsidRPr="00085DAE">
        <w:rPr>
          <w:rFonts w:ascii="Times New Roman" w:hAnsi="Times New Roman"/>
          <w:sz w:val="24"/>
          <w:szCs w:val="24"/>
        </w:rPr>
        <w:tab/>
      </w:r>
      <m:oMath>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r>
              <w:rPr>
                <w:rFonts w:ascii="Cambria Math" w:hAnsi="Cambria Math"/>
                <w:sz w:val="24"/>
                <w:szCs w:val="24"/>
              </w:rPr>
              <m:t>∝iβi</m:t>
            </m:r>
          </m:e>
        </m:nary>
      </m:oMath>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t>2.4</w:t>
      </w:r>
    </w:p>
    <w:p w14:paraId="53E1E2D4" w14:textId="77777777" w:rsidR="009A2413" w:rsidRDefault="009A2413" w:rsidP="00085DAE">
      <w:pPr>
        <w:spacing w:line="240" w:lineRule="auto"/>
        <w:rPr>
          <w:rFonts w:ascii="Times New Roman" w:hAnsi="Times New Roman"/>
          <w:sz w:val="24"/>
          <w:szCs w:val="24"/>
        </w:rPr>
      </w:pPr>
    </w:p>
    <w:p w14:paraId="03C5D937" w14:textId="5DAF0CBD" w:rsidR="00F02476"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The Beta value indicates a measure of risk for individual assets/portfolio. It measures the non-diversifiable or transferable part of risk known as systematic risk. According to this model, the expected return of an asset depends on its stand-alone risk.</w:t>
      </w:r>
      <w:r w:rsidR="00803BDF" w:rsidRPr="00085DAE">
        <w:rPr>
          <w:rFonts w:ascii="Times New Roman" w:hAnsi="Times New Roman"/>
          <w:sz w:val="24"/>
          <w:szCs w:val="24"/>
        </w:rPr>
        <w:t xml:space="preserve"> </w:t>
      </w:r>
      <w:r w:rsidRPr="00085DAE">
        <w:rPr>
          <w:rFonts w:ascii="Times New Roman" w:hAnsi="Times New Roman"/>
          <w:sz w:val="24"/>
          <w:szCs w:val="24"/>
        </w:rPr>
        <w:t>However, the CAPM</w:t>
      </w:r>
      <w:r w:rsidR="00F02476" w:rsidRPr="00085DAE">
        <w:rPr>
          <w:rFonts w:ascii="Times New Roman" w:eastAsia="Times New Roman" w:hAnsi="Times New Roman"/>
          <w:sz w:val="24"/>
          <w:szCs w:val="24"/>
        </w:rPr>
        <w:t xml:space="preserve"> model assumes a perfect competitive market environment, but this is unrealistic due to factors like demand and supply, tax liabilities, and borrowing rates, which differ from individual investors.</w:t>
      </w:r>
    </w:p>
    <w:p w14:paraId="582AC0C3" w14:textId="6369F286" w:rsidR="00EC1B00" w:rsidRPr="00085DAE" w:rsidRDefault="00EC1B00" w:rsidP="00085DAE">
      <w:pPr>
        <w:pStyle w:val="ListParagraph"/>
        <w:numPr>
          <w:ilvl w:val="0"/>
          <w:numId w:val="21"/>
        </w:numPr>
        <w:spacing w:line="240" w:lineRule="auto"/>
        <w:rPr>
          <w:rFonts w:ascii="Times New Roman" w:hAnsi="Times New Roman"/>
          <w:b/>
          <w:sz w:val="24"/>
          <w:szCs w:val="24"/>
        </w:rPr>
      </w:pPr>
      <w:r w:rsidRPr="00085DAE">
        <w:rPr>
          <w:rFonts w:ascii="Times New Roman" w:hAnsi="Times New Roman"/>
          <w:b/>
          <w:sz w:val="24"/>
          <w:szCs w:val="24"/>
        </w:rPr>
        <w:t>Arbitrage Pricing Theory (APT)</w:t>
      </w:r>
    </w:p>
    <w:p w14:paraId="7B31D200" w14:textId="68935E89" w:rsidR="00EE2AFC" w:rsidRPr="00085DAE" w:rsidRDefault="00500FFC"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Arbitrage pricing theory</w:t>
      </w:r>
      <w:r w:rsidR="00401DEF" w:rsidRPr="00085DAE">
        <w:rPr>
          <w:rFonts w:ascii="Times New Roman" w:eastAsia="Times New Roman" w:hAnsi="Times New Roman"/>
          <w:sz w:val="24"/>
          <w:szCs w:val="24"/>
        </w:rPr>
        <w:t xml:space="preserve"> </w:t>
      </w:r>
      <w:r w:rsidRPr="00085DAE">
        <w:rPr>
          <w:rFonts w:ascii="Times New Roman" w:eastAsia="Times New Roman" w:hAnsi="Times New Roman"/>
          <w:sz w:val="24"/>
          <w:szCs w:val="24"/>
        </w:rPr>
        <w:t xml:space="preserve">involve selling and buying assets at lower prices due to market failure. The Arbitrage Pricing Theory (APT) is an augmented version of CAPM that incorporates macroeconomic factors, allowing researchers to generate returns without specifying factors driving expected asset returns. Diversifiable markets require security-specific risk, while multi-factor </w:t>
      </w:r>
      <w:r w:rsidRPr="00085DAE">
        <w:rPr>
          <w:rFonts w:ascii="Times New Roman" w:eastAsia="Times New Roman" w:hAnsi="Times New Roman"/>
          <w:sz w:val="24"/>
          <w:szCs w:val="24"/>
        </w:rPr>
        <w:lastRenderedPageBreak/>
        <w:t xml:space="preserve">models generate returns influenced by macroeconomic factors, using betas for each factor tested against stocks. </w:t>
      </w:r>
      <w:r w:rsidR="00EE2AFC" w:rsidRPr="00085DAE">
        <w:rPr>
          <w:rFonts w:ascii="Times New Roman" w:eastAsia="Times New Roman" w:hAnsi="Times New Roman"/>
          <w:sz w:val="24"/>
          <w:szCs w:val="24"/>
        </w:rPr>
        <w:t>Factors can be firm-specific, macroeconomic, or any author's opinion on stock returns.</w:t>
      </w:r>
    </w:p>
    <w:p w14:paraId="4152500C"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 xml:space="preserve"> A multi-factor APT model as expressed as follows:</w:t>
      </w:r>
    </w:p>
    <w:p w14:paraId="0DD5B48E" w14:textId="77777777" w:rsidR="00EC1B00" w:rsidRPr="00085DAE" w:rsidRDefault="00EC1B00" w:rsidP="00085DAE">
      <w:pPr>
        <w:spacing w:line="240" w:lineRule="auto"/>
        <w:rPr>
          <w:rFonts w:ascii="Times New Roman" w:hAnsi="Times New Roman"/>
          <w:sz w:val="24"/>
          <w:szCs w:val="24"/>
        </w:rPr>
      </w:pPr>
      <w:proofErr w:type="spellStart"/>
      <w:r w:rsidRPr="00085DAE">
        <w:rPr>
          <w:rFonts w:ascii="Times New Roman" w:hAnsi="Times New Roman"/>
          <w:sz w:val="24"/>
          <w:szCs w:val="24"/>
        </w:rPr>
        <w:t>Rit</w:t>
      </w:r>
      <w:proofErr w:type="spellEnd"/>
      <w:r w:rsidRPr="00085DAE">
        <w:rPr>
          <w:rFonts w:ascii="Times New Roman" w:hAnsi="Times New Roman"/>
          <w:sz w:val="24"/>
          <w:szCs w:val="24"/>
        </w:rPr>
        <w:t xml:space="preserve"> = </w:t>
      </w:r>
      <w:proofErr w:type="spellStart"/>
      <w:r w:rsidRPr="00085DAE">
        <w:rPr>
          <w:rFonts w:ascii="Times New Roman" w:hAnsi="Times New Roman"/>
          <w:sz w:val="24"/>
          <w:szCs w:val="24"/>
        </w:rPr>
        <w:t>Ѱ</w:t>
      </w:r>
      <w:r w:rsidRPr="00085DAE">
        <w:rPr>
          <w:rFonts w:ascii="Times New Roman" w:hAnsi="Times New Roman"/>
          <w:sz w:val="24"/>
          <w:szCs w:val="24"/>
          <w:vertAlign w:val="subscript"/>
        </w:rPr>
        <w:t>it</w:t>
      </w:r>
      <w:proofErr w:type="spellEnd"/>
      <w:r w:rsidRPr="00085DAE">
        <w:rPr>
          <w:rFonts w:ascii="Times New Roman" w:hAnsi="Times New Roman"/>
          <w:sz w:val="24"/>
          <w:szCs w:val="24"/>
        </w:rPr>
        <w:t>+β</w:t>
      </w:r>
      <w:r w:rsidRPr="00085DAE">
        <w:rPr>
          <w:rFonts w:ascii="Times New Roman" w:hAnsi="Times New Roman"/>
          <w:sz w:val="24"/>
          <w:szCs w:val="24"/>
          <w:vertAlign w:val="subscript"/>
        </w:rPr>
        <w:t>1i</w:t>
      </w:r>
      <w:r w:rsidRPr="00085DAE">
        <w:rPr>
          <w:rFonts w:ascii="Times New Roman" w:hAnsi="Times New Roman"/>
          <w:sz w:val="24"/>
          <w:szCs w:val="24"/>
        </w:rPr>
        <w:t>+F</w:t>
      </w:r>
      <w:r w:rsidRPr="00085DAE">
        <w:rPr>
          <w:rFonts w:ascii="Times New Roman" w:hAnsi="Times New Roman"/>
          <w:sz w:val="24"/>
          <w:szCs w:val="24"/>
          <w:vertAlign w:val="subscript"/>
        </w:rPr>
        <w:t>1t</w:t>
      </w:r>
      <w:r w:rsidRPr="00085DAE">
        <w:rPr>
          <w:rFonts w:ascii="Times New Roman" w:hAnsi="Times New Roman"/>
          <w:sz w:val="24"/>
          <w:szCs w:val="24"/>
        </w:rPr>
        <w:t>+β</w:t>
      </w:r>
      <w:r w:rsidRPr="00085DAE">
        <w:rPr>
          <w:rFonts w:ascii="Times New Roman" w:hAnsi="Times New Roman"/>
          <w:sz w:val="24"/>
          <w:szCs w:val="24"/>
          <w:vertAlign w:val="subscript"/>
        </w:rPr>
        <w:t>2i</w:t>
      </w:r>
      <w:r w:rsidRPr="00085DAE">
        <w:rPr>
          <w:rFonts w:ascii="Times New Roman" w:hAnsi="Times New Roman"/>
          <w:sz w:val="24"/>
          <w:szCs w:val="24"/>
        </w:rPr>
        <w:t>F</w:t>
      </w:r>
      <w:r w:rsidRPr="00085DAE">
        <w:rPr>
          <w:rFonts w:ascii="Times New Roman" w:hAnsi="Times New Roman"/>
          <w:sz w:val="24"/>
          <w:szCs w:val="24"/>
          <w:vertAlign w:val="subscript"/>
        </w:rPr>
        <w:t>2t</w:t>
      </w:r>
      <w:r w:rsidRPr="00085DAE">
        <w:rPr>
          <w:rFonts w:ascii="Times New Roman" w:hAnsi="Times New Roman"/>
          <w:sz w:val="24"/>
          <w:szCs w:val="24"/>
        </w:rPr>
        <w:t>+β</w:t>
      </w:r>
      <w:r w:rsidRPr="00085DAE">
        <w:rPr>
          <w:rFonts w:ascii="Times New Roman" w:hAnsi="Times New Roman"/>
          <w:sz w:val="24"/>
          <w:szCs w:val="24"/>
          <w:vertAlign w:val="subscript"/>
        </w:rPr>
        <w:t>3i</w:t>
      </w:r>
      <w:r w:rsidRPr="00085DAE">
        <w:rPr>
          <w:rFonts w:ascii="Times New Roman" w:hAnsi="Times New Roman"/>
          <w:sz w:val="24"/>
          <w:szCs w:val="24"/>
        </w:rPr>
        <w:t>F</w:t>
      </w:r>
      <w:r w:rsidRPr="00085DAE">
        <w:rPr>
          <w:rFonts w:ascii="Times New Roman" w:hAnsi="Times New Roman"/>
          <w:sz w:val="24"/>
          <w:szCs w:val="24"/>
          <w:vertAlign w:val="subscript"/>
        </w:rPr>
        <w:t>3t</w:t>
      </w:r>
      <w:r w:rsidRPr="00085DAE">
        <w:rPr>
          <w:rFonts w:ascii="Times New Roman" w:hAnsi="Times New Roman"/>
          <w:sz w:val="24"/>
          <w:szCs w:val="24"/>
        </w:rPr>
        <w:t>+β</w:t>
      </w:r>
      <w:r w:rsidRPr="00085DAE">
        <w:rPr>
          <w:rFonts w:ascii="Times New Roman" w:hAnsi="Times New Roman"/>
          <w:sz w:val="24"/>
          <w:szCs w:val="24"/>
          <w:vertAlign w:val="subscript"/>
        </w:rPr>
        <w:t>4i</w:t>
      </w:r>
      <w:r w:rsidRPr="00085DAE">
        <w:rPr>
          <w:rFonts w:ascii="Times New Roman" w:hAnsi="Times New Roman"/>
          <w:sz w:val="24"/>
          <w:szCs w:val="24"/>
        </w:rPr>
        <w:t>F</w:t>
      </w:r>
      <w:r w:rsidRPr="00085DAE">
        <w:rPr>
          <w:rFonts w:ascii="Times New Roman" w:hAnsi="Times New Roman"/>
          <w:sz w:val="24"/>
          <w:szCs w:val="24"/>
          <w:vertAlign w:val="subscript"/>
        </w:rPr>
        <w:t>4t</w:t>
      </w:r>
      <w:r w:rsidRPr="00085DAE">
        <w:rPr>
          <w:rFonts w:ascii="Times New Roman" w:hAnsi="Times New Roman"/>
          <w:sz w:val="24"/>
          <w:szCs w:val="24"/>
        </w:rPr>
        <w:t>……</w:t>
      </w:r>
      <w:proofErr w:type="gramStart"/>
      <w:r w:rsidRPr="00085DAE">
        <w:rPr>
          <w:rFonts w:ascii="Times New Roman" w:hAnsi="Times New Roman"/>
          <w:sz w:val="24"/>
          <w:szCs w:val="24"/>
        </w:rPr>
        <w:t>….+</w:t>
      </w:r>
      <w:proofErr w:type="gramEnd"/>
      <w:r w:rsidRPr="00085DAE">
        <w:rPr>
          <w:rFonts w:ascii="Times New Roman" w:hAnsi="Times New Roman"/>
          <w:sz w:val="24"/>
          <w:szCs w:val="24"/>
        </w:rPr>
        <w:t>…….+………+</w:t>
      </w:r>
      <w:proofErr w:type="spellStart"/>
      <w:r w:rsidRPr="00085DAE">
        <w:rPr>
          <w:rFonts w:ascii="Times New Roman" w:hAnsi="Times New Roman"/>
          <w:sz w:val="24"/>
          <w:szCs w:val="24"/>
        </w:rPr>
        <w:t>E</w:t>
      </w:r>
      <w:r w:rsidRPr="00085DAE">
        <w:rPr>
          <w:rFonts w:ascii="Times New Roman" w:hAnsi="Times New Roman"/>
          <w:sz w:val="24"/>
          <w:szCs w:val="24"/>
          <w:vertAlign w:val="subscript"/>
        </w:rPr>
        <w:t>it</w:t>
      </w:r>
      <w:proofErr w:type="spellEnd"/>
      <w:r w:rsidRPr="00085DAE">
        <w:rPr>
          <w:rFonts w:ascii="Times New Roman" w:hAnsi="Times New Roman"/>
          <w:sz w:val="24"/>
          <w:szCs w:val="24"/>
          <w:vertAlign w:val="subscript"/>
        </w:rPr>
        <w:tab/>
      </w:r>
      <w:r w:rsidRPr="00085DAE">
        <w:rPr>
          <w:rFonts w:ascii="Times New Roman" w:hAnsi="Times New Roman"/>
          <w:sz w:val="24"/>
          <w:szCs w:val="24"/>
        </w:rPr>
        <w:tab/>
      </w:r>
      <w:r w:rsidRPr="00085DAE">
        <w:rPr>
          <w:rFonts w:ascii="Times New Roman" w:hAnsi="Times New Roman"/>
          <w:sz w:val="24"/>
          <w:szCs w:val="24"/>
        </w:rPr>
        <w:tab/>
        <w:t>2.5</w:t>
      </w:r>
    </w:p>
    <w:p w14:paraId="5A7C570B" w14:textId="77777777" w:rsidR="00EC1B00" w:rsidRPr="00085DAE" w:rsidRDefault="00EC1B00" w:rsidP="00085DAE">
      <w:pPr>
        <w:spacing w:line="240" w:lineRule="auto"/>
        <w:rPr>
          <w:rFonts w:ascii="Times New Roman" w:hAnsi="Times New Roman"/>
          <w:sz w:val="24"/>
          <w:szCs w:val="24"/>
        </w:rPr>
      </w:pPr>
      <w:proofErr w:type="gramStart"/>
      <w:r w:rsidRPr="00085DAE">
        <w:rPr>
          <w:rFonts w:ascii="Times New Roman" w:hAnsi="Times New Roman"/>
          <w:sz w:val="24"/>
          <w:szCs w:val="24"/>
        </w:rPr>
        <w:t>Where</w:t>
      </w:r>
      <w:proofErr w:type="gramEnd"/>
    </w:p>
    <w:p w14:paraId="6F242852" w14:textId="77777777" w:rsidR="00EC1B00" w:rsidRPr="00085DAE" w:rsidRDefault="00EC1B00" w:rsidP="00085DAE">
      <w:pPr>
        <w:spacing w:line="240" w:lineRule="auto"/>
        <w:rPr>
          <w:rFonts w:ascii="Times New Roman" w:hAnsi="Times New Roman"/>
          <w:sz w:val="24"/>
          <w:szCs w:val="24"/>
        </w:rPr>
      </w:pPr>
      <w:proofErr w:type="spellStart"/>
      <w:r w:rsidRPr="00085DAE">
        <w:rPr>
          <w:rFonts w:ascii="Times New Roman" w:hAnsi="Times New Roman"/>
          <w:sz w:val="24"/>
          <w:szCs w:val="24"/>
        </w:rPr>
        <w:t>R</w:t>
      </w:r>
      <w:r w:rsidRPr="00085DAE">
        <w:rPr>
          <w:rFonts w:ascii="Times New Roman" w:hAnsi="Times New Roman"/>
          <w:sz w:val="24"/>
          <w:szCs w:val="24"/>
          <w:vertAlign w:val="subscript"/>
        </w:rPr>
        <w:t>it</w:t>
      </w:r>
      <w:proofErr w:type="spellEnd"/>
      <w:r w:rsidRPr="00085DAE">
        <w:rPr>
          <w:rFonts w:ascii="Times New Roman" w:hAnsi="Times New Roman"/>
          <w:sz w:val="24"/>
          <w:szCs w:val="24"/>
        </w:rPr>
        <w:t xml:space="preserve"> = Return on Asset </w:t>
      </w:r>
      <w:proofErr w:type="spellStart"/>
      <w:r w:rsidRPr="00085DAE">
        <w:rPr>
          <w:rFonts w:ascii="Times New Roman" w:hAnsi="Times New Roman"/>
          <w:sz w:val="24"/>
          <w:szCs w:val="24"/>
        </w:rPr>
        <w:t>i</w:t>
      </w:r>
      <w:proofErr w:type="spellEnd"/>
      <w:r w:rsidRPr="00085DAE">
        <w:rPr>
          <w:rFonts w:ascii="Times New Roman" w:hAnsi="Times New Roman"/>
          <w:sz w:val="24"/>
          <w:szCs w:val="24"/>
        </w:rPr>
        <w:t xml:space="preserve"> at time t.</w:t>
      </w:r>
    </w:p>
    <w:p w14:paraId="592BBE22" w14:textId="77777777" w:rsidR="00EC1B00" w:rsidRPr="00085DAE" w:rsidRDefault="00EC1B00" w:rsidP="00085DAE">
      <w:pPr>
        <w:spacing w:line="240" w:lineRule="auto"/>
        <w:rPr>
          <w:rFonts w:ascii="Times New Roman" w:hAnsi="Times New Roman"/>
          <w:sz w:val="24"/>
          <w:szCs w:val="24"/>
        </w:rPr>
      </w:pPr>
      <w:proofErr w:type="spellStart"/>
      <w:r w:rsidRPr="00085DAE">
        <w:rPr>
          <w:rFonts w:ascii="Times New Roman" w:hAnsi="Times New Roman"/>
          <w:sz w:val="24"/>
          <w:szCs w:val="24"/>
        </w:rPr>
        <w:t>Ѱ</w:t>
      </w:r>
      <w:r w:rsidRPr="00085DAE">
        <w:rPr>
          <w:rFonts w:ascii="Times New Roman" w:hAnsi="Times New Roman"/>
          <w:sz w:val="24"/>
          <w:szCs w:val="24"/>
          <w:vertAlign w:val="subscript"/>
        </w:rPr>
        <w:t>it</w:t>
      </w:r>
      <w:proofErr w:type="spellEnd"/>
      <w:r w:rsidRPr="00085DAE">
        <w:rPr>
          <w:rFonts w:ascii="Times New Roman" w:hAnsi="Times New Roman"/>
          <w:sz w:val="24"/>
          <w:szCs w:val="24"/>
        </w:rPr>
        <w:t xml:space="preserve"> =</w:t>
      </w:r>
      <w:r w:rsidRPr="00085DAE">
        <w:rPr>
          <w:rFonts w:ascii="Times New Roman" w:hAnsi="Times New Roman"/>
          <w:sz w:val="24"/>
          <w:szCs w:val="24"/>
        </w:rPr>
        <w:tab/>
        <w:t>Risk Free Rate</w:t>
      </w:r>
    </w:p>
    <w:p w14:paraId="7E2A115D"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β</w:t>
      </w:r>
      <w:proofErr w:type="spellStart"/>
      <w:r w:rsidRPr="00085DAE">
        <w:rPr>
          <w:rFonts w:ascii="Times New Roman" w:hAnsi="Times New Roman"/>
          <w:sz w:val="24"/>
          <w:szCs w:val="24"/>
          <w:vertAlign w:val="subscript"/>
        </w:rPr>
        <w:t>i</w:t>
      </w:r>
      <w:proofErr w:type="spellEnd"/>
      <w:r w:rsidRPr="00085DAE">
        <w:rPr>
          <w:rFonts w:ascii="Times New Roman" w:hAnsi="Times New Roman"/>
          <w:sz w:val="24"/>
          <w:szCs w:val="24"/>
        </w:rPr>
        <w:tab/>
        <w:t>= Security of the factors</w:t>
      </w:r>
    </w:p>
    <w:p w14:paraId="2EE91605" w14:textId="77777777" w:rsidR="00EC1B00" w:rsidRPr="00085DAE" w:rsidRDefault="00EC1B00" w:rsidP="00085DAE">
      <w:pPr>
        <w:spacing w:line="240" w:lineRule="auto"/>
        <w:rPr>
          <w:rFonts w:ascii="Times New Roman" w:hAnsi="Times New Roman"/>
          <w:sz w:val="24"/>
          <w:szCs w:val="24"/>
        </w:rPr>
      </w:pPr>
      <w:r w:rsidRPr="00085DAE">
        <w:rPr>
          <w:rFonts w:ascii="Times New Roman" w:hAnsi="Times New Roman"/>
          <w:sz w:val="24"/>
          <w:szCs w:val="24"/>
        </w:rPr>
        <w:t>F</w:t>
      </w:r>
      <w:r w:rsidRPr="00085DAE">
        <w:rPr>
          <w:rFonts w:ascii="Times New Roman" w:hAnsi="Times New Roman"/>
          <w:sz w:val="24"/>
          <w:szCs w:val="24"/>
        </w:rPr>
        <w:tab/>
        <w:t>= Risk Factors</w:t>
      </w:r>
    </w:p>
    <w:p w14:paraId="3EFE93C2" w14:textId="56C83C67" w:rsidR="00EC1B00" w:rsidRPr="00085DAE" w:rsidRDefault="00EC1B00" w:rsidP="00085DAE">
      <w:pPr>
        <w:pStyle w:val="ListParagraph"/>
        <w:numPr>
          <w:ilvl w:val="0"/>
          <w:numId w:val="21"/>
        </w:numPr>
        <w:spacing w:after="0" w:line="240" w:lineRule="auto"/>
        <w:rPr>
          <w:rFonts w:ascii="Times New Roman" w:hAnsi="Times New Roman"/>
          <w:b/>
          <w:sz w:val="24"/>
          <w:szCs w:val="24"/>
        </w:rPr>
      </w:pPr>
      <w:r w:rsidRPr="00085DAE">
        <w:rPr>
          <w:rFonts w:ascii="Times New Roman" w:hAnsi="Times New Roman"/>
          <w:b/>
          <w:sz w:val="24"/>
          <w:szCs w:val="24"/>
        </w:rPr>
        <w:t>Discounted Cash Flow Model (DCF)</w:t>
      </w:r>
    </w:p>
    <w:p w14:paraId="575BE078" w14:textId="77777777" w:rsidR="00961467"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 xml:space="preserve">The relationship between oil price shocks and stock market return can also be theoretically explored or viewed through the discounted cash flow model (equity pricing </w:t>
      </w:r>
    </w:p>
    <w:p w14:paraId="1480145A" w14:textId="77777777" w:rsidR="00961467" w:rsidRDefault="00961467" w:rsidP="00085DAE">
      <w:pPr>
        <w:spacing w:after="0" w:line="240" w:lineRule="auto"/>
        <w:rPr>
          <w:rFonts w:ascii="Times New Roman" w:hAnsi="Times New Roman"/>
          <w:sz w:val="24"/>
          <w:szCs w:val="24"/>
        </w:rPr>
      </w:pPr>
    </w:p>
    <w:p w14:paraId="4777606E" w14:textId="7ABF35CE"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 xml:space="preserve">model) developed by Huang, </w:t>
      </w:r>
      <w:proofErr w:type="spellStart"/>
      <w:r w:rsidRPr="00085DAE">
        <w:rPr>
          <w:rFonts w:ascii="Times New Roman" w:hAnsi="Times New Roman"/>
          <w:sz w:val="24"/>
          <w:szCs w:val="24"/>
        </w:rPr>
        <w:t>Masallius</w:t>
      </w:r>
      <w:proofErr w:type="spellEnd"/>
      <w:r w:rsidRPr="00085DAE">
        <w:rPr>
          <w:rFonts w:ascii="Times New Roman" w:hAnsi="Times New Roman"/>
          <w:sz w:val="24"/>
          <w:szCs w:val="24"/>
        </w:rPr>
        <w:t xml:space="preserve"> and </w:t>
      </w:r>
      <w:proofErr w:type="spellStart"/>
      <w:proofErr w:type="gramStart"/>
      <w:r w:rsidRPr="00085DAE">
        <w:rPr>
          <w:rFonts w:ascii="Times New Roman" w:hAnsi="Times New Roman"/>
          <w:sz w:val="24"/>
          <w:szCs w:val="24"/>
        </w:rPr>
        <w:t>Stold</w:t>
      </w:r>
      <w:proofErr w:type="spellEnd"/>
      <w:r w:rsidRPr="00085DAE">
        <w:rPr>
          <w:rFonts w:ascii="Times New Roman" w:hAnsi="Times New Roman"/>
          <w:sz w:val="24"/>
          <w:szCs w:val="24"/>
        </w:rPr>
        <w:t>(</w:t>
      </w:r>
      <w:proofErr w:type="gramEnd"/>
      <w:r w:rsidRPr="00085DAE">
        <w:rPr>
          <w:rFonts w:ascii="Times New Roman" w:hAnsi="Times New Roman"/>
          <w:sz w:val="24"/>
          <w:szCs w:val="24"/>
        </w:rPr>
        <w:t>1996). The model has been adopted in several literature (</w:t>
      </w:r>
      <w:proofErr w:type="spellStart"/>
      <w:r w:rsidRPr="00085DAE">
        <w:rPr>
          <w:rFonts w:ascii="Times New Roman" w:hAnsi="Times New Roman"/>
          <w:sz w:val="24"/>
          <w:szCs w:val="24"/>
        </w:rPr>
        <w:t>Sek</w:t>
      </w:r>
      <w:proofErr w:type="spellEnd"/>
      <w:r w:rsidRPr="00085DAE">
        <w:rPr>
          <w:rFonts w:ascii="Times New Roman" w:hAnsi="Times New Roman"/>
          <w:sz w:val="24"/>
          <w:szCs w:val="24"/>
        </w:rPr>
        <w:t xml:space="preserve">, 2015; Basher, 2014; </w:t>
      </w:r>
      <w:proofErr w:type="spellStart"/>
      <w:r w:rsidRPr="00085DAE">
        <w:rPr>
          <w:rFonts w:ascii="Times New Roman" w:hAnsi="Times New Roman"/>
          <w:sz w:val="24"/>
          <w:szCs w:val="24"/>
        </w:rPr>
        <w:t>Zakanya</w:t>
      </w:r>
      <w:proofErr w:type="spellEnd"/>
      <w:r w:rsidRPr="00085DAE">
        <w:rPr>
          <w:rFonts w:ascii="Times New Roman" w:hAnsi="Times New Roman"/>
          <w:sz w:val="24"/>
          <w:szCs w:val="24"/>
        </w:rPr>
        <w:t xml:space="preserve"> and Abdala, 2013; </w:t>
      </w:r>
      <w:proofErr w:type="spellStart"/>
      <w:r w:rsidRPr="00085DAE">
        <w:rPr>
          <w:rFonts w:ascii="Times New Roman" w:hAnsi="Times New Roman"/>
          <w:sz w:val="24"/>
          <w:szCs w:val="24"/>
        </w:rPr>
        <w:t>Abeng</w:t>
      </w:r>
      <w:proofErr w:type="spellEnd"/>
      <w:r w:rsidRPr="00085DAE">
        <w:rPr>
          <w:rFonts w:ascii="Times New Roman" w:hAnsi="Times New Roman"/>
          <w:sz w:val="24"/>
          <w:szCs w:val="24"/>
        </w:rPr>
        <w:t xml:space="preserve">, 2017; </w:t>
      </w:r>
      <w:proofErr w:type="spellStart"/>
      <w:r w:rsidRPr="00085DAE">
        <w:rPr>
          <w:rFonts w:ascii="Times New Roman" w:hAnsi="Times New Roman"/>
          <w:sz w:val="24"/>
          <w:szCs w:val="24"/>
        </w:rPr>
        <w:t>Degiannakis</w:t>
      </w:r>
      <w:proofErr w:type="spellEnd"/>
      <w:r w:rsidRPr="00085DAE">
        <w:rPr>
          <w:rFonts w:ascii="Times New Roman" w:hAnsi="Times New Roman"/>
          <w:sz w:val="24"/>
          <w:szCs w:val="24"/>
        </w:rPr>
        <w:t>, 2017). According to this model, macroeconomic variables including commodity prices can exert a significant effect on stock returns of firms. According, the price of equity at a given point in time is equal to the expected present value of the discounted future cash flows as follows:</w:t>
      </w:r>
    </w:p>
    <w:p w14:paraId="49BB2577" w14:textId="77777777"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P</w:t>
      </w:r>
      <w:r w:rsidRPr="00085DAE">
        <w:rPr>
          <w:rFonts w:ascii="Times New Roman" w:hAnsi="Times New Roman"/>
          <w:sz w:val="24"/>
          <w:szCs w:val="24"/>
        </w:rPr>
        <w:tab/>
        <w:t>=</w:t>
      </w:r>
      <w:r w:rsidRPr="00085DAE">
        <w:rPr>
          <w:rFonts w:ascii="Times New Roman" w:hAnsi="Times New Roman"/>
          <w:sz w:val="24"/>
          <w:szCs w:val="24"/>
        </w:rPr>
        <w:tab/>
      </w:r>
      <m:oMath>
        <m:f>
          <m:fPr>
            <m:ctrlPr>
              <w:rPr>
                <w:rFonts w:ascii="Cambria Math" w:hAnsi="Cambria Math"/>
                <w:i/>
                <w:sz w:val="24"/>
                <w:szCs w:val="24"/>
              </w:rPr>
            </m:ctrlPr>
          </m:fPr>
          <m:num>
            <m:r>
              <w:rPr>
                <w:rFonts w:ascii="Cambria Math" w:hAnsi="Cambria Math"/>
                <w:sz w:val="24"/>
                <w:szCs w:val="24"/>
              </w:rPr>
              <m:t>E(C)</m:t>
            </m:r>
          </m:num>
          <m:den>
            <m:r>
              <w:rPr>
                <w:rFonts w:ascii="Cambria Math" w:hAnsi="Cambria Math"/>
                <w:sz w:val="24"/>
                <w:szCs w:val="24"/>
              </w:rPr>
              <m:t>E(r)</m:t>
            </m:r>
          </m:den>
        </m:f>
      </m:oMath>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t>2.6</w:t>
      </w:r>
    </w:p>
    <w:p w14:paraId="2B992757" w14:textId="1120E80D"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Where</w:t>
      </w:r>
      <w:r w:rsidR="009A2413">
        <w:rPr>
          <w:rFonts w:ascii="Times New Roman" w:hAnsi="Times New Roman"/>
          <w:sz w:val="24"/>
          <w:szCs w:val="24"/>
        </w:rPr>
        <w:t>;</w:t>
      </w:r>
    </w:p>
    <w:p w14:paraId="2D86F7AB" w14:textId="77777777"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P</w:t>
      </w:r>
      <w:r w:rsidRPr="00085DAE">
        <w:rPr>
          <w:rFonts w:ascii="Times New Roman" w:hAnsi="Times New Roman"/>
          <w:sz w:val="24"/>
          <w:szCs w:val="24"/>
        </w:rPr>
        <w:tab/>
        <w:t>= Stock price</w:t>
      </w:r>
    </w:p>
    <w:p w14:paraId="2DD82467" w14:textId="77777777"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C</w:t>
      </w:r>
      <w:r w:rsidRPr="00085DAE">
        <w:rPr>
          <w:rFonts w:ascii="Times New Roman" w:hAnsi="Times New Roman"/>
          <w:sz w:val="24"/>
          <w:szCs w:val="24"/>
        </w:rPr>
        <w:tab/>
        <w:t>= cash flow</w:t>
      </w:r>
    </w:p>
    <w:p w14:paraId="57F94F9E" w14:textId="77777777"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r</w:t>
      </w:r>
      <w:r w:rsidRPr="00085DAE">
        <w:rPr>
          <w:rFonts w:ascii="Times New Roman" w:hAnsi="Times New Roman"/>
          <w:sz w:val="24"/>
          <w:szCs w:val="24"/>
        </w:rPr>
        <w:tab/>
        <w:t>= Discount rate (interest rate)</w:t>
      </w:r>
    </w:p>
    <w:p w14:paraId="12705630" w14:textId="77777777" w:rsidR="00EC1B00" w:rsidRPr="00085DAE" w:rsidRDefault="00EC1B00" w:rsidP="00085DAE">
      <w:pPr>
        <w:spacing w:line="240" w:lineRule="auto"/>
        <w:rPr>
          <w:rFonts w:ascii="Times New Roman" w:hAnsi="Times New Roman"/>
          <w:sz w:val="24"/>
          <w:szCs w:val="24"/>
        </w:rPr>
      </w:pPr>
      <w:proofErr w:type="gramStart"/>
      <w:r w:rsidRPr="00085DAE">
        <w:rPr>
          <w:rFonts w:ascii="Times New Roman" w:hAnsi="Times New Roman"/>
          <w:sz w:val="24"/>
          <w:szCs w:val="24"/>
        </w:rPr>
        <w:t>E(</w:t>
      </w:r>
      <w:proofErr w:type="gramEnd"/>
      <w:r w:rsidRPr="00085DAE">
        <w:rPr>
          <w:rFonts w:ascii="Times New Roman" w:hAnsi="Times New Roman"/>
          <w:sz w:val="24"/>
          <w:szCs w:val="24"/>
        </w:rPr>
        <w:t>1)</w:t>
      </w:r>
      <w:r w:rsidRPr="00085DAE">
        <w:rPr>
          <w:rFonts w:ascii="Times New Roman" w:hAnsi="Times New Roman"/>
          <w:sz w:val="24"/>
          <w:szCs w:val="24"/>
        </w:rPr>
        <w:tab/>
        <w:t>= expectation operator</w:t>
      </w:r>
    </w:p>
    <w:p w14:paraId="7AA73797" w14:textId="77777777" w:rsidR="00EC1B00" w:rsidRPr="00085DAE" w:rsidRDefault="00EC1B00" w:rsidP="00085DAE">
      <w:pPr>
        <w:spacing w:after="0" w:line="240" w:lineRule="auto"/>
        <w:rPr>
          <w:rFonts w:ascii="Times New Roman" w:hAnsi="Times New Roman"/>
          <w:sz w:val="24"/>
          <w:szCs w:val="24"/>
        </w:rPr>
      </w:pPr>
      <w:r w:rsidRPr="00085DAE">
        <w:rPr>
          <w:rFonts w:ascii="Times New Roman" w:hAnsi="Times New Roman"/>
          <w:sz w:val="24"/>
          <w:szCs w:val="24"/>
        </w:rPr>
        <w:t>The realized stock returns R can be expressed approximately as</w:t>
      </w:r>
    </w:p>
    <w:p w14:paraId="7C0C98FB" w14:textId="77777777" w:rsidR="00EC1B00" w:rsidRPr="00085DAE" w:rsidRDefault="00EC1B00" w:rsidP="00085DAE">
      <w:pPr>
        <w:spacing w:after="0" w:line="240" w:lineRule="auto"/>
        <w:rPr>
          <w:rFonts w:ascii="Times New Roman" w:eastAsia="Times New Roman" w:hAnsi="Times New Roman"/>
          <w:sz w:val="24"/>
          <w:szCs w:val="24"/>
        </w:rPr>
      </w:pPr>
      <w:r w:rsidRPr="00085DAE">
        <w:rPr>
          <w:rFonts w:ascii="Times New Roman" w:hAnsi="Times New Roman"/>
          <w:sz w:val="24"/>
          <w:szCs w:val="24"/>
        </w:rPr>
        <w:t>R</w:t>
      </w:r>
      <w:r w:rsidRPr="00085DAE">
        <w:rPr>
          <w:rFonts w:ascii="Times New Roman" w:hAnsi="Times New Roman"/>
          <w:sz w:val="24"/>
          <w:szCs w:val="24"/>
        </w:rPr>
        <w:tab/>
        <w:t>=</w:t>
      </w:r>
      <w:r w:rsidRPr="00085DAE">
        <w:rPr>
          <w:rFonts w:ascii="Times New Roman" w:hAnsi="Times New Roman"/>
          <w:sz w:val="24"/>
          <w:szCs w:val="24"/>
        </w:rPr>
        <w:tab/>
      </w:r>
      <m:oMath>
        <m:f>
          <m:fPr>
            <m:ctrlPr>
              <w:rPr>
                <w:rFonts w:ascii="Cambria Math" w:hAnsi="Cambria Math"/>
                <w:i/>
                <w:sz w:val="24"/>
                <w:szCs w:val="24"/>
              </w:rPr>
            </m:ctrlPr>
          </m:fPr>
          <m:num>
            <m:r>
              <w:rPr>
                <w:rFonts w:ascii="Cambria Math" w:hAnsi="Cambria Math"/>
                <w:sz w:val="24"/>
                <w:szCs w:val="24"/>
              </w:rPr>
              <m:t>CE(C)</m:t>
            </m:r>
          </m:num>
          <m:den>
            <m:r>
              <w:rPr>
                <w:rFonts w:ascii="Cambria Math" w:hAnsi="Cambria Math"/>
                <w:sz w:val="24"/>
                <w:szCs w:val="24"/>
              </w:rPr>
              <m:t>E(C)</m:t>
            </m:r>
          </m:den>
        </m:f>
      </m:oMath>
      <w:r w:rsidRPr="00085DAE">
        <w:rPr>
          <w:rFonts w:ascii="Times New Roman" w:hAnsi="Times New Roman"/>
          <w:sz w:val="24"/>
          <w:szCs w:val="24"/>
        </w:rPr>
        <w:tab/>
      </w:r>
      <w:r w:rsidRPr="00085DAE">
        <w:rPr>
          <w:rFonts w:ascii="Times New Roman" w:hAnsi="Times New Roman"/>
          <w:sz w:val="24"/>
          <w:szCs w:val="24"/>
        </w:rPr>
        <w:tab/>
        <w:t>=</w:t>
      </w:r>
      <w:r w:rsidRPr="00085DAE">
        <w:rPr>
          <w:rFonts w:ascii="Times New Roman" w:hAnsi="Times New Roman"/>
          <w:sz w:val="24"/>
          <w:szCs w:val="24"/>
        </w:rPr>
        <w:tab/>
      </w:r>
      <m:oMath>
        <m:f>
          <m:fPr>
            <m:ctrlPr>
              <w:rPr>
                <w:rFonts w:ascii="Cambria Math" w:hAnsi="Cambria Math"/>
                <w:i/>
                <w:sz w:val="24"/>
                <w:szCs w:val="24"/>
              </w:rPr>
            </m:ctrlPr>
          </m:fPr>
          <m:num>
            <m:r>
              <w:rPr>
                <w:rFonts w:ascii="Cambria Math" w:hAnsi="Cambria Math"/>
                <w:sz w:val="24"/>
                <w:szCs w:val="24"/>
              </w:rPr>
              <m:t>dE(r)</m:t>
            </m:r>
          </m:num>
          <m:den>
            <m:r>
              <w:rPr>
                <w:rFonts w:ascii="Cambria Math" w:hAnsi="Cambria Math"/>
                <w:sz w:val="24"/>
                <w:szCs w:val="24"/>
              </w:rPr>
              <m:t>E(r)</m:t>
            </m:r>
          </m:den>
        </m:f>
      </m:oMath>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r>
      <w:r w:rsidRPr="00085DAE">
        <w:rPr>
          <w:rFonts w:ascii="Times New Roman" w:eastAsia="Times New Roman" w:hAnsi="Times New Roman"/>
          <w:sz w:val="24"/>
          <w:szCs w:val="24"/>
        </w:rPr>
        <w:tab/>
        <w:t>2.7</w:t>
      </w:r>
    </w:p>
    <w:p w14:paraId="0A55E294" w14:textId="77777777" w:rsidR="00EC1B00" w:rsidRPr="00085DAE" w:rsidRDefault="00EC1B00" w:rsidP="00085DAE">
      <w:pPr>
        <w:spacing w:line="240" w:lineRule="auto"/>
        <w:rPr>
          <w:rFonts w:ascii="Times New Roman" w:eastAsia="Times New Roman" w:hAnsi="Times New Roman"/>
          <w:sz w:val="24"/>
          <w:szCs w:val="24"/>
        </w:rPr>
      </w:pPr>
      <w:r w:rsidRPr="00085DAE">
        <w:rPr>
          <w:rFonts w:ascii="Times New Roman" w:eastAsia="Times New Roman" w:hAnsi="Times New Roman"/>
          <w:sz w:val="24"/>
          <w:szCs w:val="24"/>
        </w:rPr>
        <w:t>Where d(.) is the difference operator.</w:t>
      </w:r>
    </w:p>
    <w:p w14:paraId="1BE1F1F4" w14:textId="77777777" w:rsidR="0059533F" w:rsidRPr="00085DAE" w:rsidRDefault="00EC1B00" w:rsidP="00085DAE">
      <w:pPr>
        <w:rPr>
          <w:rFonts w:ascii="Times New Roman" w:eastAsia="Times New Roman" w:hAnsi="Times New Roman"/>
          <w:sz w:val="24"/>
          <w:szCs w:val="24"/>
        </w:rPr>
      </w:pPr>
      <w:r w:rsidRPr="00085DAE">
        <w:rPr>
          <w:rFonts w:ascii="Times New Roman" w:eastAsia="Times New Roman" w:hAnsi="Times New Roman"/>
          <w:sz w:val="24"/>
          <w:szCs w:val="24"/>
        </w:rPr>
        <w:t xml:space="preserve">Stock returns, R, </w:t>
      </w:r>
      <w:r w:rsidR="0059533F" w:rsidRPr="00085DAE">
        <w:rPr>
          <w:rFonts w:ascii="Times New Roman" w:eastAsia="Times New Roman" w:hAnsi="Times New Roman"/>
          <w:sz w:val="24"/>
          <w:szCs w:val="24"/>
        </w:rPr>
        <w:t>Oil prices can impact expected cash flows and discount rates, which are determined by the systematic movements in these variables. Rising oil prices increase production costs, dampening cash flows and reducing stock prices. The discounted rate, which consists of expected inflation and expected real interest rate, can also be affected by oil price changes. Higher oil prices can negatively affect trade balances, leading to higher inflation and lower stock returns.</w:t>
      </w:r>
    </w:p>
    <w:p w14:paraId="4FE64C1C" w14:textId="5F3279DC" w:rsidR="00EC1B00" w:rsidRPr="00085DAE" w:rsidRDefault="003E4724" w:rsidP="00085DAE">
      <w:pPr>
        <w:spacing w:line="240" w:lineRule="auto"/>
        <w:rPr>
          <w:rFonts w:ascii="Times New Roman" w:eastAsia="Times New Roman" w:hAnsi="Times New Roman"/>
          <w:b/>
          <w:sz w:val="24"/>
          <w:szCs w:val="24"/>
        </w:rPr>
      </w:pPr>
      <w:r w:rsidRPr="00085DAE">
        <w:rPr>
          <w:rFonts w:ascii="Times New Roman" w:eastAsia="Times New Roman" w:hAnsi="Times New Roman"/>
          <w:b/>
          <w:sz w:val="24"/>
          <w:szCs w:val="24"/>
        </w:rPr>
        <w:t>EMPIRICAL PERSPECTIVE</w:t>
      </w:r>
    </w:p>
    <w:p w14:paraId="6CA56FA6" w14:textId="77777777" w:rsidR="00961467"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Modeling the effect of oil price shocks on energy sector stock returns in Nigeria was examined by </w:t>
      </w:r>
      <w:proofErr w:type="spellStart"/>
      <w:r w:rsidRPr="00085DAE">
        <w:rPr>
          <w:rFonts w:ascii="Times New Roman" w:eastAsia="Times New Roman" w:hAnsi="Times New Roman"/>
          <w:sz w:val="24"/>
          <w:szCs w:val="24"/>
        </w:rPr>
        <w:t>Ebechidi</w:t>
      </w:r>
      <w:proofErr w:type="spellEnd"/>
      <w:r w:rsidRPr="00085DAE">
        <w:rPr>
          <w:rFonts w:ascii="Times New Roman" w:eastAsia="Times New Roman" w:hAnsi="Times New Roman"/>
          <w:sz w:val="24"/>
          <w:szCs w:val="24"/>
        </w:rPr>
        <w:t xml:space="preserve"> and Nduka (2017). </w:t>
      </w:r>
      <w:r w:rsidR="00FE113E" w:rsidRPr="00085DAE">
        <w:rPr>
          <w:rFonts w:ascii="Times New Roman" w:eastAsia="Times New Roman" w:hAnsi="Times New Roman"/>
          <w:sz w:val="24"/>
          <w:szCs w:val="24"/>
        </w:rPr>
        <w:t xml:space="preserve">The study analyzed oil prices and stock returns of energy firms from 2000 to 2015 using GARCH modeling. </w:t>
      </w:r>
      <w:r w:rsidR="00523E3F" w:rsidRPr="00085DAE">
        <w:rPr>
          <w:rFonts w:ascii="Times New Roman" w:eastAsia="Times New Roman" w:hAnsi="Times New Roman"/>
          <w:sz w:val="24"/>
          <w:szCs w:val="24"/>
        </w:rPr>
        <w:t>The study rev</w:t>
      </w:r>
      <w:r w:rsidR="00401DEF" w:rsidRPr="00085DAE">
        <w:rPr>
          <w:rFonts w:ascii="Times New Roman" w:eastAsia="Times New Roman" w:hAnsi="Times New Roman"/>
          <w:sz w:val="24"/>
          <w:szCs w:val="24"/>
        </w:rPr>
        <w:t>eal</w:t>
      </w:r>
      <w:r w:rsidR="00523E3F" w:rsidRPr="00085DAE">
        <w:rPr>
          <w:rFonts w:ascii="Times New Roman" w:eastAsia="Times New Roman" w:hAnsi="Times New Roman"/>
          <w:sz w:val="24"/>
          <w:szCs w:val="24"/>
        </w:rPr>
        <w:t xml:space="preserve">ed </w:t>
      </w:r>
      <w:r w:rsidR="00FE113E" w:rsidRPr="00085DAE">
        <w:rPr>
          <w:rFonts w:ascii="Times New Roman" w:eastAsia="Times New Roman" w:hAnsi="Times New Roman"/>
          <w:sz w:val="24"/>
          <w:szCs w:val="24"/>
        </w:rPr>
        <w:t xml:space="preserve">a negative 74% effect on energy </w:t>
      </w:r>
    </w:p>
    <w:p w14:paraId="595B8F93" w14:textId="77777777" w:rsidR="00961467" w:rsidRDefault="00961467" w:rsidP="00085DAE">
      <w:pPr>
        <w:spacing w:after="0" w:line="240" w:lineRule="auto"/>
        <w:rPr>
          <w:rFonts w:ascii="Times New Roman" w:eastAsia="Times New Roman" w:hAnsi="Times New Roman"/>
          <w:sz w:val="24"/>
          <w:szCs w:val="24"/>
        </w:rPr>
      </w:pPr>
    </w:p>
    <w:p w14:paraId="70C00C8F" w14:textId="21B9360F" w:rsidR="00FE113E" w:rsidRPr="00085DAE" w:rsidRDefault="00FE113E"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sector stock returns, with an increase in oil prices leading to a margin increase in stock return. </w:t>
      </w:r>
      <w:r w:rsidR="00523E3F" w:rsidRPr="00085DAE">
        <w:rPr>
          <w:rFonts w:ascii="Times New Roman" w:eastAsia="Times New Roman" w:hAnsi="Times New Roman"/>
          <w:sz w:val="24"/>
          <w:szCs w:val="24"/>
        </w:rPr>
        <w:t>Also, in a study by Abdala (2013) m</w:t>
      </w:r>
      <w:r w:rsidR="00EC1B00" w:rsidRPr="00085DAE">
        <w:rPr>
          <w:rFonts w:ascii="Times New Roman" w:eastAsia="Times New Roman" w:hAnsi="Times New Roman"/>
          <w:sz w:val="24"/>
          <w:szCs w:val="24"/>
        </w:rPr>
        <w:t xml:space="preserve">odeling the impact of oil price fluctuations on the stock returns in an emerging market like Saudi-Arabia, </w:t>
      </w:r>
      <w:r w:rsidR="00523E3F" w:rsidRPr="00085DAE">
        <w:rPr>
          <w:rFonts w:ascii="Times New Roman" w:eastAsia="Times New Roman" w:hAnsi="Times New Roman"/>
          <w:sz w:val="24"/>
          <w:szCs w:val="24"/>
        </w:rPr>
        <w:t>t</w:t>
      </w:r>
      <w:r w:rsidRPr="00085DAE">
        <w:rPr>
          <w:rFonts w:ascii="Times New Roman" w:eastAsia="Times New Roman" w:hAnsi="Times New Roman"/>
          <w:sz w:val="24"/>
          <w:szCs w:val="24"/>
        </w:rPr>
        <w:t>he study analyz</w:t>
      </w:r>
      <w:r w:rsidR="00523E3F" w:rsidRPr="00085DAE">
        <w:rPr>
          <w:rFonts w:ascii="Times New Roman" w:eastAsia="Times New Roman" w:hAnsi="Times New Roman"/>
          <w:sz w:val="24"/>
          <w:szCs w:val="24"/>
        </w:rPr>
        <w:t>ed</w:t>
      </w:r>
      <w:r w:rsidRPr="00085DAE">
        <w:rPr>
          <w:rFonts w:ascii="Times New Roman" w:eastAsia="Times New Roman" w:hAnsi="Times New Roman"/>
          <w:sz w:val="24"/>
          <w:szCs w:val="24"/>
        </w:rPr>
        <w:t xml:space="preserve"> aggregate stock index and oil prices from 2007 to 2011, </w:t>
      </w:r>
      <w:r w:rsidR="000370B7" w:rsidRPr="00085DAE">
        <w:rPr>
          <w:rFonts w:ascii="Times New Roman" w:eastAsia="Times New Roman" w:hAnsi="Times New Roman"/>
          <w:sz w:val="24"/>
          <w:szCs w:val="24"/>
        </w:rPr>
        <w:t xml:space="preserve">and reported </w:t>
      </w:r>
      <w:r w:rsidRPr="00085DAE">
        <w:rPr>
          <w:rFonts w:ascii="Times New Roman" w:eastAsia="Times New Roman" w:hAnsi="Times New Roman"/>
          <w:sz w:val="24"/>
          <w:szCs w:val="24"/>
        </w:rPr>
        <w:t>that crude oil price fluctuations increased stock market returns volatility.</w:t>
      </w:r>
    </w:p>
    <w:p w14:paraId="12AEAD02" w14:textId="77777777" w:rsidR="00CA1A07" w:rsidRPr="00085DAE" w:rsidRDefault="00CA1A07" w:rsidP="00085DAE">
      <w:pPr>
        <w:spacing w:after="0" w:line="240" w:lineRule="auto"/>
        <w:rPr>
          <w:rFonts w:ascii="Times New Roman" w:eastAsia="Times New Roman" w:hAnsi="Times New Roman"/>
          <w:sz w:val="8"/>
          <w:szCs w:val="24"/>
        </w:rPr>
      </w:pPr>
    </w:p>
    <w:p w14:paraId="522FDE4C" w14:textId="62EAF24D" w:rsidR="00FE113E" w:rsidRPr="00085DAE" w:rsidRDefault="00EC1B00" w:rsidP="00085DAE">
      <w:pPr>
        <w:spacing w:after="0" w:line="240" w:lineRule="auto"/>
        <w:rPr>
          <w:rFonts w:ascii="Times New Roman" w:eastAsia="Times New Roman" w:hAnsi="Times New Roman"/>
          <w:sz w:val="24"/>
          <w:szCs w:val="24"/>
        </w:rPr>
      </w:pPr>
      <w:proofErr w:type="spellStart"/>
      <w:r w:rsidRPr="00085DAE">
        <w:rPr>
          <w:rFonts w:ascii="Times New Roman" w:eastAsia="Times New Roman" w:hAnsi="Times New Roman"/>
          <w:sz w:val="24"/>
          <w:szCs w:val="24"/>
        </w:rPr>
        <w:t>Sek</w:t>
      </w:r>
      <w:proofErr w:type="spellEnd"/>
      <w:r w:rsidRPr="00085DAE">
        <w:rPr>
          <w:rFonts w:ascii="Times New Roman" w:eastAsia="Times New Roman" w:hAnsi="Times New Roman"/>
          <w:sz w:val="24"/>
          <w:szCs w:val="24"/>
        </w:rPr>
        <w:t xml:space="preserve">, Ng and Har (2015) </w:t>
      </w:r>
      <w:r w:rsidR="000370B7" w:rsidRPr="00085DAE">
        <w:rPr>
          <w:rFonts w:ascii="Times New Roman" w:eastAsia="Times New Roman" w:hAnsi="Times New Roman"/>
          <w:sz w:val="24"/>
          <w:szCs w:val="24"/>
        </w:rPr>
        <w:t xml:space="preserve">further </w:t>
      </w:r>
      <w:r w:rsidRPr="00085DAE">
        <w:rPr>
          <w:rFonts w:ascii="Times New Roman" w:eastAsia="Times New Roman" w:hAnsi="Times New Roman"/>
          <w:sz w:val="24"/>
          <w:szCs w:val="24"/>
        </w:rPr>
        <w:t xml:space="preserve">compared, the effect of oil prices across stock markets of China, India, South Korea, Singapore and Italy, using data from January 2009 to December 2013. </w:t>
      </w:r>
      <w:r w:rsidR="00FE113E" w:rsidRPr="00085DAE">
        <w:rPr>
          <w:rFonts w:ascii="Times New Roman" w:eastAsia="Times New Roman" w:hAnsi="Times New Roman"/>
          <w:sz w:val="24"/>
          <w:szCs w:val="24"/>
        </w:rPr>
        <w:t>The study found detectable spillover effects between crude oil price and stock returns for all countries using the Baba, Engle, Kroner (BEKK) multivariate volatility model</w:t>
      </w:r>
      <w:r w:rsidR="000370B7" w:rsidRPr="00085DAE">
        <w:rPr>
          <w:rFonts w:ascii="Times New Roman" w:eastAsia="Times New Roman" w:hAnsi="Times New Roman"/>
          <w:sz w:val="24"/>
          <w:szCs w:val="24"/>
        </w:rPr>
        <w:t xml:space="preserve"> though </w:t>
      </w:r>
      <w:r w:rsidR="00FE113E" w:rsidRPr="00085DAE">
        <w:rPr>
          <w:rFonts w:ascii="Times New Roman" w:eastAsia="Times New Roman" w:hAnsi="Times New Roman"/>
          <w:sz w:val="24"/>
          <w:szCs w:val="24"/>
        </w:rPr>
        <w:t xml:space="preserve">a panel </w:t>
      </w:r>
      <w:proofErr w:type="spellStart"/>
      <w:r w:rsidR="00FE113E" w:rsidRPr="00085DAE">
        <w:rPr>
          <w:rFonts w:ascii="Times New Roman" w:eastAsia="Times New Roman" w:hAnsi="Times New Roman"/>
          <w:sz w:val="24"/>
          <w:szCs w:val="24"/>
        </w:rPr>
        <w:t>Garch</w:t>
      </w:r>
      <w:proofErr w:type="spellEnd"/>
      <w:r w:rsidR="00FE113E" w:rsidRPr="00085DAE">
        <w:rPr>
          <w:rFonts w:ascii="Times New Roman" w:eastAsia="Times New Roman" w:hAnsi="Times New Roman"/>
          <w:sz w:val="24"/>
          <w:szCs w:val="24"/>
        </w:rPr>
        <w:t xml:space="preserve"> or </w:t>
      </w:r>
      <w:r w:rsidR="00FE113E" w:rsidRPr="00085DAE">
        <w:rPr>
          <w:rFonts w:ascii="Times New Roman" w:eastAsia="Times New Roman" w:hAnsi="Times New Roman"/>
          <w:sz w:val="24"/>
          <w:szCs w:val="24"/>
        </w:rPr>
        <w:lastRenderedPageBreak/>
        <w:t>panel ARDL methodology should have been used.</w:t>
      </w:r>
    </w:p>
    <w:p w14:paraId="116FE8C5" w14:textId="77777777" w:rsidR="00CA1A07" w:rsidRPr="00085DAE" w:rsidRDefault="00CA1A07" w:rsidP="00085DAE">
      <w:pPr>
        <w:spacing w:after="0" w:line="240" w:lineRule="auto"/>
        <w:rPr>
          <w:rFonts w:ascii="Times New Roman" w:eastAsia="Times New Roman" w:hAnsi="Times New Roman"/>
          <w:sz w:val="6"/>
          <w:szCs w:val="24"/>
        </w:rPr>
      </w:pPr>
    </w:p>
    <w:p w14:paraId="0D419B45" w14:textId="672ACE81" w:rsidR="00EC1B00" w:rsidRPr="00085DAE" w:rsidRDefault="000370B7"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Again, </w:t>
      </w:r>
      <w:r w:rsidR="00EC1B00" w:rsidRPr="00085DAE">
        <w:rPr>
          <w:rFonts w:ascii="Times New Roman" w:eastAsia="Times New Roman" w:hAnsi="Times New Roman"/>
          <w:sz w:val="24"/>
          <w:szCs w:val="24"/>
        </w:rPr>
        <w:t xml:space="preserve">Abdala (2014) </w:t>
      </w:r>
      <w:r w:rsidR="004A1C59" w:rsidRPr="00085DAE">
        <w:rPr>
          <w:rFonts w:ascii="Times New Roman" w:eastAsia="Times New Roman" w:hAnsi="Times New Roman"/>
          <w:sz w:val="24"/>
          <w:szCs w:val="24"/>
        </w:rPr>
        <w:t>analyzed oil price fluctuations on Sudanese stock market performance from 2008 to 2014,</w:t>
      </w:r>
      <w:r w:rsidRPr="00085DAE">
        <w:rPr>
          <w:rFonts w:ascii="Times New Roman" w:eastAsia="Times New Roman" w:hAnsi="Times New Roman"/>
          <w:sz w:val="24"/>
          <w:szCs w:val="24"/>
        </w:rPr>
        <w:t xml:space="preserve"> and reported </w:t>
      </w:r>
      <w:r w:rsidR="004A1C59" w:rsidRPr="00085DAE">
        <w:rPr>
          <w:rFonts w:ascii="Times New Roman" w:eastAsia="Times New Roman" w:hAnsi="Times New Roman"/>
          <w:sz w:val="24"/>
          <w:szCs w:val="24"/>
        </w:rPr>
        <w:t>that past oil price values significantly influenced KSE returns, with crude oil shocks positively impacting returns.</w:t>
      </w:r>
    </w:p>
    <w:p w14:paraId="28EE6768" w14:textId="77777777" w:rsidR="00CA1A07" w:rsidRPr="00085DAE" w:rsidRDefault="00CA1A07" w:rsidP="00085DAE">
      <w:pPr>
        <w:spacing w:after="0" w:line="240" w:lineRule="auto"/>
        <w:rPr>
          <w:rFonts w:ascii="Times New Roman" w:eastAsia="Times New Roman" w:hAnsi="Times New Roman"/>
          <w:sz w:val="8"/>
          <w:szCs w:val="24"/>
        </w:rPr>
      </w:pPr>
    </w:p>
    <w:p w14:paraId="5D01C33E" w14:textId="77777777" w:rsidR="004A1C59"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Sector responses of GCC stock market returns to international oil price changes was the topic of study conducted by Khamis and </w:t>
      </w:r>
      <w:proofErr w:type="spellStart"/>
      <w:r w:rsidRPr="00085DAE">
        <w:rPr>
          <w:rFonts w:ascii="Times New Roman" w:eastAsia="Times New Roman" w:hAnsi="Times New Roman"/>
          <w:sz w:val="24"/>
          <w:szCs w:val="24"/>
        </w:rPr>
        <w:t>Handen</w:t>
      </w:r>
      <w:proofErr w:type="spellEnd"/>
      <w:r w:rsidRPr="00085DAE">
        <w:rPr>
          <w:rFonts w:ascii="Times New Roman" w:eastAsia="Times New Roman" w:hAnsi="Times New Roman"/>
          <w:sz w:val="24"/>
          <w:szCs w:val="24"/>
        </w:rPr>
        <w:t xml:space="preserve"> (2016). </w:t>
      </w:r>
      <w:r w:rsidR="004A1C59" w:rsidRPr="00085DAE">
        <w:rPr>
          <w:rFonts w:ascii="Times New Roman" w:eastAsia="Times New Roman" w:hAnsi="Times New Roman"/>
          <w:sz w:val="24"/>
          <w:szCs w:val="24"/>
        </w:rPr>
        <w:t>A study on GCC stock markets reveals that oil price changes affect sectors differently, but fails to account for return and volatility spillover effects due to financial linkages.</w:t>
      </w:r>
    </w:p>
    <w:p w14:paraId="27ABFFC9" w14:textId="77777777" w:rsidR="006653B6" w:rsidRPr="00085DAE" w:rsidRDefault="006653B6" w:rsidP="00085DAE">
      <w:pPr>
        <w:spacing w:after="0" w:line="240" w:lineRule="auto"/>
        <w:rPr>
          <w:rFonts w:ascii="Times New Roman" w:eastAsia="Times New Roman" w:hAnsi="Times New Roman"/>
          <w:sz w:val="8"/>
          <w:szCs w:val="24"/>
        </w:rPr>
      </w:pPr>
    </w:p>
    <w:p w14:paraId="0C8088D5" w14:textId="77777777" w:rsidR="00EC1B00"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A sector analysis of asymmetric nexus between oil prices and stock returns was examined by Salisu, Raheem and </w:t>
      </w:r>
      <w:proofErr w:type="spellStart"/>
      <w:r w:rsidRPr="00085DAE">
        <w:rPr>
          <w:rFonts w:ascii="Times New Roman" w:eastAsia="Times New Roman" w:hAnsi="Times New Roman"/>
          <w:sz w:val="24"/>
          <w:szCs w:val="24"/>
        </w:rPr>
        <w:t>Ndako</w:t>
      </w:r>
      <w:proofErr w:type="spellEnd"/>
      <w:r w:rsidRPr="00085DAE">
        <w:rPr>
          <w:rFonts w:ascii="Times New Roman" w:eastAsia="Times New Roman" w:hAnsi="Times New Roman"/>
          <w:sz w:val="24"/>
          <w:szCs w:val="24"/>
        </w:rPr>
        <w:t xml:space="preserve"> (2017). </w:t>
      </w:r>
      <w:r w:rsidR="000D6002" w:rsidRPr="00085DAE">
        <w:rPr>
          <w:rFonts w:ascii="Times New Roman" w:eastAsia="Times New Roman" w:hAnsi="Times New Roman"/>
          <w:sz w:val="24"/>
          <w:szCs w:val="24"/>
        </w:rPr>
        <w:t>The study on the US stock market, using monthly data from 1999-2017, found that oil price shocks significantly impact sectoral stock returns. However, the findings may not be applicable to developing countries like Nigeria or with higher frequency data.</w:t>
      </w:r>
    </w:p>
    <w:p w14:paraId="09F36196" w14:textId="6A47F182" w:rsidR="000D6002" w:rsidRPr="00085DAE" w:rsidRDefault="000370B7"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In a study conducted by </w:t>
      </w:r>
      <w:proofErr w:type="spellStart"/>
      <w:r w:rsidR="00EC1B00" w:rsidRPr="00085DAE">
        <w:rPr>
          <w:rFonts w:ascii="Times New Roman" w:eastAsia="Times New Roman" w:hAnsi="Times New Roman"/>
          <w:sz w:val="24"/>
          <w:szCs w:val="24"/>
        </w:rPr>
        <w:t>Waheed</w:t>
      </w:r>
      <w:proofErr w:type="spellEnd"/>
      <w:r w:rsidR="00EC1B00" w:rsidRPr="00085DAE">
        <w:rPr>
          <w:rFonts w:ascii="Times New Roman" w:eastAsia="Times New Roman" w:hAnsi="Times New Roman"/>
          <w:sz w:val="24"/>
          <w:szCs w:val="24"/>
        </w:rPr>
        <w:t xml:space="preserve">, Wei and Sarwar (2017) </w:t>
      </w:r>
      <w:r w:rsidRPr="00085DAE">
        <w:rPr>
          <w:rFonts w:ascii="Times New Roman" w:eastAsia="Times New Roman" w:hAnsi="Times New Roman"/>
          <w:sz w:val="24"/>
          <w:szCs w:val="24"/>
        </w:rPr>
        <w:t xml:space="preserve">using </w:t>
      </w:r>
      <w:r w:rsidR="00C56D37" w:rsidRPr="00085DAE">
        <w:rPr>
          <w:rFonts w:ascii="Times New Roman" w:eastAsia="Times New Roman" w:hAnsi="Times New Roman"/>
          <w:sz w:val="24"/>
          <w:szCs w:val="24"/>
        </w:rPr>
        <w:t xml:space="preserve">industry-wise analysis to examine the impact of oil prices on stock returns of listed firms on the Karachi stock exchange </w:t>
      </w:r>
      <w:r w:rsidR="000D6002" w:rsidRPr="00085DAE">
        <w:rPr>
          <w:rFonts w:ascii="Times New Roman" w:eastAsia="Times New Roman" w:hAnsi="Times New Roman"/>
          <w:sz w:val="24"/>
          <w:szCs w:val="24"/>
        </w:rPr>
        <w:t>from 1998-2014 in Pakistan finding</w:t>
      </w:r>
      <w:r w:rsidR="00C56D37" w:rsidRPr="00085DAE">
        <w:rPr>
          <w:rFonts w:ascii="Times New Roman" w:eastAsia="Times New Roman" w:hAnsi="Times New Roman"/>
          <w:sz w:val="24"/>
          <w:szCs w:val="24"/>
        </w:rPr>
        <w:t>s indicated</w:t>
      </w:r>
      <w:r w:rsidR="000D6002" w:rsidRPr="00085DAE">
        <w:rPr>
          <w:rFonts w:ascii="Times New Roman" w:eastAsia="Times New Roman" w:hAnsi="Times New Roman"/>
          <w:sz w:val="24"/>
          <w:szCs w:val="24"/>
        </w:rPr>
        <w:t xml:space="preserve"> a significant positive effect.</w:t>
      </w:r>
      <w:r w:rsidR="00EC1B00" w:rsidRPr="00085DAE">
        <w:rPr>
          <w:rFonts w:ascii="Times New Roman" w:eastAsia="Times New Roman" w:hAnsi="Times New Roman"/>
          <w:sz w:val="24"/>
          <w:szCs w:val="24"/>
        </w:rPr>
        <w:t xml:space="preserve"> The impact of oil prices on stock markets from Gulf Cooperative Council financial markets was </w:t>
      </w:r>
      <w:r w:rsidR="00C56D37" w:rsidRPr="00085DAE">
        <w:rPr>
          <w:rFonts w:ascii="Times New Roman" w:eastAsia="Times New Roman" w:hAnsi="Times New Roman"/>
          <w:sz w:val="24"/>
          <w:szCs w:val="24"/>
        </w:rPr>
        <w:t xml:space="preserve">also </w:t>
      </w:r>
      <w:r w:rsidR="00EC1B00" w:rsidRPr="00085DAE">
        <w:rPr>
          <w:rFonts w:ascii="Times New Roman" w:eastAsia="Times New Roman" w:hAnsi="Times New Roman"/>
          <w:sz w:val="24"/>
          <w:szCs w:val="24"/>
        </w:rPr>
        <w:t xml:space="preserve">examined by </w:t>
      </w:r>
      <w:proofErr w:type="spellStart"/>
      <w:r w:rsidR="00EC1B00" w:rsidRPr="00085DAE">
        <w:rPr>
          <w:rFonts w:ascii="Times New Roman" w:eastAsia="Times New Roman" w:hAnsi="Times New Roman"/>
          <w:sz w:val="24"/>
          <w:szCs w:val="24"/>
        </w:rPr>
        <w:t>Alqattan</w:t>
      </w:r>
      <w:proofErr w:type="spellEnd"/>
      <w:r w:rsidR="00EC1B00" w:rsidRPr="00085DAE">
        <w:rPr>
          <w:rFonts w:ascii="Times New Roman" w:eastAsia="Times New Roman" w:hAnsi="Times New Roman"/>
          <w:sz w:val="24"/>
          <w:szCs w:val="24"/>
        </w:rPr>
        <w:t xml:space="preserve"> and </w:t>
      </w:r>
      <w:proofErr w:type="spellStart"/>
      <w:r w:rsidR="00EC1B00" w:rsidRPr="00085DAE">
        <w:rPr>
          <w:rFonts w:ascii="Times New Roman" w:eastAsia="Times New Roman" w:hAnsi="Times New Roman"/>
          <w:sz w:val="24"/>
          <w:szCs w:val="24"/>
        </w:rPr>
        <w:t>Alhaykay</w:t>
      </w:r>
      <w:proofErr w:type="spellEnd"/>
      <w:r w:rsidR="00EC1B00" w:rsidRPr="00085DAE">
        <w:rPr>
          <w:rFonts w:ascii="Times New Roman" w:eastAsia="Times New Roman" w:hAnsi="Times New Roman"/>
          <w:sz w:val="24"/>
          <w:szCs w:val="24"/>
        </w:rPr>
        <w:t xml:space="preserve"> (2016). </w:t>
      </w:r>
      <w:r w:rsidR="000D6002" w:rsidRPr="00085DAE">
        <w:rPr>
          <w:rFonts w:ascii="Times New Roman" w:eastAsia="Times New Roman" w:hAnsi="Times New Roman"/>
          <w:sz w:val="24"/>
          <w:szCs w:val="24"/>
        </w:rPr>
        <w:t>The study, using monthly data on oil prices and stock returns from GCC countries, found no evidence of cointegration, except for Oman, and the use of monthly data may affect consistency.</w:t>
      </w:r>
    </w:p>
    <w:p w14:paraId="75BE6922" w14:textId="515D04A4" w:rsidR="000D6002" w:rsidRPr="00085DAE" w:rsidRDefault="00C56D37" w:rsidP="00085DAE">
      <w:pPr>
        <w:spacing w:after="0" w:line="240" w:lineRule="auto"/>
        <w:rPr>
          <w:rFonts w:ascii="Times New Roman" w:eastAsia="Times New Roman" w:hAnsi="Times New Roman"/>
          <w:sz w:val="24"/>
          <w:szCs w:val="24"/>
        </w:rPr>
      </w:pPr>
      <w:proofErr w:type="spellStart"/>
      <w:r w:rsidRPr="00085DAE">
        <w:rPr>
          <w:rFonts w:ascii="Times New Roman" w:eastAsia="Times New Roman" w:hAnsi="Times New Roman"/>
          <w:sz w:val="24"/>
          <w:szCs w:val="24"/>
        </w:rPr>
        <w:t>Alaali</w:t>
      </w:r>
      <w:proofErr w:type="spellEnd"/>
      <w:r w:rsidRPr="00085DAE">
        <w:rPr>
          <w:rFonts w:ascii="Times New Roman" w:eastAsia="Times New Roman" w:hAnsi="Times New Roman"/>
          <w:sz w:val="24"/>
          <w:szCs w:val="24"/>
        </w:rPr>
        <w:t xml:space="preserve"> (2017) a</w:t>
      </w:r>
      <w:r w:rsidR="00EC1B00" w:rsidRPr="00085DAE">
        <w:rPr>
          <w:rFonts w:ascii="Times New Roman" w:eastAsia="Times New Roman" w:hAnsi="Times New Roman"/>
          <w:sz w:val="24"/>
          <w:szCs w:val="24"/>
        </w:rPr>
        <w:t xml:space="preserve">nalyzing the impact of oil price shocks on asset price of UK firms </w:t>
      </w:r>
      <w:r w:rsidRPr="00085DAE">
        <w:rPr>
          <w:rFonts w:ascii="Times New Roman" w:eastAsia="Times New Roman" w:hAnsi="Times New Roman"/>
          <w:sz w:val="24"/>
          <w:szCs w:val="24"/>
        </w:rPr>
        <w:t xml:space="preserve">reported that </w:t>
      </w:r>
      <w:r w:rsidR="000D6002" w:rsidRPr="00085DAE">
        <w:rPr>
          <w:rFonts w:ascii="Times New Roman" w:eastAsia="Times New Roman" w:hAnsi="Times New Roman"/>
          <w:sz w:val="24"/>
          <w:szCs w:val="24"/>
        </w:rPr>
        <w:t xml:space="preserve">responses to oil price shocks using the </w:t>
      </w:r>
      <w:proofErr w:type="spellStart"/>
      <w:r w:rsidR="000D6002" w:rsidRPr="00085DAE">
        <w:rPr>
          <w:rFonts w:ascii="Times New Roman" w:eastAsia="Times New Roman" w:hAnsi="Times New Roman"/>
          <w:sz w:val="24"/>
          <w:szCs w:val="24"/>
        </w:rPr>
        <w:t>Fama</w:t>
      </w:r>
      <w:proofErr w:type="spellEnd"/>
      <w:r w:rsidR="000D6002" w:rsidRPr="00085DAE">
        <w:rPr>
          <w:rFonts w:ascii="Times New Roman" w:eastAsia="Times New Roman" w:hAnsi="Times New Roman"/>
          <w:sz w:val="24"/>
          <w:szCs w:val="24"/>
        </w:rPr>
        <w:t xml:space="preserve">-French four factors asset pricing model. showed </w:t>
      </w:r>
      <w:r w:rsidRPr="00085DAE">
        <w:rPr>
          <w:rFonts w:ascii="Times New Roman" w:eastAsia="Times New Roman" w:hAnsi="Times New Roman"/>
          <w:sz w:val="24"/>
          <w:szCs w:val="24"/>
        </w:rPr>
        <w:t xml:space="preserve">that </w:t>
      </w:r>
      <w:r w:rsidR="000D6002" w:rsidRPr="00085DAE">
        <w:rPr>
          <w:rFonts w:ascii="Times New Roman" w:eastAsia="Times New Roman" w:hAnsi="Times New Roman"/>
          <w:sz w:val="24"/>
          <w:szCs w:val="24"/>
        </w:rPr>
        <w:t xml:space="preserve">transportation sector returns were insensitive, while travel, </w:t>
      </w:r>
      <w:r w:rsidR="000D6002" w:rsidRPr="00085DAE">
        <w:rPr>
          <w:rFonts w:ascii="Times New Roman" w:eastAsia="Times New Roman" w:hAnsi="Times New Roman"/>
          <w:sz w:val="24"/>
          <w:szCs w:val="24"/>
        </w:rPr>
        <w:t>tourism, airlines, and oil and gas showed asymmetric responses. The study's main drawback is its use of monthly financial series data.</w:t>
      </w:r>
      <w:r w:rsidRPr="00085DAE">
        <w:rPr>
          <w:rFonts w:ascii="Times New Roman" w:eastAsia="Times New Roman" w:hAnsi="Times New Roman"/>
          <w:sz w:val="24"/>
          <w:szCs w:val="24"/>
        </w:rPr>
        <w:t xml:space="preserve"> In the vein, </w:t>
      </w:r>
      <w:proofErr w:type="spellStart"/>
      <w:r w:rsidR="00EC1B00" w:rsidRPr="00085DAE">
        <w:rPr>
          <w:rFonts w:ascii="Times New Roman" w:eastAsia="Times New Roman" w:hAnsi="Times New Roman"/>
          <w:sz w:val="24"/>
          <w:szCs w:val="24"/>
        </w:rPr>
        <w:t>Jafarian</w:t>
      </w:r>
      <w:proofErr w:type="spellEnd"/>
      <w:r w:rsidR="00EC1B00" w:rsidRPr="00085DAE">
        <w:rPr>
          <w:rFonts w:ascii="Times New Roman" w:eastAsia="Times New Roman" w:hAnsi="Times New Roman"/>
          <w:sz w:val="24"/>
          <w:szCs w:val="24"/>
        </w:rPr>
        <w:t xml:space="preserve"> and Safari (2015) </w:t>
      </w:r>
      <w:r w:rsidR="000D6002" w:rsidRPr="00085DAE">
        <w:rPr>
          <w:rFonts w:ascii="Times New Roman" w:eastAsia="Times New Roman" w:hAnsi="Times New Roman"/>
          <w:sz w:val="24"/>
          <w:szCs w:val="24"/>
        </w:rPr>
        <w:t>examined the impact of oil price fluctuations on Malaysia's stock market returns from 2000 to 2014</w:t>
      </w:r>
      <w:r w:rsidRPr="00085DAE">
        <w:rPr>
          <w:rFonts w:ascii="Times New Roman" w:eastAsia="Times New Roman" w:hAnsi="Times New Roman"/>
          <w:sz w:val="24"/>
          <w:szCs w:val="24"/>
        </w:rPr>
        <w:t xml:space="preserve"> and reported </w:t>
      </w:r>
      <w:r w:rsidR="000D6002" w:rsidRPr="00085DAE">
        <w:rPr>
          <w:rFonts w:ascii="Times New Roman" w:eastAsia="Times New Roman" w:hAnsi="Times New Roman"/>
          <w:sz w:val="24"/>
          <w:szCs w:val="24"/>
        </w:rPr>
        <w:t>positive effects on consumables and energy sectors, while utilities and telecom sectors were negatively affected. However, the study's main drawback is its use of monthly data.</w:t>
      </w:r>
    </w:p>
    <w:p w14:paraId="7B02BC82" w14:textId="77777777" w:rsidR="00EC1B00"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Volatility spillover between oil price and the stock market under structure breaks was examined by Ewing and Malik (2015). </w:t>
      </w:r>
      <w:r w:rsidR="000D6002" w:rsidRPr="00085DAE">
        <w:rPr>
          <w:rFonts w:ascii="Times New Roman" w:eastAsia="Times New Roman" w:hAnsi="Times New Roman"/>
          <w:sz w:val="24"/>
          <w:szCs w:val="24"/>
        </w:rPr>
        <w:t>The study used the MGARCH model to analyze oil price volatility and US stock market returns from 1996 to 2014. Results showed no spillover, but strong evidence of volatility spillover when structural breaks are included.</w:t>
      </w:r>
    </w:p>
    <w:p w14:paraId="3306BF90" w14:textId="48DFD13E" w:rsidR="00EC1B00"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The impact of oil price shocks on Amman Stock Exchange Real return was conducted by Al-</w:t>
      </w:r>
      <w:proofErr w:type="spellStart"/>
      <w:r w:rsidRPr="00085DAE">
        <w:rPr>
          <w:rFonts w:ascii="Times New Roman" w:eastAsia="Times New Roman" w:hAnsi="Times New Roman"/>
          <w:sz w:val="24"/>
          <w:szCs w:val="24"/>
        </w:rPr>
        <w:t>Qudah</w:t>
      </w:r>
      <w:proofErr w:type="spellEnd"/>
      <w:r w:rsidRPr="00085DAE">
        <w:rPr>
          <w:rFonts w:ascii="Times New Roman" w:eastAsia="Times New Roman" w:hAnsi="Times New Roman"/>
          <w:sz w:val="24"/>
          <w:szCs w:val="24"/>
        </w:rPr>
        <w:t xml:space="preserve"> (2015). </w:t>
      </w:r>
      <w:r w:rsidR="000D6002" w:rsidRPr="00085DAE">
        <w:rPr>
          <w:rFonts w:ascii="Times New Roman" w:eastAsia="Times New Roman" w:hAnsi="Times New Roman"/>
          <w:sz w:val="24"/>
          <w:szCs w:val="24"/>
        </w:rPr>
        <w:t>The study examines the impact of oil prices, stocks, and interest rates on stock returns in Jordan from 2000 to 2014. Results</w:t>
      </w:r>
      <w:r w:rsidR="00C56D37" w:rsidRPr="00085DAE">
        <w:rPr>
          <w:rFonts w:ascii="Times New Roman" w:eastAsia="Times New Roman" w:hAnsi="Times New Roman"/>
          <w:sz w:val="24"/>
          <w:szCs w:val="24"/>
        </w:rPr>
        <w:t xml:space="preserve"> from the study</w:t>
      </w:r>
      <w:r w:rsidR="000D6002" w:rsidRPr="00085DAE">
        <w:rPr>
          <w:rFonts w:ascii="Times New Roman" w:eastAsia="Times New Roman" w:hAnsi="Times New Roman"/>
          <w:sz w:val="24"/>
          <w:szCs w:val="24"/>
        </w:rPr>
        <w:t xml:space="preserve"> show</w:t>
      </w:r>
      <w:r w:rsidR="00C56D37" w:rsidRPr="00085DAE">
        <w:rPr>
          <w:rFonts w:ascii="Times New Roman" w:eastAsia="Times New Roman" w:hAnsi="Times New Roman"/>
          <w:sz w:val="24"/>
          <w:szCs w:val="24"/>
        </w:rPr>
        <w:t>ed</w:t>
      </w:r>
      <w:r w:rsidR="000D6002" w:rsidRPr="00085DAE">
        <w:rPr>
          <w:rFonts w:ascii="Times New Roman" w:eastAsia="Times New Roman" w:hAnsi="Times New Roman"/>
          <w:sz w:val="24"/>
          <w:szCs w:val="24"/>
        </w:rPr>
        <w:t xml:space="preserve"> a significant negative effect on Amman stock exchange returns, with a unidirectional casualty between oil price shocks and short-term interest rates.</w:t>
      </w:r>
    </w:p>
    <w:p w14:paraId="1D99A977" w14:textId="7887EEE7" w:rsidR="000D6002"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Oil price and stock markets in Europe was </w:t>
      </w:r>
      <w:r w:rsidR="00C56D37" w:rsidRPr="00085DAE">
        <w:rPr>
          <w:rFonts w:ascii="Times New Roman" w:eastAsia="Times New Roman" w:hAnsi="Times New Roman"/>
          <w:sz w:val="24"/>
          <w:szCs w:val="24"/>
        </w:rPr>
        <w:t xml:space="preserve">evaluated </w:t>
      </w:r>
      <w:r w:rsidRPr="00085DAE">
        <w:rPr>
          <w:rFonts w:ascii="Times New Roman" w:eastAsia="Times New Roman" w:hAnsi="Times New Roman"/>
          <w:sz w:val="24"/>
          <w:szCs w:val="24"/>
        </w:rPr>
        <w:t xml:space="preserve">by </w:t>
      </w:r>
      <w:proofErr w:type="spellStart"/>
      <w:r w:rsidRPr="00085DAE">
        <w:rPr>
          <w:rFonts w:ascii="Times New Roman" w:eastAsia="Times New Roman" w:hAnsi="Times New Roman"/>
          <w:sz w:val="24"/>
          <w:szCs w:val="24"/>
        </w:rPr>
        <w:t>Arouri</w:t>
      </w:r>
      <w:proofErr w:type="spellEnd"/>
      <w:r w:rsidRPr="00085DAE">
        <w:rPr>
          <w:rFonts w:ascii="Times New Roman" w:eastAsia="Times New Roman" w:hAnsi="Times New Roman"/>
          <w:sz w:val="24"/>
          <w:szCs w:val="24"/>
        </w:rPr>
        <w:t xml:space="preserve">, </w:t>
      </w:r>
      <w:proofErr w:type="spellStart"/>
      <w:r w:rsidRPr="00085DAE">
        <w:rPr>
          <w:rFonts w:ascii="Times New Roman" w:eastAsia="Times New Roman" w:hAnsi="Times New Roman"/>
          <w:sz w:val="24"/>
          <w:szCs w:val="24"/>
        </w:rPr>
        <w:t>Fouliquier</w:t>
      </w:r>
      <w:proofErr w:type="spellEnd"/>
      <w:r w:rsidRPr="00085DAE">
        <w:rPr>
          <w:rFonts w:ascii="Times New Roman" w:eastAsia="Times New Roman" w:hAnsi="Times New Roman"/>
          <w:sz w:val="24"/>
          <w:szCs w:val="24"/>
        </w:rPr>
        <w:t xml:space="preserve"> and </w:t>
      </w:r>
      <w:proofErr w:type="spellStart"/>
      <w:r w:rsidRPr="00085DAE">
        <w:rPr>
          <w:rFonts w:ascii="Times New Roman" w:eastAsia="Times New Roman" w:hAnsi="Times New Roman"/>
          <w:sz w:val="24"/>
          <w:szCs w:val="24"/>
        </w:rPr>
        <w:t>Fouquan</w:t>
      </w:r>
      <w:proofErr w:type="spellEnd"/>
      <w:r w:rsidRPr="00085DAE">
        <w:rPr>
          <w:rFonts w:ascii="Times New Roman" w:eastAsia="Times New Roman" w:hAnsi="Times New Roman"/>
          <w:sz w:val="24"/>
          <w:szCs w:val="24"/>
        </w:rPr>
        <w:t xml:space="preserve"> (2009). </w:t>
      </w:r>
      <w:r w:rsidR="000D6002" w:rsidRPr="00085DAE">
        <w:rPr>
          <w:rFonts w:ascii="Times New Roman" w:eastAsia="Times New Roman" w:hAnsi="Times New Roman"/>
          <w:sz w:val="24"/>
          <w:szCs w:val="24"/>
        </w:rPr>
        <w:t>The study explores the long-term relationship between oil prices and European sector stock market returns. Results show</w:t>
      </w:r>
      <w:r w:rsidR="00E67561" w:rsidRPr="00085DAE">
        <w:rPr>
          <w:rFonts w:ascii="Times New Roman" w:eastAsia="Times New Roman" w:hAnsi="Times New Roman"/>
          <w:sz w:val="24"/>
          <w:szCs w:val="24"/>
        </w:rPr>
        <w:t>ed</w:t>
      </w:r>
      <w:r w:rsidR="000D6002" w:rsidRPr="00085DAE">
        <w:rPr>
          <w:rFonts w:ascii="Times New Roman" w:eastAsia="Times New Roman" w:hAnsi="Times New Roman"/>
          <w:sz w:val="24"/>
          <w:szCs w:val="24"/>
        </w:rPr>
        <w:t xml:space="preserve"> a significant response in automobiles, oil &amp; gas, financials, and technology sectors, but the study's drawback is its over-ten-year history.</w:t>
      </w:r>
    </w:p>
    <w:p w14:paraId="467AAC2A" w14:textId="11E50044" w:rsidR="00EC1B00"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t xml:space="preserve">An empirical analysis of oil price and stock market performance in Nigeria was examined by </w:t>
      </w:r>
      <w:proofErr w:type="spellStart"/>
      <w:r w:rsidRPr="00085DAE">
        <w:rPr>
          <w:rFonts w:ascii="Times New Roman" w:eastAsia="Times New Roman" w:hAnsi="Times New Roman"/>
          <w:sz w:val="24"/>
          <w:szCs w:val="24"/>
        </w:rPr>
        <w:t>Ogiri</w:t>
      </w:r>
      <w:proofErr w:type="spellEnd"/>
      <w:r w:rsidRPr="00085DAE">
        <w:rPr>
          <w:rFonts w:ascii="Times New Roman" w:eastAsia="Times New Roman" w:hAnsi="Times New Roman"/>
          <w:sz w:val="24"/>
          <w:szCs w:val="24"/>
        </w:rPr>
        <w:t xml:space="preserve">, </w:t>
      </w:r>
      <w:proofErr w:type="spellStart"/>
      <w:r w:rsidRPr="00085DAE">
        <w:rPr>
          <w:rFonts w:ascii="Times New Roman" w:eastAsia="Times New Roman" w:hAnsi="Times New Roman"/>
          <w:sz w:val="24"/>
          <w:szCs w:val="24"/>
        </w:rPr>
        <w:t>Amadi</w:t>
      </w:r>
      <w:proofErr w:type="spellEnd"/>
      <w:r w:rsidRPr="00085DAE">
        <w:rPr>
          <w:rFonts w:ascii="Times New Roman" w:eastAsia="Times New Roman" w:hAnsi="Times New Roman"/>
          <w:sz w:val="24"/>
          <w:szCs w:val="24"/>
        </w:rPr>
        <w:t xml:space="preserve">, Uddin and </w:t>
      </w:r>
      <w:proofErr w:type="spellStart"/>
      <w:r w:rsidRPr="00085DAE">
        <w:rPr>
          <w:rFonts w:ascii="Times New Roman" w:eastAsia="Times New Roman" w:hAnsi="Times New Roman"/>
          <w:sz w:val="24"/>
          <w:szCs w:val="24"/>
        </w:rPr>
        <w:t>Dubon</w:t>
      </w:r>
      <w:proofErr w:type="spellEnd"/>
      <w:r w:rsidRPr="00085DAE">
        <w:rPr>
          <w:rFonts w:ascii="Times New Roman" w:eastAsia="Times New Roman" w:hAnsi="Times New Roman"/>
          <w:sz w:val="24"/>
          <w:szCs w:val="24"/>
        </w:rPr>
        <w:t xml:space="preserve"> (2013)</w:t>
      </w:r>
      <w:r w:rsidR="00E67561" w:rsidRPr="00085DAE">
        <w:rPr>
          <w:rFonts w:ascii="Times New Roman" w:eastAsia="Times New Roman" w:hAnsi="Times New Roman"/>
          <w:sz w:val="24"/>
          <w:szCs w:val="24"/>
        </w:rPr>
        <w:t>.</w:t>
      </w:r>
      <w:r w:rsidRPr="00085DAE">
        <w:rPr>
          <w:rFonts w:ascii="Times New Roman" w:eastAsia="Times New Roman" w:hAnsi="Times New Roman"/>
          <w:sz w:val="24"/>
          <w:szCs w:val="24"/>
        </w:rPr>
        <w:t xml:space="preserve"> </w:t>
      </w:r>
      <w:r w:rsidR="00CA1A07" w:rsidRPr="00085DAE">
        <w:rPr>
          <w:rFonts w:ascii="Times New Roman" w:eastAsia="Times New Roman" w:hAnsi="Times New Roman"/>
          <w:sz w:val="24"/>
          <w:szCs w:val="24"/>
        </w:rPr>
        <w:t>The study use</w:t>
      </w:r>
      <w:r w:rsidR="00E67561" w:rsidRPr="00085DAE">
        <w:rPr>
          <w:rFonts w:ascii="Times New Roman" w:eastAsia="Times New Roman" w:hAnsi="Times New Roman"/>
          <w:sz w:val="24"/>
          <w:szCs w:val="24"/>
        </w:rPr>
        <w:t>d</w:t>
      </w:r>
      <w:r w:rsidR="00CA1A07" w:rsidRPr="00085DAE">
        <w:rPr>
          <w:rFonts w:ascii="Times New Roman" w:eastAsia="Times New Roman" w:hAnsi="Times New Roman"/>
          <w:sz w:val="24"/>
          <w:szCs w:val="24"/>
        </w:rPr>
        <w:t xml:space="preserve"> data on oil prices, GDP, EXP, and market capitalization to explore stock price movements and their links to market performance, highlighting the importance of oil price changes.</w:t>
      </w:r>
    </w:p>
    <w:p w14:paraId="7CDBD96B" w14:textId="207EE543" w:rsidR="00CA1A07" w:rsidRPr="00085DAE" w:rsidRDefault="00EC1B00" w:rsidP="00085DAE">
      <w:pPr>
        <w:spacing w:after="0" w:line="240" w:lineRule="auto"/>
        <w:rPr>
          <w:rFonts w:ascii="Times New Roman" w:eastAsia="Times New Roman" w:hAnsi="Times New Roman"/>
          <w:sz w:val="24"/>
          <w:szCs w:val="24"/>
        </w:rPr>
      </w:pPr>
      <w:r w:rsidRPr="00085DAE">
        <w:rPr>
          <w:rFonts w:ascii="Times New Roman" w:eastAsia="Times New Roman" w:hAnsi="Times New Roman"/>
          <w:sz w:val="24"/>
          <w:szCs w:val="24"/>
        </w:rPr>
        <w:lastRenderedPageBreak/>
        <w:t xml:space="preserve">Oil prices and stock market behavior in Nigeria was examined by </w:t>
      </w:r>
      <w:proofErr w:type="spellStart"/>
      <w:r w:rsidRPr="00085DAE">
        <w:rPr>
          <w:rFonts w:ascii="Times New Roman" w:eastAsia="Times New Roman" w:hAnsi="Times New Roman"/>
          <w:sz w:val="24"/>
          <w:szCs w:val="24"/>
        </w:rPr>
        <w:t>Adavanola</w:t>
      </w:r>
      <w:proofErr w:type="spellEnd"/>
      <w:r w:rsidRPr="00085DAE">
        <w:rPr>
          <w:rFonts w:ascii="Times New Roman" w:eastAsia="Times New Roman" w:hAnsi="Times New Roman"/>
          <w:sz w:val="24"/>
          <w:szCs w:val="24"/>
        </w:rPr>
        <w:t xml:space="preserve"> (2012). </w:t>
      </w:r>
      <w:r w:rsidR="00CA1A07" w:rsidRPr="00085DAE">
        <w:rPr>
          <w:rFonts w:ascii="Times New Roman" w:eastAsia="Times New Roman" w:hAnsi="Times New Roman"/>
          <w:sz w:val="24"/>
          <w:szCs w:val="24"/>
        </w:rPr>
        <w:t>The study examined the dynamic effects of oil prices on stock markets from 1985 to 2009 using quarterly data. Results showed a positive short-run response to oil price shocks, but a reverse long-run effect, indicating causality.</w:t>
      </w:r>
      <w:r w:rsidR="00E67561" w:rsidRPr="00085DAE">
        <w:rPr>
          <w:rFonts w:ascii="Times New Roman" w:eastAsia="Times New Roman" w:hAnsi="Times New Roman"/>
          <w:sz w:val="24"/>
          <w:szCs w:val="24"/>
        </w:rPr>
        <w:t xml:space="preserve"> </w:t>
      </w:r>
      <w:r w:rsidRPr="00085DAE">
        <w:rPr>
          <w:rFonts w:ascii="Times New Roman" w:eastAsia="Times New Roman" w:hAnsi="Times New Roman"/>
          <w:sz w:val="24"/>
          <w:szCs w:val="24"/>
        </w:rPr>
        <w:t xml:space="preserve">The effect of oil price shocks on stock returns of energy firms in Nigeria was </w:t>
      </w:r>
      <w:r w:rsidR="00E67561" w:rsidRPr="00085DAE">
        <w:rPr>
          <w:rFonts w:ascii="Times New Roman" w:eastAsia="Times New Roman" w:hAnsi="Times New Roman"/>
          <w:sz w:val="24"/>
          <w:szCs w:val="24"/>
        </w:rPr>
        <w:t xml:space="preserve">also </w:t>
      </w:r>
      <w:r w:rsidRPr="00085DAE">
        <w:rPr>
          <w:rFonts w:ascii="Times New Roman" w:eastAsia="Times New Roman" w:hAnsi="Times New Roman"/>
          <w:sz w:val="24"/>
          <w:szCs w:val="24"/>
        </w:rPr>
        <w:t xml:space="preserve">investigated by </w:t>
      </w:r>
      <w:proofErr w:type="spellStart"/>
      <w:r w:rsidRPr="00085DAE">
        <w:rPr>
          <w:rFonts w:ascii="Times New Roman" w:eastAsia="Times New Roman" w:hAnsi="Times New Roman"/>
          <w:sz w:val="24"/>
          <w:szCs w:val="24"/>
        </w:rPr>
        <w:t>Soyemi</w:t>
      </w:r>
      <w:proofErr w:type="spellEnd"/>
      <w:r w:rsidRPr="00085DAE">
        <w:rPr>
          <w:rFonts w:ascii="Times New Roman" w:eastAsia="Times New Roman" w:hAnsi="Times New Roman"/>
          <w:sz w:val="24"/>
          <w:szCs w:val="24"/>
        </w:rPr>
        <w:t xml:space="preserve">, </w:t>
      </w:r>
      <w:proofErr w:type="spellStart"/>
      <w:r w:rsidRPr="00085DAE">
        <w:rPr>
          <w:rFonts w:ascii="Times New Roman" w:eastAsia="Times New Roman" w:hAnsi="Times New Roman"/>
          <w:sz w:val="24"/>
          <w:szCs w:val="24"/>
        </w:rPr>
        <w:t>Akingunola</w:t>
      </w:r>
      <w:proofErr w:type="spellEnd"/>
      <w:r w:rsidRPr="00085DAE">
        <w:rPr>
          <w:rFonts w:ascii="Times New Roman" w:eastAsia="Times New Roman" w:hAnsi="Times New Roman"/>
          <w:sz w:val="24"/>
          <w:szCs w:val="24"/>
        </w:rPr>
        <w:t xml:space="preserve"> and </w:t>
      </w:r>
      <w:proofErr w:type="spellStart"/>
      <w:r w:rsidRPr="00085DAE">
        <w:rPr>
          <w:rFonts w:ascii="Times New Roman" w:eastAsia="Times New Roman" w:hAnsi="Times New Roman"/>
          <w:sz w:val="24"/>
          <w:szCs w:val="24"/>
        </w:rPr>
        <w:t>Ogebe</w:t>
      </w:r>
      <w:proofErr w:type="spellEnd"/>
      <w:r w:rsidRPr="00085DAE">
        <w:rPr>
          <w:rFonts w:ascii="Times New Roman" w:eastAsia="Times New Roman" w:hAnsi="Times New Roman"/>
          <w:sz w:val="24"/>
          <w:szCs w:val="24"/>
        </w:rPr>
        <w:t xml:space="preserve"> (2017). </w:t>
      </w:r>
      <w:r w:rsidR="00CA1A07" w:rsidRPr="00085DAE">
        <w:rPr>
          <w:rFonts w:ascii="Times New Roman" w:eastAsia="Times New Roman" w:hAnsi="Times New Roman"/>
          <w:sz w:val="24"/>
          <w:szCs w:val="24"/>
        </w:rPr>
        <w:t>The study, analyzing oil prices and stock market returns from 2007-2014, found a direct positive effect of oil shocks on company stock returns, with an indirect relationship through market returns. However, the study limited to energy firms and did not consider asymmetries.</w:t>
      </w:r>
    </w:p>
    <w:p w14:paraId="1930DDDA" w14:textId="77777777" w:rsidR="0026652F" w:rsidRPr="0026652F" w:rsidRDefault="0026652F" w:rsidP="00CA1A07">
      <w:pPr>
        <w:spacing w:after="0" w:line="240" w:lineRule="auto"/>
        <w:jc w:val="both"/>
        <w:rPr>
          <w:rFonts w:ascii="Times New Roman" w:eastAsia="Times New Roman" w:hAnsi="Times New Roman"/>
          <w:sz w:val="6"/>
          <w:szCs w:val="24"/>
        </w:rPr>
      </w:pPr>
    </w:p>
    <w:p w14:paraId="02BBB0F7" w14:textId="53AB60B3" w:rsidR="00580757" w:rsidRDefault="00FF59E7" w:rsidP="00085DAE">
      <w:pPr>
        <w:spacing w:after="0" w:line="240" w:lineRule="auto"/>
        <w:rPr>
          <w:rFonts w:ascii="Times New Roman" w:eastAsia="Times New Roman" w:hAnsi="Times New Roman"/>
          <w:b/>
          <w:sz w:val="24"/>
          <w:szCs w:val="24"/>
        </w:rPr>
      </w:pPr>
      <w:r w:rsidRPr="00D349FC">
        <w:rPr>
          <w:rFonts w:ascii="Times New Roman" w:eastAsia="Times New Roman" w:hAnsi="Times New Roman"/>
          <w:b/>
          <w:sz w:val="24"/>
          <w:szCs w:val="24"/>
        </w:rPr>
        <w:t>M</w:t>
      </w:r>
      <w:r>
        <w:rPr>
          <w:rFonts w:ascii="Times New Roman" w:eastAsia="Times New Roman" w:hAnsi="Times New Roman"/>
          <w:b/>
          <w:sz w:val="24"/>
          <w:szCs w:val="24"/>
        </w:rPr>
        <w:t>ETHODOLOGY</w:t>
      </w:r>
    </w:p>
    <w:p w14:paraId="6564795D" w14:textId="4935888B"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Nature and Sources of Data</w:t>
      </w:r>
    </w:p>
    <w:p w14:paraId="5A90D21B" w14:textId="77777777" w:rsidR="00DE250A" w:rsidRDefault="00EE1D4F" w:rsidP="00085DAE">
      <w:pPr>
        <w:spacing w:line="240" w:lineRule="auto"/>
        <w:rPr>
          <w:rFonts w:ascii="Times New Roman" w:hAnsi="Times New Roman"/>
          <w:sz w:val="24"/>
          <w:szCs w:val="24"/>
        </w:rPr>
      </w:pPr>
      <w:r w:rsidRPr="00E2049E">
        <w:rPr>
          <w:rFonts w:ascii="Times New Roman" w:hAnsi="Times New Roman"/>
          <w:sz w:val="24"/>
          <w:szCs w:val="24"/>
        </w:rPr>
        <w:t>This study cover</w:t>
      </w:r>
      <w:r>
        <w:rPr>
          <w:rFonts w:ascii="Times New Roman" w:hAnsi="Times New Roman"/>
          <w:sz w:val="24"/>
          <w:szCs w:val="24"/>
        </w:rPr>
        <w:t>s</w:t>
      </w:r>
      <w:r w:rsidRPr="00E2049E">
        <w:rPr>
          <w:rFonts w:ascii="Times New Roman" w:hAnsi="Times New Roman"/>
          <w:sz w:val="24"/>
          <w:szCs w:val="24"/>
        </w:rPr>
        <w:t xml:space="preserve"> the period </w:t>
      </w:r>
      <w:r>
        <w:rPr>
          <w:rFonts w:ascii="Times New Roman" w:hAnsi="Times New Roman"/>
          <w:sz w:val="24"/>
          <w:szCs w:val="24"/>
        </w:rPr>
        <w:t xml:space="preserve">4th January, </w:t>
      </w:r>
      <w:r w:rsidRPr="00E2049E">
        <w:rPr>
          <w:rFonts w:ascii="Times New Roman" w:hAnsi="Times New Roman"/>
          <w:sz w:val="24"/>
          <w:szCs w:val="24"/>
        </w:rPr>
        <w:t>2011</w:t>
      </w:r>
      <w:r>
        <w:rPr>
          <w:rFonts w:ascii="Times New Roman" w:hAnsi="Times New Roman"/>
          <w:sz w:val="24"/>
          <w:szCs w:val="24"/>
        </w:rPr>
        <w:t xml:space="preserve"> –8th January, </w:t>
      </w:r>
      <w:r w:rsidRPr="00E2049E">
        <w:rPr>
          <w:rFonts w:ascii="Times New Roman" w:hAnsi="Times New Roman"/>
          <w:sz w:val="24"/>
          <w:szCs w:val="24"/>
        </w:rPr>
        <w:t>202</w:t>
      </w:r>
      <w:r>
        <w:rPr>
          <w:rFonts w:ascii="Times New Roman" w:hAnsi="Times New Roman"/>
          <w:sz w:val="24"/>
          <w:szCs w:val="24"/>
        </w:rPr>
        <w:t>2</w:t>
      </w:r>
      <w:r w:rsidRPr="00E2049E">
        <w:rPr>
          <w:rFonts w:ascii="Times New Roman" w:hAnsi="Times New Roman"/>
          <w:sz w:val="24"/>
          <w:szCs w:val="24"/>
        </w:rPr>
        <w:t xml:space="preserve"> where data </w:t>
      </w:r>
      <w:r>
        <w:rPr>
          <w:rFonts w:ascii="Times New Roman" w:hAnsi="Times New Roman"/>
          <w:sz w:val="24"/>
          <w:szCs w:val="24"/>
        </w:rPr>
        <w:t xml:space="preserve">was </w:t>
      </w:r>
      <w:r w:rsidRPr="00E2049E">
        <w:rPr>
          <w:rFonts w:ascii="Times New Roman" w:hAnsi="Times New Roman"/>
          <w:sz w:val="24"/>
          <w:szCs w:val="24"/>
        </w:rPr>
        <w:t>retrieved on daily frequency leve</w:t>
      </w:r>
      <w:r>
        <w:rPr>
          <w:rFonts w:ascii="Times New Roman" w:hAnsi="Times New Roman"/>
          <w:sz w:val="24"/>
          <w:szCs w:val="24"/>
        </w:rPr>
        <w:t>l making a total of about 30</w:t>
      </w:r>
      <w:r w:rsidRPr="00E2049E">
        <w:rPr>
          <w:rFonts w:ascii="Times New Roman" w:hAnsi="Times New Roman"/>
          <w:sz w:val="24"/>
          <w:szCs w:val="24"/>
        </w:rPr>
        <w:t xml:space="preserve">00 observations. Stock market data </w:t>
      </w:r>
      <w:r>
        <w:rPr>
          <w:rFonts w:ascii="Times New Roman" w:hAnsi="Times New Roman"/>
          <w:sz w:val="24"/>
          <w:szCs w:val="24"/>
        </w:rPr>
        <w:t>was</w:t>
      </w:r>
      <w:r w:rsidRPr="00E2049E">
        <w:rPr>
          <w:rFonts w:ascii="Times New Roman" w:hAnsi="Times New Roman"/>
          <w:sz w:val="24"/>
          <w:szCs w:val="24"/>
        </w:rPr>
        <w:t xml:space="preserve"> sourced from the Nigeria stock exchange, for the oil price</w:t>
      </w:r>
      <w:r>
        <w:rPr>
          <w:rFonts w:ascii="Times New Roman" w:hAnsi="Times New Roman"/>
          <w:sz w:val="24"/>
          <w:szCs w:val="24"/>
        </w:rPr>
        <w:t>,</w:t>
      </w:r>
      <w:r w:rsidRPr="00E2049E">
        <w:rPr>
          <w:rFonts w:ascii="Times New Roman" w:hAnsi="Times New Roman"/>
          <w:sz w:val="24"/>
          <w:szCs w:val="24"/>
        </w:rPr>
        <w:t xml:space="preserve"> data </w:t>
      </w:r>
      <w:r>
        <w:rPr>
          <w:rFonts w:ascii="Times New Roman" w:hAnsi="Times New Roman"/>
          <w:sz w:val="24"/>
          <w:szCs w:val="24"/>
        </w:rPr>
        <w:t>was</w:t>
      </w:r>
      <w:r w:rsidRPr="00E2049E">
        <w:rPr>
          <w:rFonts w:ascii="Times New Roman" w:hAnsi="Times New Roman"/>
          <w:sz w:val="24"/>
          <w:szCs w:val="24"/>
        </w:rPr>
        <w:t xml:space="preserve"> sourced from United States</w:t>
      </w:r>
      <w:r>
        <w:rPr>
          <w:rFonts w:ascii="Times New Roman" w:hAnsi="Times New Roman"/>
          <w:sz w:val="24"/>
          <w:szCs w:val="24"/>
        </w:rPr>
        <w:t xml:space="preserve"> Energy Information Administration </w:t>
      </w:r>
      <w:r w:rsidRPr="00E2049E">
        <w:rPr>
          <w:rFonts w:ascii="Times New Roman" w:hAnsi="Times New Roman"/>
          <w:sz w:val="24"/>
          <w:szCs w:val="24"/>
        </w:rPr>
        <w:t>(EIA).</w:t>
      </w:r>
    </w:p>
    <w:p w14:paraId="00D9302D" w14:textId="7A27A889"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Variable Definitions and Measurements</w:t>
      </w:r>
    </w:p>
    <w:p w14:paraId="2719E413"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The stu</w:t>
      </w:r>
      <w:r>
        <w:rPr>
          <w:rFonts w:ascii="Times New Roman" w:hAnsi="Times New Roman"/>
          <w:sz w:val="24"/>
          <w:szCs w:val="24"/>
        </w:rPr>
        <w:t>dy made use of two (2</w:t>
      </w:r>
      <w:r w:rsidRPr="00E2049E">
        <w:rPr>
          <w:rFonts w:ascii="Times New Roman" w:hAnsi="Times New Roman"/>
          <w:sz w:val="24"/>
          <w:szCs w:val="24"/>
        </w:rPr>
        <w:t>) variables</w:t>
      </w:r>
      <w:r>
        <w:rPr>
          <w:rFonts w:ascii="Times New Roman" w:hAnsi="Times New Roman"/>
          <w:sz w:val="24"/>
          <w:szCs w:val="24"/>
        </w:rPr>
        <w:t>,</w:t>
      </w:r>
      <w:r w:rsidRPr="00E2049E">
        <w:rPr>
          <w:rFonts w:ascii="Times New Roman" w:hAnsi="Times New Roman"/>
          <w:sz w:val="24"/>
          <w:szCs w:val="24"/>
        </w:rPr>
        <w:t xml:space="preserve"> oil price and</w:t>
      </w:r>
      <w:r>
        <w:rPr>
          <w:rFonts w:ascii="Times New Roman" w:hAnsi="Times New Roman"/>
          <w:sz w:val="24"/>
          <w:szCs w:val="24"/>
        </w:rPr>
        <w:t xml:space="preserve"> stock returns disaggregated into 11 sector</w:t>
      </w:r>
      <w:r w:rsidRPr="00E2049E">
        <w:rPr>
          <w:rFonts w:ascii="Times New Roman" w:hAnsi="Times New Roman"/>
          <w:sz w:val="24"/>
          <w:szCs w:val="24"/>
        </w:rPr>
        <w:t>al indic</w:t>
      </w:r>
      <w:r>
        <w:rPr>
          <w:rFonts w:ascii="Times New Roman" w:hAnsi="Times New Roman"/>
          <w:sz w:val="24"/>
          <w:szCs w:val="24"/>
        </w:rPr>
        <w:t xml:space="preserve">es listed on the Nigerian </w:t>
      </w:r>
      <w:r w:rsidRPr="00E2049E">
        <w:rPr>
          <w:rFonts w:ascii="Times New Roman" w:hAnsi="Times New Roman"/>
          <w:sz w:val="24"/>
          <w:szCs w:val="24"/>
        </w:rPr>
        <w:t>Exchange</w:t>
      </w:r>
      <w:r>
        <w:rPr>
          <w:rFonts w:ascii="Times New Roman" w:hAnsi="Times New Roman"/>
          <w:sz w:val="24"/>
          <w:szCs w:val="24"/>
        </w:rPr>
        <w:t xml:space="preserve"> Group</w:t>
      </w:r>
      <w:r w:rsidRPr="00E2049E">
        <w:rPr>
          <w:rFonts w:ascii="Times New Roman" w:hAnsi="Times New Roman"/>
          <w:sz w:val="24"/>
          <w:szCs w:val="24"/>
        </w:rPr>
        <w:t xml:space="preserve">. The daily return of each series </w:t>
      </w:r>
      <w:r>
        <w:rPr>
          <w:rFonts w:ascii="Times New Roman" w:hAnsi="Times New Roman"/>
          <w:sz w:val="24"/>
          <w:szCs w:val="24"/>
        </w:rPr>
        <w:t>is</w:t>
      </w:r>
      <w:r w:rsidRPr="00E2049E">
        <w:rPr>
          <w:rFonts w:ascii="Times New Roman" w:hAnsi="Times New Roman"/>
          <w:sz w:val="24"/>
          <w:szCs w:val="24"/>
        </w:rPr>
        <w:t xml:space="preserve"> computed as</w:t>
      </w:r>
      <w:r>
        <w:rPr>
          <w:rFonts w:ascii="Times New Roman" w:hAnsi="Times New Roman"/>
          <w:sz w:val="24"/>
          <w:szCs w:val="24"/>
        </w:rPr>
        <w:t>;</w:t>
      </w:r>
    </w:p>
    <w:p w14:paraId="274F6973" w14:textId="77777777" w:rsidR="00EE1D4F" w:rsidRPr="00E2049E" w:rsidRDefault="00000000" w:rsidP="00085DAE">
      <w:pPr>
        <w:spacing w:line="240" w:lineRule="auto"/>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it</m:t>
            </m:r>
          </m:sub>
        </m:sSub>
        <m:r>
          <w:rPr>
            <w:rFonts w:ascii="Cambria Math" w:hAnsi="Cambria Math"/>
            <w:sz w:val="28"/>
            <w:szCs w:val="28"/>
          </w:rPr>
          <m:t>=log</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m:t>
                </m:r>
              </m:sub>
            </m:sSub>
          </m:num>
          <m:den>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t-1</m:t>
                </m:r>
              </m:sub>
            </m:sSub>
          </m:den>
        </m:f>
        <m:r>
          <w:rPr>
            <w:rFonts w:ascii="Cambria Math" w:hAnsi="Cambria Math"/>
            <w:sz w:val="28"/>
            <w:szCs w:val="28"/>
          </w:rPr>
          <m:t>=log</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m:t>
            </m:r>
          </m:sub>
        </m:sSub>
        <m:r>
          <w:rPr>
            <w:rFonts w:ascii="Cambria Math" w:hAnsi="Cambria Math"/>
            <w:sz w:val="28"/>
            <w:szCs w:val="28"/>
          </w:rPr>
          <m:t>-log</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t-1</m:t>
            </m:r>
          </m:sub>
        </m:sSub>
      </m:oMath>
      <w:r w:rsidR="00EE1D4F" w:rsidRPr="00E2049E">
        <w:rPr>
          <w:rFonts w:ascii="Times New Roman" w:hAnsi="Times New Roman"/>
          <w:sz w:val="24"/>
          <w:szCs w:val="24"/>
        </w:rPr>
        <w:tab/>
      </w:r>
      <w:r w:rsidR="00EE1D4F" w:rsidRPr="00E2049E">
        <w:rPr>
          <w:rFonts w:ascii="Times New Roman" w:hAnsi="Times New Roman"/>
          <w:sz w:val="24"/>
          <w:szCs w:val="24"/>
        </w:rPr>
        <w:tab/>
      </w:r>
      <w:r w:rsidR="00EE1D4F" w:rsidRPr="00E2049E">
        <w:rPr>
          <w:rFonts w:ascii="Times New Roman" w:hAnsi="Times New Roman"/>
          <w:sz w:val="24"/>
          <w:szCs w:val="24"/>
        </w:rPr>
        <w:tab/>
      </w:r>
      <w:r w:rsidR="00EE1D4F" w:rsidRPr="00E2049E">
        <w:rPr>
          <w:rFonts w:ascii="Times New Roman" w:hAnsi="Times New Roman"/>
          <w:sz w:val="24"/>
          <w:szCs w:val="24"/>
        </w:rPr>
        <w:tab/>
      </w:r>
      <w:r w:rsidR="00EE1D4F" w:rsidRPr="00E2049E">
        <w:rPr>
          <w:rFonts w:ascii="Times New Roman" w:hAnsi="Times New Roman"/>
          <w:sz w:val="24"/>
          <w:szCs w:val="24"/>
        </w:rPr>
        <w:tab/>
      </w:r>
    </w:p>
    <w:p w14:paraId="2C8D16C4" w14:textId="7561DA22"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Where </w:t>
      </w:r>
      <m:oMath>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i t</m:t>
            </m:r>
          </m:sub>
        </m:sSub>
      </m:oMath>
      <w:r w:rsidRPr="00E2049E">
        <w:rPr>
          <w:rFonts w:ascii="Times New Roman" w:hAnsi="Times New Roman"/>
          <w:sz w:val="24"/>
          <w:szCs w:val="24"/>
        </w:rPr>
        <w:t xml:space="preserve"> is the</w:t>
      </w:r>
      <w:r>
        <w:rPr>
          <w:rFonts w:ascii="Times New Roman" w:hAnsi="Times New Roman"/>
          <w:sz w:val="24"/>
          <w:szCs w:val="24"/>
        </w:rPr>
        <w:t xml:space="preserve"> sum of</w:t>
      </w:r>
      <w:r w:rsidRPr="00E2049E">
        <w:rPr>
          <w:rFonts w:ascii="Times New Roman" w:hAnsi="Times New Roman"/>
          <w:sz w:val="24"/>
          <w:szCs w:val="24"/>
        </w:rPr>
        <w:t xml:space="preserve"> dail</w:t>
      </w:r>
      <w:r>
        <w:rPr>
          <w:rFonts w:ascii="Times New Roman" w:hAnsi="Times New Roman"/>
          <w:sz w:val="24"/>
          <w:szCs w:val="24"/>
        </w:rPr>
        <w:t>y mean closing price of brent crude oil, and the eleven (11)</w:t>
      </w:r>
      <w:r w:rsidR="00E67561">
        <w:rPr>
          <w:rFonts w:ascii="Times New Roman" w:hAnsi="Times New Roman"/>
          <w:sz w:val="24"/>
          <w:szCs w:val="24"/>
        </w:rPr>
        <w:t xml:space="preserve"> </w:t>
      </w:r>
      <w:r>
        <w:rPr>
          <w:rFonts w:ascii="Times New Roman" w:hAnsi="Times New Roman"/>
          <w:sz w:val="24"/>
          <w:szCs w:val="24"/>
        </w:rPr>
        <w:t xml:space="preserve">sector </w:t>
      </w:r>
      <w:r w:rsidRPr="00E2049E">
        <w:rPr>
          <w:rFonts w:ascii="Times New Roman" w:hAnsi="Times New Roman"/>
          <w:sz w:val="24"/>
          <w:szCs w:val="24"/>
        </w:rPr>
        <w:t>indices on the Nigerian Stock Exchange</w:t>
      </w:r>
      <w:r>
        <w:rPr>
          <w:rFonts w:ascii="Times New Roman" w:hAnsi="Times New Roman"/>
          <w:sz w:val="24"/>
          <w:szCs w:val="24"/>
        </w:rPr>
        <w:t xml:space="preserve"> namely Agriculture, Conglomerates,</w:t>
      </w:r>
      <w:r w:rsidR="00E67561">
        <w:rPr>
          <w:rFonts w:ascii="Times New Roman" w:hAnsi="Times New Roman"/>
          <w:sz w:val="24"/>
          <w:szCs w:val="24"/>
        </w:rPr>
        <w:t xml:space="preserve"> </w:t>
      </w:r>
      <w:r>
        <w:rPr>
          <w:rFonts w:ascii="Times New Roman" w:hAnsi="Times New Roman"/>
          <w:sz w:val="24"/>
          <w:szCs w:val="24"/>
        </w:rPr>
        <w:t>Construction/Real Estate, Consumer Goods, Financial Services, Health Care, ICT, Industrial Goods, Natural Resources and Oil &amp; Gas</w:t>
      </w:r>
      <w:r w:rsidRPr="00E2049E">
        <w:rPr>
          <w:rFonts w:ascii="Times New Roman" w:hAnsi="Times New Roman"/>
          <w:sz w:val="24"/>
          <w:szCs w:val="24"/>
        </w:rPr>
        <w:t xml:space="preserve">. </w:t>
      </w:r>
    </w:p>
    <w:p w14:paraId="3BAF1EF4" w14:textId="7DD520B4" w:rsidR="00EE1D4F" w:rsidRPr="009A2413" w:rsidRDefault="00EE1D4F" w:rsidP="009A2413">
      <w:pPr>
        <w:pStyle w:val="ListParagraph"/>
        <w:numPr>
          <w:ilvl w:val="0"/>
          <w:numId w:val="21"/>
        </w:numPr>
        <w:spacing w:after="0" w:line="240" w:lineRule="auto"/>
        <w:rPr>
          <w:rFonts w:ascii="Times New Roman" w:eastAsia="Times New Roman" w:hAnsi="Times New Roman"/>
          <w:b/>
          <w:sz w:val="24"/>
          <w:szCs w:val="24"/>
        </w:rPr>
      </w:pPr>
      <w:r w:rsidRPr="009A2413">
        <w:rPr>
          <w:rFonts w:ascii="Times New Roman" w:eastAsia="Times New Roman" w:hAnsi="Times New Roman"/>
          <w:b/>
          <w:sz w:val="24"/>
          <w:szCs w:val="24"/>
        </w:rPr>
        <w:t>Model Specification</w:t>
      </w:r>
    </w:p>
    <w:p w14:paraId="48434C3F" w14:textId="7454A1C2" w:rsidR="00EE1D4F" w:rsidRPr="00DE250A" w:rsidRDefault="00EE1D4F" w:rsidP="00085DAE">
      <w:pPr>
        <w:spacing w:line="240" w:lineRule="auto"/>
        <w:rPr>
          <w:rFonts w:ascii="Times New Roman" w:hAnsi="Times New Roman"/>
          <w:sz w:val="24"/>
          <w:szCs w:val="24"/>
        </w:rPr>
      </w:pPr>
      <w:r>
        <w:rPr>
          <w:rFonts w:ascii="Times New Roman" w:hAnsi="Times New Roman"/>
          <w:position w:val="-6"/>
          <w:sz w:val="24"/>
          <w:szCs w:val="24"/>
        </w:rPr>
        <w:t xml:space="preserve">The study specify the conditional mean, variance and covariance of </w:t>
      </w:r>
      <w:r w:rsidRPr="00560CAA">
        <w:rPr>
          <w:rFonts w:ascii="Times New Roman" w:hAnsi="Times New Roman"/>
          <w:position w:val="-6"/>
          <w:sz w:val="24"/>
          <w:szCs w:val="24"/>
        </w:rPr>
        <w:t>a bivariate</w:t>
      </w:r>
      <w:r>
        <w:rPr>
          <w:rFonts w:ascii="Times New Roman" w:hAnsi="Times New Roman"/>
          <w:position w:val="-6"/>
          <w:sz w:val="24"/>
          <w:szCs w:val="24"/>
        </w:rPr>
        <w:t xml:space="preserve"> VARMA</w:t>
      </w:r>
      <w:r w:rsidRPr="00925B20">
        <w:rPr>
          <w:rFonts w:ascii="Times New Roman" w:hAnsi="Times New Roman"/>
          <w:sz w:val="24"/>
          <w:szCs w:val="24"/>
        </w:rPr>
        <w:t xml:space="preserve"> (1,1) – GARCH (1,1 as in Salisu and </w:t>
      </w:r>
      <w:proofErr w:type="spellStart"/>
      <w:r w:rsidRPr="00925B20">
        <w:rPr>
          <w:rFonts w:ascii="Times New Roman" w:hAnsi="Times New Roman"/>
          <w:sz w:val="24"/>
          <w:szCs w:val="24"/>
        </w:rPr>
        <w:t>Isah</w:t>
      </w:r>
      <w:proofErr w:type="spellEnd"/>
      <w:r w:rsidRPr="00925B20">
        <w:rPr>
          <w:rFonts w:ascii="Times New Roman" w:hAnsi="Times New Roman"/>
          <w:sz w:val="24"/>
          <w:szCs w:val="24"/>
        </w:rPr>
        <w:t xml:space="preserve"> (2019), Malik and Rashid (2017), Tule et al (2017) Yaya, Lukman, </w:t>
      </w:r>
      <w:proofErr w:type="spellStart"/>
      <w:r w:rsidRPr="00925B20">
        <w:rPr>
          <w:rFonts w:ascii="Times New Roman" w:hAnsi="Times New Roman"/>
          <w:sz w:val="24"/>
          <w:szCs w:val="24"/>
        </w:rPr>
        <w:t>Akinlana</w:t>
      </w:r>
      <w:proofErr w:type="spellEnd"/>
      <w:r w:rsidRPr="00925B20">
        <w:rPr>
          <w:rFonts w:ascii="Times New Roman" w:hAnsi="Times New Roman"/>
          <w:sz w:val="24"/>
          <w:szCs w:val="24"/>
        </w:rPr>
        <w:t xml:space="preserve">, </w:t>
      </w:r>
      <w:proofErr w:type="spellStart"/>
      <w:r w:rsidRPr="00925B20">
        <w:rPr>
          <w:rFonts w:ascii="Times New Roman" w:hAnsi="Times New Roman"/>
          <w:sz w:val="24"/>
          <w:szCs w:val="24"/>
        </w:rPr>
        <w:t>Tumala</w:t>
      </w:r>
      <w:proofErr w:type="spellEnd"/>
      <w:r w:rsidRPr="00925B20">
        <w:rPr>
          <w:rFonts w:ascii="Times New Roman" w:hAnsi="Times New Roman"/>
          <w:sz w:val="24"/>
          <w:szCs w:val="24"/>
        </w:rPr>
        <w:t xml:space="preserve"> and Ogbonna </w:t>
      </w:r>
      <w:proofErr w:type="gramStart"/>
      <w:r w:rsidRPr="00925B20">
        <w:rPr>
          <w:rFonts w:ascii="Times New Roman" w:hAnsi="Times New Roman"/>
          <w:sz w:val="24"/>
          <w:szCs w:val="24"/>
        </w:rPr>
        <w:t>( 2017</w:t>
      </w:r>
      <w:proofErr w:type="gramEnd"/>
      <w:r w:rsidRPr="00925B20">
        <w:rPr>
          <w:rFonts w:ascii="Times New Roman" w:hAnsi="Times New Roman"/>
          <w:sz w:val="24"/>
          <w:szCs w:val="24"/>
        </w:rPr>
        <w:t xml:space="preserve">), Lin </w:t>
      </w:r>
      <w:proofErr w:type="spellStart"/>
      <w:r w:rsidRPr="00925B20">
        <w:rPr>
          <w:rFonts w:ascii="Times New Roman" w:hAnsi="Times New Roman"/>
          <w:sz w:val="24"/>
          <w:szCs w:val="24"/>
        </w:rPr>
        <w:t>Wesseh</w:t>
      </w:r>
      <w:proofErr w:type="spellEnd"/>
      <w:r w:rsidRPr="00925B20">
        <w:rPr>
          <w:rFonts w:ascii="Times New Roman" w:hAnsi="Times New Roman"/>
          <w:sz w:val="24"/>
          <w:szCs w:val="24"/>
        </w:rPr>
        <w:t xml:space="preserve"> and Appiah 2014 as follows:</w:t>
      </w:r>
    </w:p>
    <w:p w14:paraId="58D0E7B3" w14:textId="26097360" w:rsidR="00EE1D4F" w:rsidRPr="00E67561" w:rsidRDefault="00EE1D4F" w:rsidP="00085DAE">
      <w:pPr>
        <w:pStyle w:val="ListParagraph"/>
        <w:numPr>
          <w:ilvl w:val="0"/>
          <w:numId w:val="21"/>
        </w:numPr>
        <w:spacing w:after="0" w:line="240" w:lineRule="auto"/>
        <w:rPr>
          <w:rFonts w:ascii="Times New Roman" w:hAnsi="Times New Roman"/>
          <w:b/>
          <w:bCs/>
          <w:sz w:val="24"/>
          <w:szCs w:val="24"/>
        </w:rPr>
      </w:pPr>
      <w:r w:rsidRPr="00E67561">
        <w:rPr>
          <w:rFonts w:ascii="Times New Roman" w:hAnsi="Times New Roman"/>
          <w:b/>
          <w:bCs/>
          <w:sz w:val="24"/>
          <w:szCs w:val="24"/>
        </w:rPr>
        <w:t xml:space="preserve">VARMA – GARCH MODEL </w:t>
      </w:r>
    </w:p>
    <w:p w14:paraId="61559D8F" w14:textId="77777777" w:rsidR="00EE1D4F" w:rsidRPr="00BC774E" w:rsidRDefault="00EE1D4F" w:rsidP="00085DAE">
      <w:pPr>
        <w:spacing w:line="240" w:lineRule="auto"/>
        <w:rPr>
          <w:rFonts w:ascii="Times New Roman" w:hAnsi="Times New Roman"/>
          <w:sz w:val="24"/>
          <w:szCs w:val="24"/>
        </w:rPr>
      </w:pPr>
      <w:r w:rsidRPr="00BC774E">
        <w:rPr>
          <w:rFonts w:ascii="Times New Roman" w:hAnsi="Times New Roman"/>
          <w:sz w:val="24"/>
          <w:szCs w:val="24"/>
        </w:rPr>
        <w:t xml:space="preserve">In financial literature, the (APT) theory assumes that specifically the return on assets can be generated as </w:t>
      </w:r>
    </w:p>
    <w:p w14:paraId="2C8A677E" w14:textId="77777777" w:rsidR="00EE1D4F" w:rsidRPr="00BC774E" w:rsidRDefault="00000000" w:rsidP="00085DAE">
      <w:pPr>
        <w:spacing w:line="240" w:lineRule="auto"/>
        <w:rPr>
          <w:rFonts w:ascii="Times New Roman" w:hAnsi="Times New Roman"/>
          <w:sz w:val="24"/>
          <w:szCs w:val="24"/>
        </w:rPr>
      </w:pPr>
      <m:oMathPara>
        <m:oMathParaPr>
          <m:jc m:val="left"/>
        </m:oMathParaP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m:t>
              </m:r>
            </m:sub>
          </m:sSub>
          <m:r>
            <w:rPr>
              <w:rFonts w:ascii="Cambria Math" w:hAnsi="Cambria Math"/>
              <w:sz w:val="24"/>
              <w:szCs w:val="24"/>
            </w:rPr>
            <m:t>=ϑ+</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i</m:t>
              </m:r>
            </m:sub>
          </m:sSub>
          <m:r>
            <w:rPr>
              <w:rFonts w:ascii="Cambria Math" w:hAnsi="Cambria Math"/>
              <w:sz w:val="24"/>
              <w:szCs w:val="24"/>
            </w:rPr>
            <m:t>ρ+</m:t>
          </m:r>
          <m:sSub>
            <m:sSubPr>
              <m:ctrlPr>
                <w:rPr>
                  <w:rFonts w:ascii="Cambria Math" w:hAnsi="Cambria Math"/>
                  <w:i/>
                  <w:sz w:val="24"/>
                  <w:szCs w:val="24"/>
                </w:rPr>
              </m:ctrlPr>
            </m:sSubPr>
            <m:e>
              <m:r>
                <w:rPr>
                  <w:rFonts w:ascii="Cambria Math" w:hAnsi="Cambria Math"/>
                  <w:sz w:val="24"/>
                  <w:szCs w:val="24"/>
                </w:rPr>
                <m:t>ε</m:t>
              </m:r>
            </m:e>
            <m:sub>
              <m:r>
                <w:rPr>
                  <w:rFonts w:ascii="Cambria Math" w:hAnsi="Cambria Math"/>
                  <w:sz w:val="24"/>
                  <w:szCs w:val="24"/>
                </w:rPr>
                <m:t>i</m:t>
              </m:r>
            </m:sub>
          </m:sSub>
        </m:oMath>
      </m:oMathPara>
    </w:p>
    <w:p w14:paraId="54B11FDE" w14:textId="77777777" w:rsidR="00EE1D4F" w:rsidRPr="00A63423" w:rsidRDefault="00EE1D4F" w:rsidP="00085DAE">
      <w:pPr>
        <w:spacing w:after="0" w:line="240" w:lineRule="auto"/>
        <w:rPr>
          <w:rFonts w:ascii="Times New Roman" w:hAnsi="Times New Roman"/>
          <w:sz w:val="24"/>
          <w:szCs w:val="24"/>
        </w:rPr>
      </w:pPr>
      <w:r w:rsidRPr="00BC774E">
        <w:rPr>
          <w:rFonts w:ascii="Times New Roman" w:hAnsi="Times New Roman"/>
          <w:sz w:val="24"/>
          <w:szCs w:val="24"/>
        </w:rPr>
        <w:t xml:space="preserve">Where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m:t>
            </m:r>
          </m:sub>
        </m:sSub>
      </m:oMath>
      <w:r w:rsidRPr="00BC774E">
        <w:rPr>
          <w:rFonts w:ascii="Times New Roman" w:eastAsia="Times New Roman" w:hAnsi="Times New Roman"/>
          <w:sz w:val="24"/>
          <w:szCs w:val="24"/>
        </w:rPr>
        <w:t xml:space="preserve"> is volatility of stock returns, </w:t>
      </w:r>
      <m:oMath>
        <m:r>
          <w:rPr>
            <w:rFonts w:ascii="Cambria Math" w:hAnsi="Cambria Math"/>
            <w:sz w:val="24"/>
            <w:szCs w:val="24"/>
          </w:rPr>
          <m:t>ϑ</m:t>
        </m:r>
      </m:oMath>
      <w:r w:rsidRPr="00BC774E">
        <w:rPr>
          <w:rFonts w:ascii="Times New Roman" w:eastAsia="Times New Roman" w:hAnsi="Times New Roman"/>
          <w:sz w:val="24"/>
          <w:szCs w:val="24"/>
        </w:rPr>
        <w:t xml:space="preserve"> is expected (unconditional) stock return volatility,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i</m:t>
            </m:r>
          </m:sub>
        </m:sSub>
      </m:oMath>
      <w:r w:rsidRPr="00BC774E">
        <w:rPr>
          <w:rFonts w:ascii="Times New Roman" w:eastAsia="Times New Roman" w:hAnsi="Times New Roman"/>
          <w:sz w:val="24"/>
          <w:szCs w:val="24"/>
        </w:rPr>
        <w:t xml:space="preserve"> measures the coefficie</w:t>
      </w:r>
      <w:proofErr w:type="spellStart"/>
      <w:r w:rsidRPr="00BC774E">
        <w:rPr>
          <w:rFonts w:ascii="Times New Roman" w:eastAsia="Times New Roman" w:hAnsi="Times New Roman"/>
          <w:sz w:val="24"/>
          <w:szCs w:val="24"/>
        </w:rPr>
        <w:t>nt</w:t>
      </w:r>
      <w:proofErr w:type="spellEnd"/>
      <w:r w:rsidRPr="00BC774E">
        <w:rPr>
          <w:rFonts w:ascii="Times New Roman" w:eastAsia="Times New Roman" w:hAnsi="Times New Roman"/>
          <w:sz w:val="24"/>
          <w:szCs w:val="24"/>
        </w:rPr>
        <w:t xml:space="preserve"> of oil price shock, </w:t>
      </w:r>
      <m:oMath>
        <m:r>
          <w:rPr>
            <w:rFonts w:ascii="Cambria Math" w:hAnsi="Cambria Math"/>
            <w:sz w:val="24"/>
            <w:szCs w:val="24"/>
          </w:rPr>
          <m:t>ρ</m:t>
        </m:r>
      </m:oMath>
      <w:r w:rsidRPr="00BC774E">
        <w:rPr>
          <w:rFonts w:ascii="Times New Roman" w:eastAsia="Times New Roman" w:hAnsi="Times New Roman"/>
          <w:sz w:val="24"/>
          <w:szCs w:val="24"/>
        </w:rPr>
        <w:t xml:space="preserve"> is oil price shock and  </w:t>
      </w:r>
      <m:oMath>
        <m:sSub>
          <m:sSubPr>
            <m:ctrlPr>
              <w:rPr>
                <w:rFonts w:ascii="Cambria Math" w:hAnsi="Cambria Math"/>
                <w:i/>
                <w:sz w:val="24"/>
                <w:szCs w:val="24"/>
              </w:rPr>
            </m:ctrlPr>
          </m:sSubPr>
          <m:e>
            <m:r>
              <w:rPr>
                <w:rFonts w:ascii="Cambria Math" w:hAnsi="Cambria Math"/>
                <w:sz w:val="24"/>
                <w:szCs w:val="24"/>
              </w:rPr>
              <m:t>ε</m:t>
            </m:r>
          </m:e>
          <m:sub>
            <m:r>
              <w:rPr>
                <w:rFonts w:ascii="Cambria Math" w:hAnsi="Cambria Math"/>
                <w:sz w:val="24"/>
                <w:szCs w:val="24"/>
              </w:rPr>
              <m:t>i</m:t>
            </m:r>
          </m:sub>
        </m:sSub>
      </m:oMath>
      <w:r w:rsidRPr="00BC774E">
        <w:rPr>
          <w:rFonts w:ascii="Times New Roman" w:eastAsia="Times New Roman" w:hAnsi="Times New Roman"/>
          <w:sz w:val="24"/>
          <w:szCs w:val="24"/>
        </w:rPr>
        <w:t xml:space="preserve">denotes error/residual effect. </w:t>
      </w:r>
      <w:r w:rsidRPr="00A63423">
        <w:rPr>
          <w:rFonts w:ascii="Times New Roman" w:hAnsi="Times New Roman"/>
          <w:sz w:val="24"/>
          <w:szCs w:val="24"/>
        </w:rPr>
        <w:t xml:space="preserve">In </w:t>
      </w:r>
      <w:r>
        <w:rPr>
          <w:rFonts w:ascii="Times New Roman" w:hAnsi="Times New Roman"/>
          <w:sz w:val="24"/>
          <w:szCs w:val="24"/>
        </w:rPr>
        <w:t>line with the (APT) above, and following</w:t>
      </w:r>
      <w:r w:rsidRPr="00A63423">
        <w:rPr>
          <w:rFonts w:ascii="Times New Roman" w:hAnsi="Times New Roman"/>
          <w:sz w:val="24"/>
          <w:szCs w:val="24"/>
        </w:rPr>
        <w:t xml:space="preserve"> Yaya et al 2017, Malik and Rashid 2017, </w:t>
      </w:r>
      <w:proofErr w:type="spellStart"/>
      <w:r w:rsidRPr="00A63423">
        <w:rPr>
          <w:rFonts w:ascii="Times New Roman" w:hAnsi="Times New Roman"/>
          <w:sz w:val="24"/>
          <w:szCs w:val="24"/>
        </w:rPr>
        <w:t>Fasanya</w:t>
      </w:r>
      <w:proofErr w:type="spellEnd"/>
      <w:r w:rsidRPr="00A63423">
        <w:rPr>
          <w:rFonts w:ascii="Times New Roman" w:hAnsi="Times New Roman"/>
          <w:sz w:val="24"/>
          <w:szCs w:val="24"/>
        </w:rPr>
        <w:t xml:space="preserve">, </w:t>
      </w:r>
      <w:proofErr w:type="spellStart"/>
      <w:r w:rsidRPr="00A63423">
        <w:rPr>
          <w:rFonts w:ascii="Times New Roman" w:hAnsi="Times New Roman"/>
          <w:sz w:val="24"/>
          <w:szCs w:val="24"/>
        </w:rPr>
        <w:t>Oyewole</w:t>
      </w:r>
      <w:proofErr w:type="spellEnd"/>
      <w:r w:rsidRPr="00A63423">
        <w:rPr>
          <w:rFonts w:ascii="Times New Roman" w:hAnsi="Times New Roman"/>
          <w:sz w:val="24"/>
          <w:szCs w:val="24"/>
        </w:rPr>
        <w:t xml:space="preserve"> and </w:t>
      </w:r>
      <w:proofErr w:type="spellStart"/>
      <w:r w:rsidRPr="00A63423">
        <w:rPr>
          <w:rFonts w:ascii="Times New Roman" w:hAnsi="Times New Roman"/>
          <w:sz w:val="24"/>
          <w:szCs w:val="24"/>
        </w:rPr>
        <w:t>Agbatogun</w:t>
      </w:r>
      <w:proofErr w:type="spellEnd"/>
      <w:r w:rsidRPr="00A63423">
        <w:rPr>
          <w:rFonts w:ascii="Times New Roman" w:hAnsi="Times New Roman"/>
          <w:sz w:val="24"/>
          <w:szCs w:val="24"/>
        </w:rPr>
        <w:t xml:space="preserve"> 2019, the CC-VARMA GARCH model for the mean (return)</w:t>
      </w:r>
      <w:r>
        <w:rPr>
          <w:rFonts w:ascii="Times New Roman" w:hAnsi="Times New Roman"/>
          <w:sz w:val="24"/>
          <w:szCs w:val="24"/>
        </w:rPr>
        <w:t>, the variance equation and the covariance equations are</w:t>
      </w:r>
      <w:r w:rsidRPr="00A63423">
        <w:rPr>
          <w:rFonts w:ascii="Times New Roman" w:hAnsi="Times New Roman"/>
          <w:sz w:val="24"/>
          <w:szCs w:val="24"/>
        </w:rPr>
        <w:t xml:space="preserve"> specified as </w:t>
      </w:r>
      <w:r>
        <w:rPr>
          <w:rFonts w:ascii="Times New Roman" w:hAnsi="Times New Roman"/>
          <w:sz w:val="24"/>
          <w:szCs w:val="24"/>
        </w:rPr>
        <w:t>follows</w:t>
      </w:r>
      <w:r w:rsidRPr="00A63423">
        <w:rPr>
          <w:rFonts w:ascii="Times New Roman" w:hAnsi="Times New Roman"/>
          <w:sz w:val="24"/>
          <w:szCs w:val="24"/>
        </w:rPr>
        <w:t>:</w:t>
      </w:r>
    </w:p>
    <w:p w14:paraId="2A207259" w14:textId="77777777" w:rsidR="00EE1D4F" w:rsidRPr="00C72967" w:rsidRDefault="00000000" w:rsidP="00085DAE">
      <w:pPr>
        <w:spacing w:after="0" w:line="240" w:lineRule="auto"/>
        <w:rPr>
          <w:rFonts w:ascii="Times New Roman" w:eastAsia="Times New Roman" w:hAnsi="Times New Roman"/>
          <w:color w:val="000000"/>
          <w:sz w:val="24"/>
          <w:szCs w:val="24"/>
        </w:rPr>
      </w:pPr>
      <m:oMath>
        <m:m>
          <m:mPr>
            <m:mcs>
              <m:mc>
                <m:mcPr>
                  <m:count m:val="1"/>
                  <m:mcJc m:val="center"/>
                </m:mcPr>
              </m:mc>
            </m:mcs>
            <m:ctrlPr>
              <w:rPr>
                <w:rFonts w:ascii="Cambria Math" w:hAnsi="Cambria Math"/>
                <w:i/>
                <w:sz w:val="24"/>
                <w:szCs w:val="24"/>
              </w:rPr>
            </m:ctrlPr>
          </m:mPr>
          <m:mr>
            <m:e>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oil</m:t>
                      </m:r>
                    </m:sub>
                  </m:sSub>
                </m:e>
                <m:sub>
                  <m:r>
                    <w:rPr>
                      <w:rFonts w:ascii="Cambria Math" w:hAnsi="Cambria Math"/>
                      <w:sz w:val="24"/>
                      <w:szCs w:val="24"/>
                    </w:rPr>
                    <m:t>t</m:t>
                  </m:r>
                </m:sub>
              </m:sSub>
              <m:r>
                <w:rPr>
                  <w:rFonts w:ascii="Cambria Math" w:hAnsi="Cambria Math"/>
                  <w:sz w:val="24"/>
                  <w:szCs w:val="24"/>
                </w:rPr>
                <m:t>=</m:t>
              </m:r>
            </m:e>
          </m:mr>
          <m:mr>
            <m:e>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s</m:t>
                      </m:r>
                    </m:sub>
                  </m:sSub>
                </m:e>
                <m:sub>
                  <m:r>
                    <w:rPr>
                      <w:rFonts w:ascii="Cambria Math" w:hAnsi="Cambria Math"/>
                      <w:sz w:val="24"/>
                      <w:szCs w:val="24"/>
                    </w:rPr>
                    <m:t>t</m:t>
                  </m:r>
                </m:sub>
              </m:sSub>
              <m:r>
                <w:rPr>
                  <w:rFonts w:ascii="Cambria Math" w:hAnsi="Cambria Math"/>
                  <w:sz w:val="24"/>
                  <w:szCs w:val="24"/>
                </w:rPr>
                <m:t xml:space="preserve">  =</m:t>
              </m:r>
            </m:e>
          </m:mr>
        </m:m>
        <m:r>
          <w:rPr>
            <w:rFonts w:ascii="Cambria Math" w:hAnsi="Cambria Math"/>
            <w:sz w:val="24"/>
            <w:szCs w:val="24"/>
          </w:rPr>
          <m:t>A</m:t>
        </m:r>
        <m:d>
          <m:dPr>
            <m:ctrlPr>
              <w:rPr>
                <w:rFonts w:ascii="Cambria Math" w:eastAsia="Times New Roman" w:hAnsi="Cambria Math"/>
                <w:i/>
                <w:sz w:val="24"/>
                <w:szCs w:val="24"/>
              </w:rPr>
            </m:ctrlPr>
          </m:dPr>
          <m:e>
            <m:m>
              <m:mPr>
                <m:mcs>
                  <m:mc>
                    <m:mcPr>
                      <m:count m:val="1"/>
                      <m:mcJc m:val="center"/>
                    </m:mcPr>
                  </m:mc>
                </m:mcs>
                <m:ctrlPr>
                  <w:rPr>
                    <w:rFonts w:ascii="Cambria Math" w:eastAsia="Times New Roman" w:hAnsi="Cambria Math"/>
                    <w:i/>
                    <w:sz w:val="24"/>
                    <w:szCs w:val="24"/>
                  </w:rPr>
                </m:ctrlPr>
              </m:mPr>
              <m:mr>
                <m:e>
                  <m:sSub>
                    <m:sSubPr>
                      <m:ctrlPr>
                        <w:rPr>
                          <w:rFonts w:ascii="Cambria Math" w:eastAsia="Times New Roman" w:hAnsi="Cambria Math"/>
                          <w:i/>
                          <w:sz w:val="24"/>
                          <w:szCs w:val="24"/>
                        </w:rPr>
                      </m:ctrlPr>
                    </m:sSubPr>
                    <m:e>
                      <m:r>
                        <w:rPr>
                          <w:rFonts w:ascii="Cambria Math" w:eastAsia="Times New Roman" w:hAnsi="Cambria Math"/>
                          <w:sz w:val="24"/>
                          <w:szCs w:val="24"/>
                        </w:rPr>
                        <m:t>γ</m:t>
                      </m:r>
                    </m:e>
                    <m:sub>
                      <m:r>
                        <w:rPr>
                          <w:rFonts w:ascii="Cambria Math" w:eastAsia="Times New Roman" w:hAnsi="Cambria Math"/>
                          <w:sz w:val="24"/>
                          <w:szCs w:val="24"/>
                        </w:rPr>
                        <m:t>oil</m:t>
                      </m:r>
                    </m:sub>
                  </m:sSub>
                </m:e>
              </m:mr>
              <m:mr>
                <m:e>
                  <m:sSub>
                    <m:sSubPr>
                      <m:ctrlPr>
                        <w:rPr>
                          <w:rFonts w:ascii="Cambria Math" w:eastAsia="Times New Roman" w:hAnsi="Cambria Math"/>
                          <w:i/>
                          <w:sz w:val="24"/>
                          <w:szCs w:val="24"/>
                        </w:rPr>
                      </m:ctrlPr>
                    </m:sSubPr>
                    <m:e>
                      <m:r>
                        <w:rPr>
                          <w:rFonts w:ascii="Cambria Math" w:eastAsia="Times New Roman" w:hAnsi="Cambria Math"/>
                          <w:sz w:val="24"/>
                          <w:szCs w:val="24"/>
                        </w:rPr>
                        <m:t>γ</m:t>
                      </m:r>
                    </m:e>
                    <m:sub>
                      <m:r>
                        <w:rPr>
                          <w:rFonts w:ascii="Cambria Math" w:eastAsia="Times New Roman" w:hAnsi="Cambria Math"/>
                          <w:sz w:val="24"/>
                          <w:szCs w:val="24"/>
                        </w:rPr>
                        <m:t>s</m:t>
                      </m:r>
                    </m:sub>
                  </m:sSub>
                </m:e>
              </m:mr>
            </m:m>
          </m:e>
        </m:d>
        <m:r>
          <w:rPr>
            <w:rFonts w:ascii="Cambria Math" w:eastAsia="Times New Roman" w:hAnsi="Cambria Math"/>
            <w:sz w:val="24"/>
            <w:szCs w:val="24"/>
          </w:rPr>
          <m:t>+B</m:t>
        </m:r>
        <m:d>
          <m:dPr>
            <m:ctrlPr>
              <w:rPr>
                <w:rFonts w:ascii="Cambria Math" w:eastAsia="Times New Roman" w:hAnsi="Cambria Math"/>
                <w:i/>
                <w:sz w:val="24"/>
                <w:szCs w:val="24"/>
              </w:rPr>
            </m:ctrlPr>
          </m:dPr>
          <m:e>
            <m:m>
              <m:mPr>
                <m:mcs>
                  <m:mc>
                    <m:mcPr>
                      <m:count m:val="1"/>
                      <m:mcJc m:val="center"/>
                    </m:mcPr>
                  </m:mc>
                </m:mcs>
                <m:ctrlPr>
                  <w:rPr>
                    <w:rFonts w:ascii="Cambria Math" w:eastAsia="Times New Roman" w:hAnsi="Cambria Math"/>
                    <w:i/>
                    <w:sz w:val="24"/>
                    <w:szCs w:val="24"/>
                  </w:rPr>
                </m:ctrlPr>
              </m:mPr>
              <m:mr>
                <m:e>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oil</m:t>
                      </m:r>
                    </m:sub>
                  </m:sSub>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oil,s</m:t>
                      </m:r>
                    </m:sub>
                  </m:sSub>
                </m:e>
              </m:mr>
              <m:mr>
                <m:e>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 xml:space="preserve">s,oil  </m:t>
                      </m:r>
                    </m:sub>
                  </m:sSub>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s</m:t>
                      </m:r>
                    </m:sub>
                  </m:sSub>
                </m:e>
              </m:mr>
            </m:m>
          </m:e>
        </m:d>
        <m:d>
          <m:dPr>
            <m:ctrlPr>
              <w:rPr>
                <w:rFonts w:ascii="Cambria Math" w:eastAsia="Times New Roman" w:hAnsi="Cambria Math"/>
                <w:i/>
                <w:sz w:val="24"/>
                <w:szCs w:val="24"/>
              </w:rPr>
            </m:ctrlPr>
          </m:dPr>
          <m:e>
            <m:m>
              <m:mPr>
                <m:mcs>
                  <m:mc>
                    <m:mcPr>
                      <m:count m:val="1"/>
                      <m:mcJc m:val="center"/>
                    </m:mcPr>
                  </m:mc>
                </m:mcs>
                <m:ctrlPr>
                  <w:rPr>
                    <w:rFonts w:ascii="Cambria Math" w:eastAsia="Times New Roman" w:hAnsi="Cambria Math"/>
                    <w:i/>
                    <w:sz w:val="24"/>
                    <w:szCs w:val="24"/>
                  </w:rPr>
                </m:ctrlPr>
              </m:mPr>
              <m:mr>
                <m:e>
                  <m:sSub>
                    <m:sSubPr>
                      <m:ctrlPr>
                        <w:rPr>
                          <w:rFonts w:ascii="Cambria Math" w:eastAsia="Times New Roman" w:hAnsi="Cambria Math"/>
                          <w:i/>
                          <w:sz w:val="24"/>
                          <w:szCs w:val="24"/>
                        </w:rPr>
                      </m:ctrlPr>
                    </m:sSubPr>
                    <m:e>
                      <m:r>
                        <w:rPr>
                          <w:rFonts w:ascii="Cambria Math" w:eastAsia="Times New Roman" w:hAnsi="Cambria Math"/>
                          <w:sz w:val="24"/>
                          <w:szCs w:val="24"/>
                        </w:rPr>
                        <m:t>R</m:t>
                      </m:r>
                    </m:e>
                    <m:sub>
                      <m:sSub>
                        <m:sSubPr>
                          <m:ctrlPr>
                            <w:rPr>
                              <w:rFonts w:ascii="Cambria Math" w:eastAsia="Times New Roman" w:hAnsi="Cambria Math"/>
                              <w:i/>
                              <w:sz w:val="24"/>
                              <w:szCs w:val="24"/>
                            </w:rPr>
                          </m:ctrlPr>
                        </m:sSubPr>
                        <m:e>
                          <m:r>
                            <w:rPr>
                              <w:rFonts w:ascii="Cambria Math" w:eastAsia="Times New Roman" w:hAnsi="Cambria Math"/>
                              <w:sz w:val="24"/>
                              <w:szCs w:val="24"/>
                            </w:rPr>
                            <m:t>oil</m:t>
                          </m:r>
                        </m:e>
                        <m:sub>
                          <m:r>
                            <w:rPr>
                              <w:rFonts w:ascii="Cambria Math" w:eastAsia="Times New Roman" w:hAnsi="Cambria Math"/>
                              <w:sz w:val="24"/>
                              <w:szCs w:val="24"/>
                            </w:rPr>
                            <m:t>t-1</m:t>
                          </m:r>
                        </m:sub>
                      </m:sSub>
                    </m:sub>
                  </m:sSub>
                </m:e>
              </m:mr>
              <m:mr>
                <m:e>
                  <m:sSub>
                    <m:sSubPr>
                      <m:ctrlPr>
                        <w:rPr>
                          <w:rFonts w:ascii="Cambria Math" w:eastAsia="Times New Roman" w:hAnsi="Cambria Math"/>
                          <w:i/>
                          <w:sz w:val="24"/>
                          <w:szCs w:val="24"/>
                        </w:rPr>
                      </m:ctrlPr>
                    </m:sSubPr>
                    <m:e>
                      <m:r>
                        <w:rPr>
                          <w:rFonts w:ascii="Cambria Math" w:eastAsia="Times New Roman" w:hAnsi="Cambria Math"/>
                          <w:sz w:val="24"/>
                          <w:szCs w:val="24"/>
                        </w:rPr>
                        <m:t>R</m:t>
                      </m:r>
                    </m:e>
                    <m:sub>
                      <m:sSub>
                        <m:sSubPr>
                          <m:ctrlPr>
                            <w:rPr>
                              <w:rFonts w:ascii="Cambria Math" w:eastAsia="Times New Roman" w:hAnsi="Cambria Math"/>
                              <w:i/>
                              <w:sz w:val="24"/>
                              <w:szCs w:val="24"/>
                            </w:rPr>
                          </m:ctrlPr>
                        </m:sSubPr>
                        <m:e>
                          <m:r>
                            <w:rPr>
                              <w:rFonts w:ascii="Cambria Math" w:eastAsia="Times New Roman" w:hAnsi="Cambria Math"/>
                              <w:sz w:val="24"/>
                              <w:szCs w:val="24"/>
                            </w:rPr>
                            <m:t>s</m:t>
                          </m:r>
                        </m:e>
                        <m:sub>
                          <m:r>
                            <w:rPr>
                              <w:rFonts w:ascii="Cambria Math" w:eastAsia="Times New Roman" w:hAnsi="Cambria Math"/>
                              <w:sz w:val="24"/>
                              <w:szCs w:val="24"/>
                            </w:rPr>
                            <m:t>t-1</m:t>
                          </m:r>
                        </m:sub>
                      </m:sSub>
                    </m:sub>
                  </m:sSub>
                </m:e>
              </m:mr>
            </m:m>
          </m:e>
        </m:d>
        <m:r>
          <w:rPr>
            <w:rFonts w:ascii="Cambria Math" w:eastAsia="Times New Roman" w:hAnsi="Cambria Math"/>
            <w:sz w:val="24"/>
            <w:szCs w:val="24"/>
          </w:rPr>
          <m:t>+C</m:t>
        </m:r>
        <m:d>
          <m:dPr>
            <m:ctrlPr>
              <w:rPr>
                <w:rFonts w:ascii="Cambria Math" w:eastAsia="Times New Roman" w:hAnsi="Cambria Math"/>
                <w:i/>
                <w:sz w:val="24"/>
                <w:szCs w:val="24"/>
              </w:rPr>
            </m:ctrlPr>
          </m:dPr>
          <m:e>
            <m:m>
              <m:mPr>
                <m:mcs>
                  <m:mc>
                    <m:mcPr>
                      <m:count m:val="1"/>
                      <m:mcJc m:val="center"/>
                    </m:mcPr>
                  </m:mc>
                </m:mcs>
                <m:ctrlPr>
                  <w:rPr>
                    <w:rFonts w:ascii="Cambria Math" w:eastAsia="Times New Roman" w:hAnsi="Cambria Math"/>
                    <w:i/>
                    <w:sz w:val="24"/>
                    <w:szCs w:val="24"/>
                  </w:rPr>
                </m:ctrlPr>
              </m:mPr>
              <m:mr>
                <m:e>
                  <m:sSub>
                    <m:sSubPr>
                      <m:ctrlPr>
                        <w:rPr>
                          <w:rFonts w:ascii="Cambria Math" w:eastAsia="Times New Roman" w:hAnsi="Cambria Math"/>
                          <w:i/>
                          <w:sz w:val="24"/>
                          <w:szCs w:val="24"/>
                        </w:rPr>
                      </m:ctrlPr>
                    </m:sSubPr>
                    <m:e>
                      <m:r>
                        <w:rPr>
                          <w:rFonts w:ascii="Cambria Math" w:eastAsia="Times New Roman" w:hAnsi="Cambria Math"/>
                          <w:sz w:val="24"/>
                          <w:szCs w:val="24"/>
                        </w:rPr>
                        <m:t>ε</m:t>
                      </m:r>
                    </m:e>
                    <m:sub>
                      <m:sSub>
                        <m:sSubPr>
                          <m:ctrlPr>
                            <w:rPr>
                              <w:rFonts w:ascii="Cambria Math" w:eastAsia="Times New Roman" w:hAnsi="Cambria Math"/>
                              <w:i/>
                              <w:sz w:val="24"/>
                              <w:szCs w:val="24"/>
                            </w:rPr>
                          </m:ctrlPr>
                        </m:sSubPr>
                        <m:e>
                          <m:r>
                            <w:rPr>
                              <w:rFonts w:ascii="Cambria Math" w:eastAsia="Times New Roman" w:hAnsi="Cambria Math"/>
                              <w:sz w:val="24"/>
                              <w:szCs w:val="24"/>
                            </w:rPr>
                            <m:t>oil</m:t>
                          </m:r>
                        </m:e>
                        <m:sub>
                          <m:r>
                            <w:rPr>
                              <w:rFonts w:ascii="Cambria Math" w:eastAsia="Times New Roman" w:hAnsi="Cambria Math"/>
                              <w:sz w:val="24"/>
                              <w:szCs w:val="24"/>
                            </w:rPr>
                            <m:t>t</m:t>
                          </m:r>
                        </m:sub>
                      </m:sSub>
                    </m:sub>
                  </m:sSub>
                </m:e>
              </m:mr>
              <m:mr>
                <m:e>
                  <m:sSub>
                    <m:sSubPr>
                      <m:ctrlPr>
                        <w:rPr>
                          <w:rFonts w:ascii="Cambria Math" w:eastAsia="Times New Roman" w:hAnsi="Cambria Math"/>
                          <w:i/>
                          <w:sz w:val="24"/>
                          <w:szCs w:val="24"/>
                        </w:rPr>
                      </m:ctrlPr>
                    </m:sSubPr>
                    <m:e>
                      <m:r>
                        <w:rPr>
                          <w:rFonts w:ascii="Cambria Math" w:eastAsia="Times New Roman" w:hAnsi="Cambria Math"/>
                          <w:sz w:val="24"/>
                          <w:szCs w:val="24"/>
                        </w:rPr>
                        <m:t>ε</m:t>
                      </m:r>
                    </m:e>
                    <m:sub>
                      <m:sSub>
                        <m:sSubPr>
                          <m:ctrlPr>
                            <w:rPr>
                              <w:rFonts w:ascii="Cambria Math" w:eastAsia="Times New Roman" w:hAnsi="Cambria Math"/>
                              <w:i/>
                              <w:sz w:val="24"/>
                              <w:szCs w:val="24"/>
                            </w:rPr>
                          </m:ctrlPr>
                        </m:sSubPr>
                        <m:e>
                          <m:r>
                            <w:rPr>
                              <w:rFonts w:ascii="Cambria Math" w:eastAsia="Times New Roman" w:hAnsi="Cambria Math"/>
                              <w:sz w:val="24"/>
                              <w:szCs w:val="24"/>
                            </w:rPr>
                            <m:t>s</m:t>
                          </m:r>
                        </m:e>
                        <m:sub>
                          <m:r>
                            <w:rPr>
                              <w:rFonts w:ascii="Cambria Math" w:eastAsia="Times New Roman" w:hAnsi="Cambria Math"/>
                              <w:sz w:val="24"/>
                              <w:szCs w:val="24"/>
                            </w:rPr>
                            <m:t>t</m:t>
                          </m:r>
                        </m:sub>
                      </m:sSub>
                    </m:sub>
                  </m:sSub>
                </m:e>
              </m:mr>
            </m:m>
          </m:e>
        </m:d>
      </m:oMath>
      <w:r w:rsidR="00EE1D4F" w:rsidRPr="00F36A76">
        <w:rPr>
          <w:rFonts w:ascii="Times New Roman" w:eastAsia="Times New Roman" w:hAnsi="Times New Roman"/>
          <w:sz w:val="24"/>
          <w:szCs w:val="24"/>
        </w:rPr>
        <w:tab/>
      </w:r>
      <w:r w:rsidR="00373679" w:rsidRPr="00C72967">
        <w:rPr>
          <w:rFonts w:ascii="Times New Roman" w:eastAsia="Times New Roman" w:hAnsi="Times New Roman"/>
          <w:color w:val="000000"/>
          <w:sz w:val="24"/>
          <w:szCs w:val="24"/>
        </w:rPr>
        <w:fldChar w:fldCharType="begin"/>
      </w:r>
      <w:r w:rsidR="00EE1D4F" w:rsidRPr="00C72967">
        <w:rPr>
          <w:rFonts w:ascii="Times New Roman" w:eastAsia="Times New Roman" w:hAnsi="Times New Roman"/>
          <w:color w:val="000000"/>
          <w:sz w:val="24"/>
          <w:szCs w:val="24"/>
        </w:rPr>
        <w:instrText xml:space="preserve"> QUOTE </w:instrText>
      </w:r>
      <m:oMath>
        <m:m>
          <m:mPr>
            <m:mcs>
              <m:mc>
                <m:mcPr>
                  <m:count m:val="1"/>
                  <m:mcJc m:val="center"/>
                </m:mcPr>
              </m:mc>
            </m:mcs>
            <m:ctrlPr>
              <w:rPr>
                <w:rFonts w:ascii="Cambria Math" w:hAnsi="Cambria Math"/>
                <w:i/>
                <w:color w:val="7030A0"/>
                <w:sz w:val="24"/>
                <w:szCs w:val="24"/>
              </w:rPr>
            </m:ctrlPr>
          </m:mPr>
          <m:mr>
            <m:e>
              <m:sSub>
                <m:sSubPr>
                  <m:ctrlPr>
                    <w:rPr>
                      <w:rFonts w:ascii="Cambria Math" w:hAnsi="Cambria Math"/>
                      <w:i/>
                      <w:color w:val="7030A0"/>
                      <w:sz w:val="24"/>
                      <w:szCs w:val="24"/>
                    </w:rPr>
                  </m:ctrlPr>
                </m:sSubPr>
                <m:e>
                  <m:sSub>
                    <m:sSubPr>
                      <m:ctrlPr>
                        <w:rPr>
                          <w:rFonts w:ascii="Cambria Math" w:hAnsi="Cambria Math"/>
                          <w:i/>
                          <w:color w:val="7030A0"/>
                          <w:sz w:val="24"/>
                          <w:szCs w:val="24"/>
                        </w:rPr>
                      </m:ctrlPr>
                    </m:sSubPr>
                    <m:e>
                      <m:r>
                        <m:rPr>
                          <m:sty m:val="p"/>
                        </m:rPr>
                        <w:rPr>
                          <w:rFonts w:ascii="Cambria Math" w:hAnsi="Cambria Math"/>
                          <w:color w:val="7030A0"/>
                          <w:sz w:val="24"/>
                          <w:szCs w:val="24"/>
                        </w:rPr>
                        <m:t>R</m:t>
                      </m:r>
                    </m:e>
                    <m:sub>
                      <m:r>
                        <m:rPr>
                          <m:sty m:val="p"/>
                        </m:rPr>
                        <w:rPr>
                          <w:rFonts w:ascii="Cambria Math" w:hAnsi="Cambria Math"/>
                          <w:color w:val="7030A0"/>
                          <w:sz w:val="24"/>
                          <w:szCs w:val="24"/>
                        </w:rPr>
                        <m:t>oil</m:t>
                      </m:r>
                    </m:sub>
                  </m:sSub>
                </m:e>
                <m:sub>
                  <m:r>
                    <m:rPr>
                      <m:sty m:val="p"/>
                    </m:rPr>
                    <w:rPr>
                      <w:rFonts w:ascii="Cambria Math" w:hAnsi="Cambria Math"/>
                      <w:color w:val="7030A0"/>
                      <w:sz w:val="24"/>
                      <w:szCs w:val="24"/>
                    </w:rPr>
                    <m:t>t</m:t>
                  </m:r>
                </m:sub>
              </m:sSub>
              <m:r>
                <m:rPr>
                  <m:sty m:val="p"/>
                </m:rPr>
                <w:rPr>
                  <w:rFonts w:ascii="Cambria Math" w:hAnsi="Cambria Math"/>
                  <w:color w:val="7030A0"/>
                  <w:sz w:val="24"/>
                  <w:szCs w:val="24"/>
                </w:rPr>
                <m:t>=</m:t>
              </m:r>
            </m:e>
          </m:mr>
          <m:mr>
            <m:e>
              <m:sSub>
                <m:sSubPr>
                  <m:ctrlPr>
                    <w:rPr>
                      <w:rFonts w:ascii="Cambria Math" w:hAnsi="Cambria Math"/>
                      <w:i/>
                      <w:color w:val="7030A0"/>
                      <w:sz w:val="24"/>
                      <w:szCs w:val="24"/>
                    </w:rPr>
                  </m:ctrlPr>
                </m:sSubPr>
                <m:e>
                  <m:sSub>
                    <m:sSubPr>
                      <m:ctrlPr>
                        <w:rPr>
                          <w:rFonts w:ascii="Cambria Math" w:hAnsi="Cambria Math"/>
                          <w:i/>
                          <w:color w:val="7030A0"/>
                          <w:sz w:val="24"/>
                          <w:szCs w:val="24"/>
                        </w:rPr>
                      </m:ctrlPr>
                    </m:sSubPr>
                    <m:e>
                      <m:r>
                        <m:rPr>
                          <m:sty m:val="p"/>
                        </m:rPr>
                        <w:rPr>
                          <w:rFonts w:ascii="Cambria Math" w:hAnsi="Cambria Math"/>
                          <w:color w:val="7030A0"/>
                          <w:sz w:val="24"/>
                          <w:szCs w:val="24"/>
                        </w:rPr>
                        <m:t>R</m:t>
                      </m:r>
                    </m:e>
                    <m:sub>
                      <m:r>
                        <m:rPr>
                          <m:sty m:val="p"/>
                        </m:rPr>
                        <w:rPr>
                          <w:rFonts w:ascii="Cambria Math" w:hAnsi="Cambria Math"/>
                          <w:color w:val="7030A0"/>
                          <w:sz w:val="24"/>
                          <w:szCs w:val="24"/>
                        </w:rPr>
                        <m:t>s</m:t>
                      </m:r>
                    </m:sub>
                  </m:sSub>
                </m:e>
                <m:sub>
                  <m:r>
                    <m:rPr>
                      <m:sty m:val="p"/>
                    </m:rPr>
                    <w:rPr>
                      <w:rFonts w:ascii="Cambria Math" w:hAnsi="Cambria Math"/>
                      <w:color w:val="7030A0"/>
                      <w:sz w:val="24"/>
                      <w:szCs w:val="24"/>
                    </w:rPr>
                    <m:t>t</m:t>
                  </m:r>
                </m:sub>
              </m:sSub>
              <m:r>
                <m:rPr>
                  <m:sty m:val="p"/>
                </m:rPr>
                <w:rPr>
                  <w:rFonts w:ascii="Cambria Math" w:hAnsi="Cambria Math"/>
                  <w:color w:val="7030A0"/>
                  <w:sz w:val="24"/>
                  <w:szCs w:val="24"/>
                </w:rPr>
                <m:t xml:space="preserve">  =</m:t>
              </m:r>
            </m:e>
          </m:mr>
        </m:m>
        <m:d>
          <m:dPr>
            <m:ctrlPr>
              <w:rPr>
                <w:rFonts w:ascii="Cambria Math" w:eastAsia="Times New Roman" w:hAnsi="Cambria Math"/>
                <w:i/>
                <w:color w:val="7030A0"/>
                <w:sz w:val="24"/>
                <w:szCs w:val="24"/>
              </w:rPr>
            </m:ctrlPr>
          </m:dPr>
          <m:e>
            <m:m>
              <m:mPr>
                <m:mcs>
                  <m:mc>
                    <m:mcPr>
                      <m:count m:val="1"/>
                      <m:mcJc m:val="center"/>
                    </m:mcPr>
                  </m:mc>
                </m:mcs>
                <m:ctrlPr>
                  <w:rPr>
                    <w:rFonts w:ascii="Cambria Math" w:eastAsia="Times New Roman" w:hAnsi="Cambria Math"/>
                    <w:i/>
                    <w:color w:val="7030A0"/>
                    <w:sz w:val="24"/>
                    <w:szCs w:val="24"/>
                  </w:rPr>
                </m:ctrlPr>
              </m:mP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γ</m:t>
                      </m:r>
                    </m:e>
                    <m:sub>
                      <m:r>
                        <m:rPr>
                          <m:sty m:val="p"/>
                        </m:rPr>
                        <w:rPr>
                          <w:rFonts w:ascii="Cambria Math" w:eastAsia="Times New Roman" w:hAnsi="Cambria Math"/>
                          <w:color w:val="7030A0"/>
                          <w:sz w:val="24"/>
                          <w:szCs w:val="24"/>
                        </w:rPr>
                        <m:t>oil</m:t>
                      </m:r>
                    </m:sub>
                  </m:sSub>
                </m:e>
              </m:m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γ</m:t>
                      </m:r>
                    </m:e>
                    <m:sub>
                      <m:r>
                        <m:rPr>
                          <m:sty m:val="p"/>
                        </m:rPr>
                        <w:rPr>
                          <w:rFonts w:ascii="Cambria Math" w:eastAsia="Times New Roman" w:hAnsi="Cambria Math"/>
                          <w:color w:val="7030A0"/>
                          <w:sz w:val="24"/>
                          <w:szCs w:val="24"/>
                        </w:rPr>
                        <m:t>s</m:t>
                      </m:r>
                    </m:sub>
                  </m:sSub>
                </m:e>
              </m:mr>
            </m:m>
          </m:e>
        </m:d>
        <m:r>
          <m:rPr>
            <m:sty m:val="p"/>
          </m:rPr>
          <w:rPr>
            <w:rFonts w:ascii="Cambria Math" w:eastAsia="Times New Roman" w:hAnsi="Cambria Math"/>
            <w:color w:val="7030A0"/>
            <w:sz w:val="24"/>
            <w:szCs w:val="24"/>
          </w:rPr>
          <m:t>+</m:t>
        </m:r>
        <m:d>
          <m:dPr>
            <m:ctrlPr>
              <w:rPr>
                <w:rFonts w:ascii="Cambria Math" w:eastAsia="Times New Roman" w:hAnsi="Cambria Math"/>
                <w:i/>
                <w:color w:val="7030A0"/>
                <w:sz w:val="24"/>
                <w:szCs w:val="24"/>
              </w:rPr>
            </m:ctrlPr>
          </m:dPr>
          <m:e>
            <m:m>
              <m:mPr>
                <m:mcs>
                  <m:mc>
                    <m:mcPr>
                      <m:count m:val="1"/>
                      <m:mcJc m:val="center"/>
                    </m:mcPr>
                  </m:mc>
                </m:mcs>
                <m:ctrlPr>
                  <w:rPr>
                    <w:rFonts w:ascii="Cambria Math" w:eastAsia="Times New Roman" w:hAnsi="Cambria Math"/>
                    <w:i/>
                    <w:color w:val="7030A0"/>
                    <w:sz w:val="24"/>
                    <w:szCs w:val="24"/>
                  </w:rPr>
                </m:ctrlPr>
              </m:mP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φ</m:t>
                      </m:r>
                    </m:e>
                    <m:sub>
                      <m:r>
                        <m:rPr>
                          <m:sty m:val="p"/>
                        </m:rPr>
                        <w:rPr>
                          <w:rFonts w:ascii="Cambria Math" w:eastAsia="Times New Roman" w:hAnsi="Cambria Math"/>
                          <w:color w:val="7030A0"/>
                          <w:sz w:val="24"/>
                          <w:szCs w:val="24"/>
                        </w:rPr>
                        <m:t>oil</m:t>
                      </m:r>
                    </m:sub>
                  </m:sSub>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φ</m:t>
                      </m:r>
                    </m:e>
                    <m:sub>
                      <m:r>
                        <m:rPr>
                          <m:sty m:val="p"/>
                        </m:rPr>
                        <w:rPr>
                          <w:rFonts w:ascii="Cambria Math" w:eastAsia="Times New Roman" w:hAnsi="Cambria Math"/>
                          <w:color w:val="7030A0"/>
                          <w:sz w:val="24"/>
                          <w:szCs w:val="24"/>
                        </w:rPr>
                        <m:t>oil,s</m:t>
                      </m:r>
                    </m:sub>
                  </m:sSub>
                </m:e>
              </m:m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φ</m:t>
                      </m:r>
                    </m:e>
                    <m:sub>
                      <m:r>
                        <m:rPr>
                          <m:sty m:val="p"/>
                        </m:rPr>
                        <w:rPr>
                          <w:rFonts w:ascii="Cambria Math" w:eastAsia="Times New Roman" w:hAnsi="Cambria Math"/>
                          <w:color w:val="7030A0"/>
                          <w:sz w:val="24"/>
                          <w:szCs w:val="24"/>
                        </w:rPr>
                        <m:t xml:space="preserve">s,oil  </m:t>
                      </m:r>
                    </m:sub>
                  </m:sSub>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φ</m:t>
                      </m:r>
                    </m:e>
                    <m:sub>
                      <m:r>
                        <m:rPr>
                          <m:sty m:val="p"/>
                        </m:rPr>
                        <w:rPr>
                          <w:rFonts w:ascii="Cambria Math" w:eastAsia="Times New Roman" w:hAnsi="Cambria Math"/>
                          <w:color w:val="7030A0"/>
                          <w:sz w:val="24"/>
                          <w:szCs w:val="24"/>
                        </w:rPr>
                        <m:t>s</m:t>
                      </m:r>
                    </m:sub>
                  </m:sSub>
                </m:e>
              </m:mr>
            </m:m>
          </m:e>
        </m:d>
        <m:d>
          <m:dPr>
            <m:ctrlPr>
              <w:rPr>
                <w:rFonts w:ascii="Cambria Math" w:eastAsia="Times New Roman" w:hAnsi="Cambria Math"/>
                <w:i/>
                <w:color w:val="7030A0"/>
                <w:sz w:val="24"/>
                <w:szCs w:val="24"/>
              </w:rPr>
            </m:ctrlPr>
          </m:dPr>
          <m:e>
            <m:m>
              <m:mPr>
                <m:mcs>
                  <m:mc>
                    <m:mcPr>
                      <m:count m:val="1"/>
                      <m:mcJc m:val="center"/>
                    </m:mcPr>
                  </m:mc>
                </m:mcs>
                <m:ctrlPr>
                  <w:rPr>
                    <w:rFonts w:ascii="Cambria Math" w:eastAsia="Times New Roman" w:hAnsi="Cambria Math"/>
                    <w:i/>
                    <w:color w:val="7030A0"/>
                    <w:sz w:val="24"/>
                    <w:szCs w:val="24"/>
                  </w:rPr>
                </m:ctrlPr>
              </m:mP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R</m:t>
                      </m:r>
                    </m:e>
                    <m:sub>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oil</m:t>
                          </m:r>
                        </m:e>
                        <m:sub>
                          <m:r>
                            <m:rPr>
                              <m:sty m:val="p"/>
                            </m:rPr>
                            <w:rPr>
                              <w:rFonts w:ascii="Cambria Math" w:eastAsia="Times New Roman" w:hAnsi="Cambria Math"/>
                              <w:color w:val="7030A0"/>
                              <w:sz w:val="24"/>
                              <w:szCs w:val="24"/>
                            </w:rPr>
                            <m:t>t-1</m:t>
                          </m:r>
                        </m:sub>
                      </m:sSub>
                    </m:sub>
                  </m:sSub>
                </m:e>
              </m:m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R</m:t>
                      </m:r>
                    </m:e>
                    <m:sub>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s</m:t>
                          </m:r>
                        </m:e>
                        <m:sub>
                          <m:r>
                            <m:rPr>
                              <m:sty m:val="p"/>
                            </m:rPr>
                            <w:rPr>
                              <w:rFonts w:ascii="Cambria Math" w:eastAsia="Times New Roman" w:hAnsi="Cambria Math"/>
                              <w:color w:val="7030A0"/>
                              <w:sz w:val="24"/>
                              <w:szCs w:val="24"/>
                            </w:rPr>
                            <m:t>t-1</m:t>
                          </m:r>
                        </m:sub>
                      </m:sSub>
                    </m:sub>
                  </m:sSub>
                </m:e>
              </m:mr>
            </m:m>
          </m:e>
        </m:d>
        <m:r>
          <m:rPr>
            <m:sty m:val="p"/>
          </m:rPr>
          <w:rPr>
            <w:rFonts w:ascii="Cambria Math" w:eastAsia="Times New Roman" w:hAnsi="Cambria Math"/>
            <w:color w:val="7030A0"/>
            <w:sz w:val="24"/>
            <w:szCs w:val="24"/>
          </w:rPr>
          <m:t>+</m:t>
        </m:r>
        <m:d>
          <m:dPr>
            <m:ctrlPr>
              <w:rPr>
                <w:rFonts w:ascii="Cambria Math" w:eastAsia="Times New Roman" w:hAnsi="Cambria Math"/>
                <w:i/>
                <w:color w:val="7030A0"/>
                <w:sz w:val="24"/>
                <w:szCs w:val="24"/>
              </w:rPr>
            </m:ctrlPr>
          </m:dPr>
          <m:e>
            <m:m>
              <m:mPr>
                <m:mcs>
                  <m:mc>
                    <m:mcPr>
                      <m:count m:val="1"/>
                      <m:mcJc m:val="center"/>
                    </m:mcPr>
                  </m:mc>
                </m:mcs>
                <m:ctrlPr>
                  <w:rPr>
                    <w:rFonts w:ascii="Cambria Math" w:eastAsia="Times New Roman" w:hAnsi="Cambria Math"/>
                    <w:i/>
                    <w:color w:val="7030A0"/>
                    <w:sz w:val="24"/>
                    <w:szCs w:val="24"/>
                  </w:rPr>
                </m:ctrlPr>
              </m:mP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ε</m:t>
                      </m:r>
                    </m:e>
                    <m:sub>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oil</m:t>
                          </m:r>
                        </m:e>
                        <m:sub>
                          <m:r>
                            <m:rPr>
                              <m:sty m:val="p"/>
                            </m:rPr>
                            <w:rPr>
                              <w:rFonts w:ascii="Cambria Math" w:eastAsia="Times New Roman" w:hAnsi="Cambria Math"/>
                              <w:color w:val="7030A0"/>
                              <w:sz w:val="24"/>
                              <w:szCs w:val="24"/>
                            </w:rPr>
                            <m:t>t</m:t>
                          </m:r>
                        </m:sub>
                      </m:sSub>
                    </m:sub>
                  </m:sSub>
                </m:e>
              </m:mr>
              <m:mr>
                <m:e>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ε</m:t>
                      </m:r>
                    </m:e>
                    <m:sub>
                      <m:sSub>
                        <m:sSubPr>
                          <m:ctrlPr>
                            <w:rPr>
                              <w:rFonts w:ascii="Cambria Math" w:eastAsia="Times New Roman" w:hAnsi="Cambria Math"/>
                              <w:i/>
                              <w:color w:val="7030A0"/>
                              <w:sz w:val="24"/>
                              <w:szCs w:val="24"/>
                            </w:rPr>
                          </m:ctrlPr>
                        </m:sSubPr>
                        <m:e>
                          <m:r>
                            <m:rPr>
                              <m:sty m:val="p"/>
                            </m:rPr>
                            <w:rPr>
                              <w:rFonts w:ascii="Cambria Math" w:eastAsia="Times New Roman" w:hAnsi="Cambria Math"/>
                              <w:color w:val="7030A0"/>
                              <w:sz w:val="24"/>
                              <w:szCs w:val="24"/>
                            </w:rPr>
                            <m:t>s</m:t>
                          </m:r>
                        </m:e>
                        <m:sub>
                          <m:r>
                            <m:rPr>
                              <m:sty m:val="p"/>
                            </m:rPr>
                            <w:rPr>
                              <w:rFonts w:ascii="Cambria Math" w:eastAsia="Times New Roman" w:hAnsi="Cambria Math"/>
                              <w:color w:val="7030A0"/>
                              <w:sz w:val="24"/>
                              <w:szCs w:val="24"/>
                            </w:rPr>
                            <m:t>t</m:t>
                          </m:r>
                        </m:sub>
                      </m:sSub>
                    </m:sub>
                  </m:sSub>
                </m:e>
              </m:mr>
            </m:m>
          </m:e>
        </m:d>
      </m:oMath>
      <w:r w:rsidR="00373679" w:rsidRPr="00C72967">
        <w:rPr>
          <w:rFonts w:ascii="Times New Roman" w:eastAsia="Times New Roman" w:hAnsi="Times New Roman"/>
          <w:color w:val="000000"/>
          <w:sz w:val="24"/>
          <w:szCs w:val="24"/>
        </w:rPr>
        <w:fldChar w:fldCharType="end"/>
      </w:r>
      <w:r w:rsidR="00EE1D4F">
        <w:rPr>
          <w:rFonts w:ascii="Times New Roman" w:eastAsia="Times New Roman" w:hAnsi="Times New Roman"/>
          <w:color w:val="0070C0"/>
          <w:sz w:val="24"/>
          <w:szCs w:val="24"/>
        </w:rPr>
        <w:tab/>
      </w:r>
      <w:r w:rsidR="00EE1D4F">
        <w:rPr>
          <w:rFonts w:ascii="Times New Roman" w:eastAsia="Times New Roman" w:hAnsi="Times New Roman"/>
          <w:color w:val="0070C0"/>
          <w:sz w:val="24"/>
          <w:szCs w:val="24"/>
        </w:rPr>
        <w:tab/>
      </w:r>
      <w:r w:rsidR="00EE1D4F">
        <w:rPr>
          <w:rFonts w:ascii="Times New Roman" w:eastAsia="Times New Roman" w:hAnsi="Times New Roman"/>
          <w:color w:val="0070C0"/>
          <w:sz w:val="24"/>
          <w:szCs w:val="24"/>
        </w:rPr>
        <w:tab/>
      </w:r>
      <w:r w:rsidR="00EE1D4F" w:rsidRPr="00E67561">
        <w:rPr>
          <w:rFonts w:ascii="Times New Roman" w:eastAsia="Times New Roman" w:hAnsi="Times New Roman"/>
          <w:b/>
          <w:bCs/>
          <w:color w:val="000000"/>
          <w:sz w:val="24"/>
          <w:szCs w:val="24"/>
        </w:rPr>
        <w:t>3.1</w:t>
      </w:r>
      <w:r w:rsidR="00373679" w:rsidRPr="00C72967">
        <w:rPr>
          <w:rFonts w:ascii="Times New Roman" w:eastAsia="Times New Roman" w:hAnsi="Times New Roman"/>
          <w:color w:val="000000"/>
          <w:sz w:val="24"/>
          <w:szCs w:val="24"/>
        </w:rPr>
        <w:fldChar w:fldCharType="begin"/>
      </w:r>
      <w:r w:rsidR="00EE1D4F" w:rsidRPr="00C72967">
        <w:rPr>
          <w:rFonts w:ascii="Times New Roman" w:eastAsia="Times New Roman" w:hAnsi="Times New Roman"/>
          <w:color w:val="000000"/>
          <w:sz w:val="24"/>
          <w:szCs w:val="24"/>
        </w:rPr>
        <w:instrText xml:space="preserve"> QUOTE </w:instrText>
      </w:r>
      <m:oMath>
        <m:sSub>
          <m:sSubPr>
            <m:ctrlPr>
              <w:rPr>
                <w:rFonts w:ascii="Cambria Math" w:hAnsi="Cambria Math"/>
                <w:i/>
                <w:color w:val="0070C0"/>
                <w:sz w:val="24"/>
                <w:szCs w:val="24"/>
              </w:rPr>
            </m:ctrlPr>
          </m:sSubPr>
          <m:e>
            <m:r>
              <m:rPr>
                <m:sty m:val="p"/>
              </m:rPr>
              <w:rPr>
                <w:rFonts w:ascii="Cambria Math" w:hAnsi="Cambria Math"/>
                <w:color w:val="0070C0"/>
                <w:sz w:val="24"/>
                <w:szCs w:val="24"/>
              </w:rPr>
              <m:t>R</m:t>
            </m:r>
          </m:e>
          <m:sub>
            <m:r>
              <m:rPr>
                <m:sty m:val="p"/>
              </m:rPr>
              <w:rPr>
                <w:rFonts w:ascii="Cambria Math" w:hAnsi="Cambria Math"/>
                <w:color w:val="0070C0"/>
                <w:sz w:val="24"/>
                <w:szCs w:val="24"/>
              </w:rPr>
              <m:t>st</m:t>
            </m:r>
          </m:sub>
        </m:sSub>
        <m:r>
          <m:rPr>
            <m:sty m:val="p"/>
          </m:rPr>
          <w:rPr>
            <w:rFonts w:ascii="Cambria Math" w:hAnsi="Cambria Math"/>
            <w:color w:val="0070C0"/>
            <w:sz w:val="24"/>
            <w:szCs w:val="24"/>
          </w:rPr>
          <m:t>=</m:t>
        </m:r>
        <m:sSub>
          <m:sSubPr>
            <m:ctrlPr>
              <w:rPr>
                <w:rFonts w:ascii="Cambria Math" w:hAnsi="Cambria Math"/>
                <w:i/>
                <w:color w:val="0070C0"/>
                <w:sz w:val="24"/>
                <w:szCs w:val="24"/>
              </w:rPr>
            </m:ctrlPr>
          </m:sSubPr>
          <m:e>
            <m:r>
              <m:rPr>
                <m:sty m:val="p"/>
              </m:rPr>
              <w:rPr>
                <w:rFonts w:ascii="Cambria Math" w:hAnsi="Cambria Math"/>
                <w:color w:val="0070C0"/>
                <w:sz w:val="24"/>
                <w:szCs w:val="24"/>
              </w:rPr>
              <m:t>φ</m:t>
            </m:r>
          </m:e>
          <m:sub>
            <m:r>
              <m:rPr>
                <m:sty m:val="p"/>
              </m:rPr>
              <w:rPr>
                <w:rFonts w:ascii="Cambria Math" w:hAnsi="Cambria Math"/>
                <w:color w:val="0070C0"/>
                <w:sz w:val="24"/>
                <w:szCs w:val="24"/>
              </w:rPr>
              <m:t>1</m:t>
            </m:r>
          </m:sub>
        </m:sSub>
        <m:r>
          <m:rPr>
            <m:sty m:val="p"/>
          </m:rPr>
          <w:rPr>
            <w:rFonts w:ascii="Cambria Math" w:hAnsi="Cambria Math"/>
            <w:color w:val="0070C0"/>
            <w:sz w:val="24"/>
            <w:szCs w:val="24"/>
          </w:rPr>
          <m:t>+</m:t>
        </m:r>
        <m:sSub>
          <m:sSubPr>
            <m:ctrlPr>
              <w:rPr>
                <w:rFonts w:ascii="Cambria Math" w:hAnsi="Cambria Math"/>
                <w:i/>
                <w:color w:val="0070C0"/>
                <w:sz w:val="24"/>
                <w:szCs w:val="24"/>
              </w:rPr>
            </m:ctrlPr>
          </m:sSubPr>
          <m:e>
            <m:r>
              <m:rPr>
                <m:sty m:val="p"/>
              </m:rPr>
              <w:rPr>
                <w:rFonts w:ascii="Cambria Math" w:hAnsi="Cambria Math"/>
                <w:color w:val="0070C0"/>
                <w:sz w:val="24"/>
                <w:szCs w:val="24"/>
              </w:rPr>
              <m:t>φ</m:t>
            </m:r>
          </m:e>
          <m:sub>
            <m:r>
              <m:rPr>
                <m:sty m:val="p"/>
              </m:rPr>
              <w:rPr>
                <w:rFonts w:ascii="Cambria Math" w:hAnsi="Cambria Math"/>
                <w:color w:val="0070C0"/>
                <w:sz w:val="24"/>
                <w:szCs w:val="24"/>
              </w:rPr>
              <m:t>11</m:t>
            </m:r>
          </m:sub>
        </m:sSub>
        <m:sSub>
          <m:sSubPr>
            <m:ctrlPr>
              <w:rPr>
                <w:rFonts w:ascii="Cambria Math" w:hAnsi="Cambria Math"/>
                <w:i/>
                <w:color w:val="0070C0"/>
                <w:sz w:val="24"/>
                <w:szCs w:val="24"/>
              </w:rPr>
            </m:ctrlPr>
          </m:sSubPr>
          <m:e>
            <m:r>
              <m:rPr>
                <m:sty m:val="p"/>
              </m:rPr>
              <w:rPr>
                <w:rFonts w:ascii="Cambria Math" w:hAnsi="Cambria Math"/>
                <w:color w:val="0070C0"/>
                <w:sz w:val="24"/>
                <w:szCs w:val="24"/>
              </w:rPr>
              <m:t>R</m:t>
            </m:r>
          </m:e>
          <m:sub>
            <m:r>
              <m:rPr>
                <m:sty m:val="p"/>
              </m:rPr>
              <w:rPr>
                <w:rFonts w:ascii="Cambria Math" w:hAnsi="Cambria Math"/>
                <w:color w:val="0070C0"/>
                <w:sz w:val="24"/>
                <w:szCs w:val="24"/>
              </w:rPr>
              <m:t>st-1</m:t>
            </m:r>
          </m:sub>
        </m:sSub>
        <m:r>
          <m:rPr>
            <m:sty m:val="p"/>
          </m:rPr>
          <w:rPr>
            <w:rFonts w:ascii="Cambria Math" w:hAnsi="Cambria Math"/>
            <w:color w:val="0070C0"/>
            <w:sz w:val="24"/>
            <w:szCs w:val="24"/>
          </w:rPr>
          <m:t>+</m:t>
        </m:r>
        <m:sSub>
          <m:sSubPr>
            <m:ctrlPr>
              <w:rPr>
                <w:rFonts w:ascii="Cambria Math" w:hAnsi="Cambria Math"/>
                <w:i/>
                <w:color w:val="0070C0"/>
                <w:sz w:val="24"/>
                <w:szCs w:val="24"/>
              </w:rPr>
            </m:ctrlPr>
          </m:sSubPr>
          <m:e>
            <m:r>
              <m:rPr>
                <m:sty m:val="p"/>
              </m:rPr>
              <w:rPr>
                <w:rFonts w:ascii="Cambria Math" w:hAnsi="Cambria Math"/>
                <w:color w:val="0070C0"/>
                <w:sz w:val="24"/>
                <w:szCs w:val="24"/>
              </w:rPr>
              <m:t>φ</m:t>
            </m:r>
          </m:e>
          <m:sub>
            <m:r>
              <m:rPr>
                <m:sty m:val="p"/>
              </m:rPr>
              <w:rPr>
                <w:rFonts w:ascii="Cambria Math" w:hAnsi="Cambria Math"/>
                <w:color w:val="0070C0"/>
                <w:sz w:val="24"/>
                <w:szCs w:val="24"/>
              </w:rPr>
              <m:t>12</m:t>
            </m:r>
          </m:sub>
        </m:sSub>
        <m:sSub>
          <m:sSubPr>
            <m:ctrlPr>
              <w:rPr>
                <w:rFonts w:ascii="Cambria Math" w:hAnsi="Cambria Math"/>
                <w:i/>
                <w:color w:val="0070C0"/>
                <w:sz w:val="24"/>
                <w:szCs w:val="24"/>
              </w:rPr>
            </m:ctrlPr>
          </m:sSubPr>
          <m:e>
            <m:r>
              <m:rPr>
                <m:sty m:val="p"/>
              </m:rPr>
              <w:rPr>
                <w:rFonts w:ascii="Cambria Math" w:hAnsi="Cambria Math"/>
                <w:color w:val="0070C0"/>
                <w:sz w:val="24"/>
                <w:szCs w:val="24"/>
              </w:rPr>
              <m:t>R</m:t>
            </m:r>
          </m:e>
          <m:sub>
            <m:r>
              <m:rPr>
                <m:sty m:val="p"/>
              </m:rPr>
              <w:rPr>
                <w:rFonts w:ascii="Cambria Math" w:hAnsi="Cambria Math"/>
                <w:color w:val="0070C0"/>
                <w:sz w:val="24"/>
                <w:szCs w:val="24"/>
              </w:rPr>
              <m:t>ot-1</m:t>
            </m:r>
          </m:sub>
        </m:sSub>
        <m:r>
          <m:rPr>
            <m:sty m:val="p"/>
          </m:rPr>
          <w:rPr>
            <w:rFonts w:ascii="Cambria Math" w:hAnsi="Cambria Math"/>
            <w:color w:val="0070C0"/>
            <w:sz w:val="24"/>
            <w:szCs w:val="24"/>
          </w:rPr>
          <m:t>+</m:t>
        </m:r>
        <m:sSub>
          <m:sSubPr>
            <m:ctrlPr>
              <w:rPr>
                <w:rFonts w:ascii="Cambria Math" w:hAnsi="Cambria Math"/>
                <w:i/>
                <w:color w:val="0070C0"/>
                <w:sz w:val="24"/>
                <w:szCs w:val="24"/>
              </w:rPr>
            </m:ctrlPr>
          </m:sSubPr>
          <m:e>
            <m:r>
              <m:rPr>
                <m:sty m:val="p"/>
              </m:rPr>
              <w:rPr>
                <w:rFonts w:ascii="Cambria Math" w:hAnsi="Cambria Math"/>
                <w:color w:val="0070C0"/>
                <w:sz w:val="24"/>
                <w:szCs w:val="24"/>
              </w:rPr>
              <m:t>ε</m:t>
            </m:r>
          </m:e>
          <m:sub>
            <m:r>
              <m:rPr>
                <m:sty m:val="p"/>
              </m:rPr>
              <w:rPr>
                <w:rFonts w:ascii="Cambria Math" w:hAnsi="Cambria Math"/>
                <w:color w:val="0070C0"/>
                <w:sz w:val="24"/>
                <w:szCs w:val="24"/>
              </w:rPr>
              <m:t>st</m:t>
            </m:r>
          </m:sub>
        </m:sSub>
      </m:oMath>
      <w:r w:rsidR="00373679" w:rsidRPr="00C72967">
        <w:rPr>
          <w:rFonts w:ascii="Times New Roman" w:eastAsia="Times New Roman" w:hAnsi="Times New Roman"/>
          <w:color w:val="000000"/>
          <w:sz w:val="24"/>
          <w:szCs w:val="24"/>
        </w:rPr>
        <w:fldChar w:fldCharType="end"/>
      </w:r>
    </w:p>
    <w:p w14:paraId="39CF8CFC" w14:textId="77777777" w:rsidR="00E26D55" w:rsidRDefault="00E26D55" w:rsidP="00085DAE">
      <w:pPr>
        <w:spacing w:after="0" w:line="240" w:lineRule="auto"/>
        <w:rPr>
          <w:rFonts w:ascii="Times New Roman" w:hAnsi="Times New Roman"/>
          <w:b/>
          <w:bCs/>
          <w:sz w:val="24"/>
          <w:szCs w:val="24"/>
        </w:rPr>
      </w:pPr>
    </w:p>
    <w:p w14:paraId="6A60726A" w14:textId="139DD7D8" w:rsidR="00EE1D4F" w:rsidRDefault="00EE1D4F" w:rsidP="00085DAE">
      <w:pPr>
        <w:spacing w:after="0" w:line="240" w:lineRule="auto"/>
        <w:rPr>
          <w:rFonts w:ascii="Times New Roman" w:hAnsi="Times New Roman"/>
          <w:b/>
          <w:bCs/>
          <w:sz w:val="24"/>
          <w:szCs w:val="24"/>
        </w:rPr>
      </w:pPr>
      <w:r w:rsidRPr="00A63423">
        <w:rPr>
          <w:rFonts w:ascii="Times New Roman" w:hAnsi="Times New Roman"/>
          <w:b/>
          <w:bCs/>
          <w:sz w:val="24"/>
          <w:szCs w:val="24"/>
        </w:rPr>
        <w:t>Where</w:t>
      </w:r>
      <w:r w:rsidR="009A2413">
        <w:rPr>
          <w:rFonts w:ascii="Times New Roman" w:hAnsi="Times New Roman"/>
          <w:b/>
          <w:bCs/>
          <w:sz w:val="24"/>
          <w:szCs w:val="24"/>
        </w:rPr>
        <w:t>;</w:t>
      </w:r>
    </w:p>
    <w:p w14:paraId="111248AB" w14:textId="77777777" w:rsidR="00EE1D4F" w:rsidRDefault="00EE1D4F" w:rsidP="00085DAE">
      <w:pPr>
        <w:spacing w:after="0" w:line="240" w:lineRule="auto"/>
        <w:rPr>
          <w:rFonts w:ascii="Times New Roman" w:hAnsi="Times New Roman"/>
          <w:bCs/>
          <w:sz w:val="24"/>
          <w:szCs w:val="24"/>
        </w:rPr>
      </w:pPr>
      <w:r w:rsidRPr="00F459E4">
        <w:rPr>
          <w:rFonts w:ascii="Times New Roman" w:hAnsi="Times New Roman"/>
          <w:bCs/>
          <w:i/>
          <w:sz w:val="24"/>
          <w:szCs w:val="24"/>
        </w:rPr>
        <w:t>A</w:t>
      </w:r>
      <w:r>
        <w:rPr>
          <w:rFonts w:ascii="Times New Roman" w:hAnsi="Times New Roman"/>
          <w:bCs/>
          <w:sz w:val="24"/>
          <w:szCs w:val="24"/>
        </w:rPr>
        <w:t xml:space="preserve"> is a matrix of coefficients of returns on each series</w:t>
      </w:r>
    </w:p>
    <w:p w14:paraId="057A7AC7" w14:textId="77777777" w:rsidR="00EE1D4F" w:rsidRDefault="00EE1D4F" w:rsidP="00085DAE">
      <w:pPr>
        <w:spacing w:after="0" w:line="240" w:lineRule="auto"/>
        <w:rPr>
          <w:rFonts w:ascii="Times New Roman" w:hAnsi="Times New Roman"/>
          <w:bCs/>
          <w:i/>
          <w:sz w:val="24"/>
          <w:szCs w:val="24"/>
        </w:rPr>
      </w:pPr>
      <w:r w:rsidRPr="00F459E4">
        <w:rPr>
          <w:rFonts w:ascii="Times New Roman" w:hAnsi="Times New Roman"/>
          <w:bCs/>
          <w:i/>
          <w:sz w:val="24"/>
          <w:szCs w:val="24"/>
        </w:rPr>
        <w:t>B</w:t>
      </w:r>
      <w:r>
        <w:rPr>
          <w:rFonts w:ascii="Times New Roman" w:hAnsi="Times New Roman"/>
          <w:bCs/>
          <w:sz w:val="24"/>
          <w:szCs w:val="24"/>
        </w:rPr>
        <w:t xml:space="preserve"> is a matrix of coefficients allowing for cross sectional dependence of conditional retunes between oil and stock markets conditioned on </w:t>
      </w:r>
      <w:r>
        <w:rPr>
          <w:rFonts w:ascii="Times New Roman" w:hAnsi="Times New Roman"/>
          <w:bCs/>
          <w:i/>
          <w:sz w:val="24"/>
          <w:szCs w:val="24"/>
        </w:rPr>
        <w:t xml:space="preserve">t – 1 </w:t>
      </w:r>
    </w:p>
    <w:p w14:paraId="46C4CFAD" w14:textId="77777777" w:rsidR="00EE1D4F" w:rsidRDefault="00EE1D4F" w:rsidP="00085DAE">
      <w:pPr>
        <w:spacing w:after="0" w:line="240" w:lineRule="auto"/>
        <w:rPr>
          <w:rFonts w:ascii="Times New Roman" w:hAnsi="Times New Roman"/>
          <w:bCs/>
          <w:sz w:val="24"/>
          <w:szCs w:val="24"/>
        </w:rPr>
      </w:pPr>
      <w:r>
        <w:rPr>
          <w:rFonts w:ascii="Times New Roman" w:hAnsi="Times New Roman"/>
          <w:bCs/>
          <w:i/>
          <w:sz w:val="24"/>
          <w:szCs w:val="24"/>
        </w:rPr>
        <w:t>C</w:t>
      </w:r>
      <w:r>
        <w:rPr>
          <w:rFonts w:ascii="Times New Roman" w:hAnsi="Times New Roman"/>
          <w:bCs/>
          <w:sz w:val="24"/>
          <w:szCs w:val="24"/>
        </w:rPr>
        <w:t xml:space="preserve"> is a matrix vector representing error terms. </w:t>
      </w:r>
    </w:p>
    <w:p w14:paraId="07600036" w14:textId="77777777" w:rsidR="00EE1D4F" w:rsidRPr="00F459E4" w:rsidRDefault="00EE1D4F" w:rsidP="00085DAE">
      <w:pPr>
        <w:spacing w:after="0" w:line="240" w:lineRule="auto"/>
        <w:rPr>
          <w:rFonts w:ascii="Times New Roman" w:hAnsi="Times New Roman"/>
          <w:bCs/>
          <w:sz w:val="24"/>
          <w:szCs w:val="24"/>
        </w:rPr>
      </w:pPr>
      <w:r>
        <w:rPr>
          <w:rFonts w:ascii="Times New Roman" w:hAnsi="Times New Roman"/>
          <w:bCs/>
          <w:sz w:val="24"/>
          <w:szCs w:val="24"/>
        </w:rPr>
        <w:t xml:space="preserve">These coefficients are denoted as follows </w:t>
      </w:r>
    </w:p>
    <w:p w14:paraId="08F4BB5D" w14:textId="296E296D" w:rsidR="00EE1D4F" w:rsidRDefault="00000000" w:rsidP="00085DAE">
      <w:pPr>
        <w:spacing w:line="240" w:lineRule="auto"/>
        <w:rPr>
          <w:rFonts w:ascii="Times New Roman" w:eastAsia="Times New Roman" w:hAnsi="Times New Roman"/>
          <w:sz w:val="24"/>
          <w:szCs w:val="24"/>
        </w:rPr>
      </w:pPr>
      <m:oMath>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oil</m:t>
                </m:r>
              </m:sub>
            </m:sSub>
          </m:e>
          <m:sub>
            <m:r>
              <w:rPr>
                <w:rFonts w:ascii="Cambria Math" w:hAnsi="Cambria Math"/>
                <w:sz w:val="24"/>
                <w:szCs w:val="24"/>
              </w:rPr>
              <m:t>t</m:t>
            </m:r>
          </m:sub>
        </m:sSub>
      </m:oMath>
      <w:r w:rsidR="00373679" w:rsidRPr="00A63423">
        <w:rPr>
          <w:rFonts w:ascii="Times New Roman" w:eastAsia="Times New Roman" w:hAnsi="Times New Roman"/>
          <w:sz w:val="24"/>
          <w:szCs w:val="24"/>
        </w:rPr>
        <w:fldChar w:fldCharType="begin"/>
      </w:r>
      <w:r w:rsidR="00EE1D4F" w:rsidRPr="00A63423">
        <w:rPr>
          <w:rFonts w:ascii="Times New Roman" w:eastAsia="Times New Roman" w:hAnsi="Times New Roman"/>
          <w:sz w:val="24"/>
          <w:szCs w:val="24"/>
        </w:rPr>
        <w:instrText xml:space="preserve"> QUOTE </w:instrText>
      </w:r>
      <m:oMath>
        <m:sSub>
          <m:sSubPr>
            <m:ctrlPr>
              <w:rPr>
                <w:rFonts w:ascii="Cambria Math" w:eastAsia="Times New Roman" w:hAnsi="Cambria Math"/>
                <w:i/>
                <w:sz w:val="24"/>
                <w:szCs w:val="24"/>
              </w:rPr>
            </m:ctrlPr>
          </m:sSubPr>
          <m:e>
            <m:r>
              <m:rPr>
                <m:sty m:val="p"/>
              </m:rPr>
              <w:rPr>
                <w:rFonts w:ascii="Cambria Math" w:eastAsia="Times New Roman" w:hAnsi="Cambria Math"/>
                <w:sz w:val="24"/>
                <w:szCs w:val="24"/>
              </w:rPr>
              <m:t>γ</m:t>
            </m:r>
          </m:e>
          <m:sub>
            <m:r>
              <m:rPr>
                <m:sty m:val="p"/>
              </m:rPr>
              <w:rPr>
                <w:rFonts w:ascii="Cambria Math" w:eastAsia="Times New Roman" w:hAnsi="Cambria Math"/>
                <w:sz w:val="24"/>
                <w:szCs w:val="24"/>
              </w:rPr>
              <m:t>oil</m:t>
            </m:r>
          </m:sub>
        </m:sSub>
      </m:oMath>
      <w:r w:rsidR="00373679" w:rsidRPr="00A63423">
        <w:rPr>
          <w:rFonts w:ascii="Times New Roman" w:eastAsia="Times New Roman" w:hAnsi="Times New Roman"/>
          <w:sz w:val="24"/>
          <w:szCs w:val="24"/>
        </w:rPr>
        <w:fldChar w:fldCharType="end"/>
      </w:r>
      <w:r w:rsidR="00EE1D4F" w:rsidRPr="00A63423">
        <w:rPr>
          <w:rFonts w:ascii="Times New Roman" w:eastAsia="Times New Roman" w:hAnsi="Times New Roman"/>
          <w:sz w:val="24"/>
          <w:szCs w:val="24"/>
        </w:rPr>
        <w:t xml:space="preserve">and </w:t>
      </w:r>
      <m:oMath>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s</m:t>
                </m:r>
              </m:sub>
            </m:sSub>
          </m:e>
          <m:sub>
            <m:r>
              <w:rPr>
                <w:rFonts w:ascii="Cambria Math" w:hAnsi="Cambria Math"/>
                <w:sz w:val="24"/>
                <w:szCs w:val="24"/>
              </w:rPr>
              <m:t>t</m:t>
            </m:r>
          </m:sub>
        </m:sSub>
      </m:oMath>
      <w:r w:rsidR="00EE1D4F" w:rsidRPr="00A63423">
        <w:rPr>
          <w:rFonts w:ascii="Times New Roman" w:eastAsia="Times New Roman" w:hAnsi="Times New Roman"/>
          <w:sz w:val="24"/>
          <w:szCs w:val="24"/>
        </w:rPr>
        <w:t xml:space="preserve"> are the daily return of sector</w:t>
      </w:r>
      <w:r w:rsidR="00EE1D4F">
        <w:rPr>
          <w:rFonts w:ascii="Times New Roman" w:eastAsia="Times New Roman" w:hAnsi="Times New Roman"/>
          <w:sz w:val="24"/>
          <w:szCs w:val="24"/>
        </w:rPr>
        <w:t>s</w:t>
      </w:r>
      <w:r w:rsidR="00EE1D4F" w:rsidRPr="00A63423">
        <w:rPr>
          <w:rFonts w:ascii="Times New Roman" w:eastAsia="Times New Roman" w:hAnsi="Times New Roman"/>
          <w:sz w:val="24"/>
          <w:szCs w:val="24"/>
        </w:rPr>
        <w:t xml:space="preserve"> specific stock index and oil prices</w:t>
      </w:r>
      <w:r w:rsidR="009A2413">
        <w:rPr>
          <w:rFonts w:ascii="Times New Roman" w:eastAsia="Times New Roman" w:hAnsi="Times New Roman"/>
          <w:sz w:val="24"/>
          <w:szCs w:val="24"/>
        </w:rPr>
        <w:t xml:space="preserve"> </w:t>
      </w:r>
      <w:r w:rsidR="00EE1D4F" w:rsidRPr="00A63423">
        <w:rPr>
          <w:rFonts w:ascii="Times New Roman" w:eastAsia="Times New Roman" w:hAnsi="Times New Roman"/>
          <w:sz w:val="24"/>
          <w:szCs w:val="24"/>
        </w:rPr>
        <w:t xml:space="preserve">respectively,  </w:t>
      </w:r>
      <m:oMath>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s</m:t>
            </m:r>
          </m:sub>
        </m:sSub>
      </m:oMath>
      <w:r w:rsidR="00EE1D4F" w:rsidRPr="00A63423">
        <w:rPr>
          <w:rFonts w:ascii="Times New Roman" w:eastAsia="Times New Roman" w:hAnsi="Times New Roman"/>
          <w:sz w:val="24"/>
          <w:szCs w:val="24"/>
        </w:rPr>
        <w:t xml:space="preserve">and </w:t>
      </w:r>
      <m:oMath>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oil</m:t>
            </m:r>
          </m:sub>
        </m:sSub>
      </m:oMath>
      <w:r w:rsidR="00373679" w:rsidRPr="00A63423">
        <w:rPr>
          <w:rFonts w:ascii="Times New Roman" w:eastAsia="Times New Roman" w:hAnsi="Times New Roman"/>
          <w:sz w:val="24"/>
          <w:szCs w:val="24"/>
        </w:rPr>
        <w:fldChar w:fldCharType="begin"/>
      </w:r>
      <w:r w:rsidR="00EE1D4F" w:rsidRPr="00A63423">
        <w:rPr>
          <w:rFonts w:ascii="Times New Roman" w:eastAsia="Times New Roman" w:hAnsi="Times New Roman"/>
          <w:sz w:val="24"/>
          <w:szCs w:val="24"/>
        </w:rPr>
        <w:instrText xml:space="preserve"> QUOTE </w:instrText>
      </w:r>
      <m:oMath>
        <m:sSub>
          <m:sSubPr>
            <m:ctrlPr>
              <w:rPr>
                <w:rFonts w:ascii="Cambria Math" w:hAnsi="Cambria Math"/>
                <w:i/>
                <w:sz w:val="24"/>
                <w:szCs w:val="24"/>
              </w:rPr>
            </m:ctrlPr>
          </m:sSubPr>
          <m:e>
            <m:r>
              <m:rPr>
                <m:sty m:val="p"/>
              </m:rPr>
              <w:rPr>
                <w:rFonts w:ascii="Cambria Math" w:hAnsi="Cambria Math"/>
                <w:sz w:val="24"/>
                <w:szCs w:val="24"/>
              </w:rPr>
              <m:t>φ</m:t>
            </m:r>
          </m:e>
          <m:sub>
            <m:r>
              <m:rPr>
                <m:sty m:val="p"/>
              </m:rPr>
              <w:rPr>
                <w:rFonts w:ascii="Cambria Math" w:hAnsi="Cambria Math"/>
                <w:sz w:val="24"/>
                <w:szCs w:val="24"/>
              </w:rPr>
              <m:t>22</m:t>
            </m:r>
          </m:sub>
        </m:sSub>
      </m:oMath>
      <w:r w:rsidR="00373679" w:rsidRPr="00A63423">
        <w:rPr>
          <w:rFonts w:ascii="Times New Roman" w:eastAsia="Times New Roman" w:hAnsi="Times New Roman"/>
          <w:sz w:val="24"/>
          <w:szCs w:val="24"/>
        </w:rPr>
        <w:fldChar w:fldCharType="end"/>
      </w:r>
      <w:r w:rsidR="00EE1D4F" w:rsidRPr="00A63423">
        <w:rPr>
          <w:rFonts w:ascii="Times New Roman" w:eastAsia="Times New Roman" w:hAnsi="Times New Roman"/>
          <w:sz w:val="24"/>
          <w:szCs w:val="24"/>
        </w:rPr>
        <w:t xml:space="preserve"> are the coefficients of own past lag effect of sector stock returns and oil price returns respectively. </w:t>
      </w:r>
      <m:oMath>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s</m:t>
            </m:r>
          </m:sub>
        </m:sSub>
      </m:oMath>
      <w:r w:rsidR="00EE1D4F" w:rsidRPr="00A63423">
        <w:rPr>
          <w:rFonts w:ascii="Times New Roman" w:eastAsia="Times New Roman" w:hAnsi="Times New Roman"/>
          <w:sz w:val="24"/>
          <w:szCs w:val="24"/>
        </w:rPr>
        <w:t xml:space="preserve">and </w:t>
      </w:r>
      <m:oMath>
        <m:sSub>
          <m:sSubPr>
            <m:ctrlPr>
              <w:rPr>
                <w:rFonts w:ascii="Cambria Math" w:eastAsia="Times New Roman" w:hAnsi="Cambria Math"/>
                <w:i/>
                <w:sz w:val="24"/>
                <w:szCs w:val="24"/>
              </w:rPr>
            </m:ctrlPr>
          </m:sSubPr>
          <m:e>
            <m:r>
              <w:rPr>
                <w:rFonts w:ascii="Cambria Math" w:eastAsia="Times New Roman" w:hAnsi="Cambria Math"/>
                <w:sz w:val="24"/>
                <w:szCs w:val="24"/>
              </w:rPr>
              <m:t>φ</m:t>
            </m:r>
          </m:e>
          <m:sub>
            <m:r>
              <w:rPr>
                <w:rFonts w:ascii="Cambria Math" w:eastAsia="Times New Roman" w:hAnsi="Cambria Math"/>
                <w:sz w:val="24"/>
                <w:szCs w:val="24"/>
              </w:rPr>
              <m:t>oil</m:t>
            </m:r>
          </m:sub>
        </m:sSub>
      </m:oMath>
      <w:r w:rsidR="00EE1D4F" w:rsidRPr="00A63423">
        <w:rPr>
          <w:rFonts w:ascii="Times New Roman" w:eastAsia="Times New Roman" w:hAnsi="Times New Roman"/>
          <w:sz w:val="24"/>
          <w:szCs w:val="24"/>
        </w:rPr>
        <w:t xml:space="preserve"> both measure the return spillover effect of oil on the stock returns and stock on oil returns respectively.</w:t>
      </w:r>
    </w:p>
    <w:p w14:paraId="2FC4848D" w14:textId="77777777" w:rsidR="00EE1D4F" w:rsidRDefault="00EE1D4F" w:rsidP="00085DAE">
      <w:pPr>
        <w:spacing w:after="0" w:line="240" w:lineRule="auto"/>
        <w:rPr>
          <w:rFonts w:ascii="Times New Roman" w:eastAsia="Times New Roman" w:hAnsi="Times New Roman"/>
          <w:sz w:val="24"/>
          <w:szCs w:val="24"/>
        </w:rPr>
      </w:pPr>
      <w:r w:rsidRPr="00E2049E">
        <w:rPr>
          <w:rFonts w:ascii="Times New Roman" w:eastAsia="Times New Roman" w:hAnsi="Times New Roman"/>
          <w:sz w:val="24"/>
          <w:szCs w:val="24"/>
        </w:rPr>
        <w:lastRenderedPageBreak/>
        <w:t>The conditional variance equation for the oil stock series</w:t>
      </w:r>
      <w:r>
        <w:rPr>
          <w:rFonts w:ascii="Times New Roman" w:eastAsia="Times New Roman" w:hAnsi="Times New Roman"/>
          <w:sz w:val="24"/>
          <w:szCs w:val="24"/>
        </w:rPr>
        <w:t xml:space="preserve"> for objective three and four</w:t>
      </w:r>
      <w:r w:rsidRPr="00E2049E">
        <w:rPr>
          <w:rFonts w:ascii="Times New Roman" w:eastAsia="Times New Roman" w:hAnsi="Times New Roman"/>
          <w:sz w:val="24"/>
          <w:szCs w:val="24"/>
        </w:rPr>
        <w:t xml:space="preserve"> is specified as follows:</w:t>
      </w:r>
    </w:p>
    <w:p w14:paraId="211DDDAE" w14:textId="3D7D59BA" w:rsidR="00EE1D4F" w:rsidRPr="00E2049E" w:rsidRDefault="00000000" w:rsidP="00085DAE">
      <w:pPr>
        <w:spacing w:after="0" w:line="240" w:lineRule="auto"/>
        <w:rPr>
          <w:rFonts w:ascii="Times New Roman" w:hAnsi="Times New Roman"/>
          <w:b/>
          <w:bCs/>
          <w:sz w:val="24"/>
          <w:szCs w:val="24"/>
        </w:rPr>
      </w:pPr>
      <m:oMath>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oil,t</m:t>
                    </m:r>
                  </m:sub>
                </m:sSub>
              </m:num>
              <m:den>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s,t</m:t>
                    </m:r>
                  </m:sub>
                </m:sSub>
              </m:den>
            </m:f>
          </m:e>
        </m:d>
        <m:r>
          <w:rPr>
            <w:rFonts w:ascii="Cambria Math" w:hAnsi="Cambria Math"/>
            <w:sz w:val="28"/>
            <w:szCs w:val="28"/>
          </w:rPr>
          <m:t>= D</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ω</m:t>
                    </m:r>
                  </m:e>
                  <m:sub>
                    <m:r>
                      <w:rPr>
                        <w:rFonts w:ascii="Cambria Math" w:hAnsi="Cambria Math"/>
                        <w:sz w:val="28"/>
                        <w:szCs w:val="28"/>
                      </w:rPr>
                      <m:t>oil</m:t>
                    </m:r>
                  </m:sub>
                </m:sSub>
              </m:num>
              <m:den>
                <m:sSub>
                  <m:sSubPr>
                    <m:ctrlPr>
                      <w:rPr>
                        <w:rFonts w:ascii="Cambria Math" w:hAnsi="Cambria Math"/>
                        <w:i/>
                        <w:sz w:val="28"/>
                        <w:szCs w:val="28"/>
                      </w:rPr>
                    </m:ctrlPr>
                  </m:sSubPr>
                  <m:e>
                    <m:r>
                      <w:rPr>
                        <w:rFonts w:ascii="Cambria Math" w:hAnsi="Cambria Math"/>
                        <w:sz w:val="28"/>
                        <w:szCs w:val="28"/>
                      </w:rPr>
                      <m:t>ω</m:t>
                    </m:r>
                  </m:e>
                  <m:sub>
                    <m:r>
                      <w:rPr>
                        <w:rFonts w:ascii="Cambria Math" w:hAnsi="Cambria Math"/>
                        <w:sz w:val="28"/>
                        <w:szCs w:val="28"/>
                      </w:rPr>
                      <m:t>s</m:t>
                    </m:r>
                  </m:sub>
                </m:sSub>
              </m:den>
            </m:f>
          </m:e>
        </m:d>
        <m:r>
          <w:rPr>
            <w:rFonts w:ascii="Cambria Math" w:hAnsi="Cambria Math"/>
            <w:sz w:val="28"/>
            <w:szCs w:val="28"/>
          </w:rPr>
          <m:t>+E</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oil</m:t>
                    </m:r>
                  </m:sub>
                </m:sSub>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oil,e</m:t>
                    </m:r>
                  </m:sub>
                </m:sSub>
              </m:num>
              <m:den>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s,oil</m:t>
                    </m:r>
                  </m:sub>
                </m:sSub>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m:t>
                    </m:r>
                  </m:sub>
                </m:sSub>
              </m:den>
            </m:f>
          </m:e>
        </m:d>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oil t-1</m:t>
                    </m:r>
                  </m:sub>
                </m:sSub>
              </m:num>
              <m:den>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s t-1</m:t>
                    </m:r>
                  </m:sub>
                </m:sSub>
              </m:den>
            </m:f>
          </m:e>
        </m:d>
        <m:r>
          <w:rPr>
            <w:rFonts w:ascii="Cambria Math" w:hAnsi="Cambria Math"/>
            <w:sz w:val="28"/>
            <w:szCs w:val="28"/>
          </w:rPr>
          <m:t>+ F</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m:t>
                    </m:r>
                  </m:sub>
                </m:sSub>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oil,s</m:t>
                    </m:r>
                  </m:sub>
                </m:sSub>
              </m:num>
              <m:den>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s,oil</m:t>
                    </m:r>
                  </m:sub>
                </m:sSub>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m:t>
                    </m:r>
                  </m:sub>
                </m:sSub>
              </m:den>
            </m:f>
          </m:e>
        </m:d>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oil,t-1</m:t>
                    </m:r>
                  </m:sub>
                </m:sSub>
              </m:num>
              <m:den>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s,t-1</m:t>
                    </m:r>
                  </m:sub>
                </m:sSub>
              </m:den>
            </m:f>
          </m:e>
        </m:d>
      </m:oMath>
      <w:r w:rsidR="00EE1D4F" w:rsidRPr="00E2049E">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sidRPr="00E2049E">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961467">
        <w:rPr>
          <w:rFonts w:ascii="Times New Roman" w:hAnsi="Times New Roman"/>
          <w:sz w:val="24"/>
          <w:szCs w:val="24"/>
        </w:rPr>
        <w:t xml:space="preserve">                  </w:t>
      </w:r>
      <w:r w:rsidR="00EE1D4F">
        <w:rPr>
          <w:rFonts w:ascii="Times New Roman" w:hAnsi="Times New Roman"/>
          <w:b/>
          <w:bCs/>
          <w:sz w:val="24"/>
          <w:szCs w:val="24"/>
        </w:rPr>
        <w:t>3.2</w:t>
      </w:r>
    </w:p>
    <w:p w14:paraId="11CE287E" w14:textId="0237F7AB" w:rsidR="00EE1D4F"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Where</w:t>
      </w:r>
      <w:r w:rsidR="009A2413">
        <w:rPr>
          <w:rFonts w:ascii="Times New Roman" w:hAnsi="Times New Roman"/>
          <w:sz w:val="24"/>
          <w:szCs w:val="24"/>
        </w:rPr>
        <w:t>;</w:t>
      </w:r>
    </w:p>
    <w:p w14:paraId="2CF419CE" w14:textId="77777777" w:rsidR="00EE1D4F" w:rsidRDefault="00EE1D4F" w:rsidP="00085DAE">
      <w:pPr>
        <w:spacing w:after="0" w:line="240" w:lineRule="auto"/>
        <w:ind w:right="-180"/>
        <w:rPr>
          <w:rFonts w:ascii="Times New Roman" w:hAnsi="Times New Roman"/>
          <w:sz w:val="24"/>
          <w:szCs w:val="24"/>
        </w:rPr>
      </w:pPr>
      <w:r>
        <w:rPr>
          <w:rFonts w:ascii="Times New Roman" w:hAnsi="Times New Roman"/>
          <w:sz w:val="24"/>
          <w:szCs w:val="24"/>
        </w:rPr>
        <w:t>D is matrix of coefficients of constants</w:t>
      </w:r>
    </w:p>
    <w:p w14:paraId="2B8EB7DF" w14:textId="77777777" w:rsidR="00EE1D4F" w:rsidRDefault="00EE1D4F" w:rsidP="00085DAE">
      <w:pPr>
        <w:spacing w:after="0" w:line="240" w:lineRule="auto"/>
        <w:ind w:right="-180"/>
        <w:rPr>
          <w:rFonts w:ascii="Times New Roman" w:hAnsi="Times New Roman"/>
          <w:sz w:val="24"/>
          <w:szCs w:val="24"/>
        </w:rPr>
      </w:pPr>
      <w:r>
        <w:rPr>
          <w:rFonts w:ascii="Times New Roman" w:hAnsi="Times New Roman"/>
          <w:i/>
          <w:sz w:val="24"/>
          <w:szCs w:val="24"/>
        </w:rPr>
        <w:t>E</w:t>
      </w:r>
      <w:r>
        <w:rPr>
          <w:rFonts w:ascii="Times New Roman" w:hAnsi="Times New Roman"/>
          <w:sz w:val="24"/>
          <w:szCs w:val="24"/>
        </w:rPr>
        <w:t xml:space="preserve"> is matrix of coefficients of short-run shock or ARCH effects conditioned on past innovations. </w:t>
      </w:r>
    </w:p>
    <w:p w14:paraId="1D30BD28" w14:textId="77777777" w:rsidR="00EE1D4F" w:rsidRDefault="00EE1D4F" w:rsidP="00085DAE">
      <w:pPr>
        <w:spacing w:after="0" w:line="240" w:lineRule="auto"/>
        <w:ind w:right="-180"/>
        <w:rPr>
          <w:rFonts w:ascii="Times New Roman" w:hAnsi="Times New Roman"/>
          <w:sz w:val="24"/>
          <w:szCs w:val="24"/>
        </w:rPr>
      </w:pPr>
      <w:r w:rsidRPr="009727D1">
        <w:rPr>
          <w:rFonts w:ascii="Times New Roman" w:hAnsi="Times New Roman"/>
          <w:i/>
          <w:sz w:val="24"/>
          <w:szCs w:val="24"/>
        </w:rPr>
        <w:t xml:space="preserve">F </w:t>
      </w:r>
      <w:r>
        <w:rPr>
          <w:rFonts w:ascii="Times New Roman" w:hAnsi="Times New Roman"/>
          <w:sz w:val="24"/>
          <w:szCs w:val="24"/>
        </w:rPr>
        <w:t xml:space="preserve">is matrix of coefficients of long-run volatility or GARCH effects conditioned on past innovations. </w:t>
      </w:r>
    </w:p>
    <w:p w14:paraId="227E3CFA" w14:textId="77777777" w:rsidR="00EE1D4F" w:rsidRDefault="00EE1D4F" w:rsidP="00085DAE">
      <w:pPr>
        <w:spacing w:after="0" w:line="240" w:lineRule="auto"/>
        <w:ind w:right="-180"/>
        <w:rPr>
          <w:rFonts w:ascii="Times New Roman" w:hAnsi="Times New Roman"/>
          <w:sz w:val="24"/>
          <w:szCs w:val="24"/>
        </w:rPr>
      </w:pPr>
      <w:r>
        <w:rPr>
          <w:rFonts w:ascii="Times New Roman" w:hAnsi="Times New Roman"/>
          <w:sz w:val="24"/>
          <w:szCs w:val="24"/>
        </w:rPr>
        <w:t>The coefficients are denoted as follows</w:t>
      </w:r>
    </w:p>
    <w:p w14:paraId="5FF603A2" w14:textId="77777777" w:rsidR="00EE1D4F" w:rsidRPr="00E2049E" w:rsidRDefault="00000000" w:rsidP="00085DAE">
      <w:pPr>
        <w:spacing w:after="0" w:line="240" w:lineRule="auto"/>
        <w:rPr>
          <w:rFonts w:ascii="Times New Roman" w:eastAsia="Times New Roman" w:hAnsi="Times New Roman"/>
          <w:sz w:val="24"/>
          <w:szCs w:val="24"/>
        </w:rPr>
      </w:pP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oil</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s</m:t>
            </m:r>
          </m:sub>
        </m:sSub>
      </m:oMath>
      <w:r w:rsidR="00EE1D4F" w:rsidRPr="00E2049E">
        <w:rPr>
          <w:rFonts w:ascii="Times New Roman" w:eastAsia="Times New Roman" w:hAnsi="Times New Roman"/>
          <w:sz w:val="24"/>
          <w:szCs w:val="24"/>
        </w:rPr>
        <w:t xml:space="preserve"> are the variance of the two series. </w:t>
      </w:r>
      <m:oMath>
        <m:sSub>
          <m:sSubPr>
            <m:ctrlPr>
              <w:rPr>
                <w:rFonts w:ascii="Cambria Math" w:hAnsi="Cambria Math"/>
                <w:i/>
                <w:sz w:val="28"/>
                <w:szCs w:val="28"/>
              </w:rPr>
            </m:ctrlPr>
          </m:sSubPr>
          <m:e>
            <m:r>
              <w:rPr>
                <w:rFonts w:ascii="Cambria Math" w:hAnsi="Cambria Math"/>
                <w:sz w:val="28"/>
                <w:szCs w:val="28"/>
              </w:rPr>
              <m:t>ω</m:t>
            </m:r>
          </m:e>
          <m:sub>
            <m:r>
              <w:rPr>
                <w:rFonts w:ascii="Cambria Math" w:hAnsi="Cambria Math"/>
                <w:sz w:val="28"/>
                <w:szCs w:val="28"/>
              </w:rPr>
              <m:t>oil</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r>
              <w:rPr>
                <w:rFonts w:ascii="Cambria Math" w:hAnsi="Cambria Math"/>
                <w:sz w:val="28"/>
                <w:szCs w:val="28"/>
              </w:rPr>
              <m:t>ω</m:t>
            </m:r>
          </m:e>
          <m:sub>
            <m:r>
              <w:rPr>
                <w:rFonts w:ascii="Cambria Math" w:hAnsi="Cambria Math"/>
                <w:sz w:val="28"/>
                <w:szCs w:val="28"/>
              </w:rPr>
              <m:t>s</m:t>
            </m:r>
          </m:sub>
        </m:sSub>
      </m:oMath>
      <w:r w:rsidR="00EE1D4F" w:rsidRPr="00E2049E">
        <w:rPr>
          <w:rFonts w:ascii="Times New Roman" w:eastAsia="Times New Roman" w:hAnsi="Times New Roman"/>
          <w:sz w:val="24"/>
          <w:szCs w:val="24"/>
        </w:rPr>
        <w:t xml:space="preserve"> are the non-negative constants of the model, </w:t>
      </w:r>
      <w:r w:rsidR="00EE1D4F">
        <w:object w:dxaOrig="1503" w:dyaOrig="1103" w14:anchorId="4B206F9B">
          <v:shape id="_x0000_i1026" type="#_x0000_t75" style="width:18pt;height:14.25pt" o:ole="">
            <v:imagedata r:id="rId9" o:title=""/>
          </v:shape>
          <o:OLEObject Type="Embed" ProgID="CorelDRAW.Graphic.13" ShapeID="_x0000_i1026" DrawAspect="Content" ObjectID="_1817947883" r:id="rId10"/>
        </w:object>
      </w:r>
      <w:r w:rsidR="00EE1D4F" w:rsidRPr="00E2049E">
        <w:rPr>
          <w:rFonts w:ascii="Times New Roman" w:eastAsia="Times New Roman" w:hAnsi="Times New Roman"/>
          <w:sz w:val="24"/>
          <w:szCs w:val="24"/>
        </w:rPr>
        <w:t xml:space="preserve">and </w:t>
      </w:r>
      <m:oMath>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m:t>
            </m:r>
          </m:sub>
        </m:sSub>
      </m:oMath>
      <w:r w:rsidR="00EE1D4F" w:rsidRPr="00E2049E">
        <w:rPr>
          <w:rFonts w:ascii="Times New Roman" w:eastAsia="Times New Roman" w:hAnsi="Times New Roman"/>
          <w:sz w:val="24"/>
          <w:szCs w:val="24"/>
        </w:rPr>
        <w:t xml:space="preserve"> measure</w:t>
      </w:r>
      <w:proofErr w:type="spellStart"/>
      <w:r w:rsidR="00EE1D4F">
        <w:rPr>
          <w:rFonts w:ascii="Times New Roman" w:eastAsia="Times New Roman" w:hAnsi="Times New Roman"/>
          <w:sz w:val="24"/>
          <w:szCs w:val="24"/>
        </w:rPr>
        <w:t>s</w:t>
      </w:r>
      <w:proofErr w:type="spellEnd"/>
      <w:r w:rsidR="00EE1D4F" w:rsidRPr="00E2049E">
        <w:rPr>
          <w:rFonts w:ascii="Times New Roman" w:eastAsia="Times New Roman" w:hAnsi="Times New Roman"/>
          <w:sz w:val="24"/>
          <w:szCs w:val="24"/>
        </w:rPr>
        <w:t xml:space="preserve"> the short run persistence or ARCH effects of the past shocks of both oil and sector stock return respectively at time  </w:t>
      </w:r>
      <m:oMath>
        <m:r>
          <w:rPr>
            <w:rFonts w:ascii="Cambria Math" w:eastAsia="Times New Roman" w:hAnsi="Cambria Math"/>
            <w:sz w:val="28"/>
            <w:szCs w:val="28"/>
          </w:rPr>
          <m:t>t-1</m:t>
        </m:r>
      </m:oMath>
      <w:r w:rsidR="00EE1D4F" w:rsidRPr="00E2049E">
        <w:rPr>
          <w:rFonts w:ascii="Times New Roman" w:eastAsia="Times New Roman" w:hAnsi="Times New Roman"/>
          <w:sz w:val="24"/>
          <w:szCs w:val="24"/>
        </w:rPr>
        <w:t xml:space="preserve"> on the present conditional variance series capturing the impact of direct transmitted shocks.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oil t-1</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s t-1</m:t>
            </m:r>
          </m:sub>
        </m:sSub>
      </m:oMath>
    </w:p>
    <w:p w14:paraId="7BF63C42" w14:textId="77777777" w:rsidR="00EE1D4F" w:rsidRPr="00E2049E" w:rsidRDefault="00000000" w:rsidP="00085DAE">
      <w:pPr>
        <w:spacing w:after="0" w:line="240" w:lineRule="auto"/>
        <w:rPr>
          <w:rFonts w:ascii="Times New Roman" w:eastAsia="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m:t>
            </m:r>
          </m:sub>
        </m:sSub>
      </m:oMath>
      <w:r w:rsidR="00EE1D4F">
        <w:rPr>
          <w:rFonts w:ascii="Times New Roman" w:eastAsia="Times New Roman" w:hAnsi="Times New Roman"/>
          <w:sz w:val="24"/>
          <w:szCs w:val="24"/>
        </w:rPr>
        <w:t xml:space="preserve"> measure </w:t>
      </w:r>
      <w:r w:rsidR="00EE1D4F" w:rsidRPr="00E2049E">
        <w:rPr>
          <w:rFonts w:ascii="Times New Roman" w:eastAsia="Times New Roman" w:hAnsi="Times New Roman"/>
          <w:sz w:val="24"/>
          <w:szCs w:val="24"/>
        </w:rPr>
        <w:t xml:space="preserve">long run persistence or GARCH effects of past shocks of oil and stock return at </w:t>
      </w:r>
      <m:oMath>
        <m:r>
          <w:rPr>
            <w:rFonts w:ascii="Cambria Math" w:eastAsia="Times New Roman" w:hAnsi="Cambria Math"/>
            <w:sz w:val="28"/>
            <w:szCs w:val="28"/>
          </w:rPr>
          <m:t>t-1</m:t>
        </m:r>
      </m:oMath>
      <w:r w:rsidR="00EE1D4F" w:rsidRPr="00E2049E">
        <w:rPr>
          <w:rFonts w:ascii="Times New Roman" w:eastAsia="Times New Roman" w:hAnsi="Times New Roman"/>
          <w:sz w:val="24"/>
          <w:szCs w:val="24"/>
        </w:rPr>
        <w:t xml:space="preserve">  respectiv</w:t>
      </w:r>
      <w:proofErr w:type="spellStart"/>
      <w:r w:rsidR="00EE1D4F">
        <w:rPr>
          <w:rFonts w:ascii="Times New Roman" w:eastAsia="Times New Roman" w:hAnsi="Times New Roman"/>
          <w:sz w:val="24"/>
          <w:szCs w:val="24"/>
        </w:rPr>
        <w:t>ely</w:t>
      </w:r>
      <w:proofErr w:type="spellEnd"/>
      <w:r w:rsidR="00EE1D4F">
        <w:rPr>
          <w:rFonts w:ascii="Times New Roman" w:eastAsia="Times New Roman" w:hAnsi="Times New Roman"/>
          <w:sz w:val="24"/>
          <w:szCs w:val="24"/>
        </w:rPr>
        <w:t>, on the transmitted conditional</w:t>
      </w:r>
      <w:r w:rsidR="00EE1D4F" w:rsidRPr="00E2049E">
        <w:rPr>
          <w:rFonts w:ascii="Times New Roman" w:eastAsia="Times New Roman" w:hAnsi="Times New Roman"/>
          <w:sz w:val="24"/>
          <w:szCs w:val="24"/>
        </w:rPr>
        <w:t xml:space="preserve"> volatility series </w:t>
      </w:r>
      <w:r w:rsidR="00EE1D4F" w:rsidRPr="00E2049E">
        <w:rPr>
          <w:rFonts w:ascii="Times New Roman" w:hAnsi="Times New Roman"/>
          <w:sz w:val="24"/>
          <w:szCs w:val="24"/>
        </w:rPr>
        <w:t xml:space="preserve">capturing the direct impact of the effects of the transmitted conditional volatility series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oil,t-1</m:t>
            </m:r>
          </m:sub>
        </m:sSub>
      </m:oMath>
      <w:r w:rsidR="00EE1D4F" w:rsidRPr="00E2049E">
        <w:rPr>
          <w:rFonts w:ascii="Times New Roman" w:hAnsi="Times New Roman"/>
          <w:sz w:val="24"/>
          <w:szCs w:val="24"/>
        </w:rPr>
        <w:t xml:space="preserve"> and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s,t-1</m:t>
            </m:r>
          </m:sub>
        </m:sSub>
      </m:oMath>
      <w:r w:rsidR="00EE1D4F" w:rsidRPr="00E2049E">
        <w:rPr>
          <w:rFonts w:ascii="Times New Roman" w:eastAsia="Times New Roman" w:hAnsi="Times New Roman"/>
          <w:sz w:val="24"/>
          <w:szCs w:val="24"/>
        </w:rPr>
        <w:t xml:space="preserve"> .</w:t>
      </w:r>
    </w:p>
    <w:p w14:paraId="3072AB16" w14:textId="77777777" w:rsidR="00EE1D4F" w:rsidRDefault="00000000" w:rsidP="00085DAE">
      <w:pPr>
        <w:spacing w:after="0" w:line="240" w:lineRule="auto"/>
        <w:rPr>
          <w:rFonts w:ascii="Times New Roman" w:eastAsia="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oil,s</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s,oil</m:t>
            </m:r>
          </m:sub>
        </m:sSub>
      </m:oMath>
      <w:r w:rsidR="00EE1D4F" w:rsidRPr="00E2049E">
        <w:rPr>
          <w:rFonts w:ascii="Times New Roman" w:eastAsia="Times New Roman" w:hAnsi="Times New Roman"/>
          <w:sz w:val="24"/>
          <w:szCs w:val="24"/>
        </w:rPr>
        <w:t xml:space="preserve"> measures the cross value of the error terms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s t-1</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oil t-1</m:t>
            </m:r>
          </m:sub>
        </m:sSub>
      </m:oMath>
      <w:r w:rsidR="00EE1D4F" w:rsidRPr="00E2049E">
        <w:rPr>
          <w:rFonts w:ascii="Times New Roman" w:eastAsia="Times New Roman" w:hAnsi="Times New Roman"/>
          <w:sz w:val="24"/>
          <w:szCs w:val="24"/>
        </w:rPr>
        <w:t xml:space="preserve"> on current conditional variance series for oil and sector stock respectively. Thus, these parameters and shock spillover or volatility spillovers coefficients that measure the effects of volatility shocks between oil and stock markets such that </w:t>
      </w:r>
      <m:oMath>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oil,s</m:t>
            </m:r>
          </m:sub>
        </m:sSub>
      </m:oMath>
      <w:r w:rsidR="00EE1D4F" w:rsidRPr="00E2049E">
        <w:rPr>
          <w:rFonts w:ascii="Times New Roman" w:eastAsia="Times New Roman" w:hAnsi="Times New Roman"/>
          <w:sz w:val="24"/>
          <w:szCs w:val="24"/>
        </w:rPr>
        <w:t xml:space="preserve"> measure the impact of sector stock shocks (volatility) on oil market, whereas </w:t>
      </w:r>
      <m:oMath>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s,oil</m:t>
            </m:r>
          </m:sub>
        </m:sSub>
      </m:oMath>
      <w:r w:rsidR="00EE1D4F" w:rsidRPr="00E2049E">
        <w:rPr>
          <w:rFonts w:ascii="Times New Roman" w:eastAsia="Times New Roman" w:hAnsi="Times New Roman"/>
          <w:sz w:val="24"/>
          <w:szCs w:val="24"/>
        </w:rPr>
        <w:t xml:space="preserve"> measure the </w:t>
      </w:r>
      <w:r w:rsidR="00EE1D4F" w:rsidRPr="00E2049E">
        <w:rPr>
          <w:rFonts w:ascii="Times New Roman" w:eastAsia="Times New Roman" w:hAnsi="Times New Roman"/>
          <w:sz w:val="24"/>
          <w:szCs w:val="24"/>
        </w:rPr>
        <w:t>impact of oil market volatility shocks on sector stock volatility. In the same vein, volatility spillover between oil price</w:t>
      </w:r>
      <w:r w:rsidR="00EE1D4F">
        <w:rPr>
          <w:rFonts w:ascii="Times New Roman" w:eastAsia="Times New Roman" w:hAnsi="Times New Roman"/>
          <w:sz w:val="24"/>
          <w:szCs w:val="24"/>
        </w:rPr>
        <w:t>s</w:t>
      </w:r>
      <w:r w:rsidR="00EE1D4F" w:rsidRPr="00E2049E">
        <w:rPr>
          <w:rFonts w:ascii="Times New Roman" w:eastAsia="Times New Roman" w:hAnsi="Times New Roman"/>
          <w:sz w:val="24"/>
          <w:szCs w:val="24"/>
        </w:rPr>
        <w:t xml:space="preserve"> and sector stock returns are measured by </w:t>
      </w:r>
      <m:oMath>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oil,s</m:t>
            </m:r>
          </m:sub>
        </m:sSub>
      </m:oMath>
      <w:r w:rsidR="00EE1D4F"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s,oil</m:t>
            </m:r>
          </m:sub>
        </m:sSub>
      </m:oMath>
      <w:r w:rsidR="00EE1D4F" w:rsidRPr="00E2049E">
        <w:rPr>
          <w:rFonts w:ascii="Times New Roman" w:eastAsia="Times New Roman" w:hAnsi="Times New Roman"/>
          <w:sz w:val="24"/>
          <w:szCs w:val="24"/>
        </w:rPr>
        <w:t xml:space="preserve">, i.e </w:t>
      </w:r>
      <m:oMath>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oil,s</m:t>
            </m:r>
          </m:sub>
        </m:sSub>
      </m:oMath>
      <w:r w:rsidR="00EE1D4F" w:rsidRPr="00E2049E">
        <w:rPr>
          <w:rFonts w:ascii="Times New Roman" w:eastAsia="Times New Roman" w:hAnsi="Times New Roman"/>
          <w:sz w:val="24"/>
          <w:szCs w:val="24"/>
        </w:rPr>
        <w:t xml:space="preserve"> measures the impact of volatility spillover from stock to oil market while </w:t>
      </w:r>
      <m:oMath>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s,oil</m:t>
            </m:r>
          </m:sub>
        </m:sSub>
      </m:oMath>
      <w:r w:rsidR="00EE1D4F" w:rsidRPr="00E2049E">
        <w:rPr>
          <w:rFonts w:ascii="Times New Roman" w:eastAsia="Times New Roman" w:hAnsi="Times New Roman"/>
          <w:sz w:val="24"/>
          <w:szCs w:val="24"/>
        </w:rPr>
        <w:t xml:space="preserve"> measures the impact of volatility spillover from oil to sector stock market returns. </w:t>
      </w:r>
    </w:p>
    <w:p w14:paraId="1993964D" w14:textId="00E472CE" w:rsidR="00EE1D4F" w:rsidRDefault="00EE1D4F" w:rsidP="00085DAE">
      <w:pPr>
        <w:spacing w:after="0" w:line="240" w:lineRule="auto"/>
        <w:rPr>
          <w:rFonts w:ascii="Times New Roman" w:eastAsia="Times New Roman" w:hAnsi="Times New Roman"/>
          <w:sz w:val="24"/>
          <w:szCs w:val="24"/>
        </w:rPr>
      </w:pPr>
      <w:r w:rsidRPr="00E2049E">
        <w:rPr>
          <w:rFonts w:ascii="Times New Roman" w:eastAsia="Times New Roman" w:hAnsi="Times New Roman"/>
          <w:sz w:val="24"/>
          <w:szCs w:val="24"/>
        </w:rPr>
        <w:t xml:space="preserve">To accommodate the asymmetries in the model, McAleer </w:t>
      </w:r>
      <w:proofErr w:type="spellStart"/>
      <w:r w:rsidRPr="00E2049E">
        <w:rPr>
          <w:rFonts w:ascii="Times New Roman" w:eastAsia="Times New Roman" w:hAnsi="Times New Roman"/>
          <w:sz w:val="24"/>
          <w:szCs w:val="24"/>
        </w:rPr>
        <w:t>Hoti</w:t>
      </w:r>
      <w:proofErr w:type="spellEnd"/>
      <w:r w:rsidRPr="00E2049E">
        <w:rPr>
          <w:rFonts w:ascii="Times New Roman" w:eastAsia="Times New Roman" w:hAnsi="Times New Roman"/>
          <w:sz w:val="24"/>
          <w:szCs w:val="24"/>
        </w:rPr>
        <w:t xml:space="preserve"> and Chan (2009) introduced </w:t>
      </w:r>
      <w:r>
        <w:rPr>
          <w:rFonts w:ascii="Times New Roman" w:eastAsia="Times New Roman" w:hAnsi="Times New Roman"/>
          <w:sz w:val="24"/>
          <w:szCs w:val="24"/>
        </w:rPr>
        <w:t>the VARMA-</w:t>
      </w:r>
      <w:r w:rsidRPr="00E2049E">
        <w:rPr>
          <w:rFonts w:ascii="Times New Roman" w:eastAsia="Times New Roman" w:hAnsi="Times New Roman"/>
          <w:sz w:val="24"/>
          <w:szCs w:val="24"/>
        </w:rPr>
        <w:t xml:space="preserve"> AGARCH version. The authors adopted the GJR style of asym</w:t>
      </w:r>
      <w:r>
        <w:rPr>
          <w:rFonts w:ascii="Times New Roman" w:eastAsia="Times New Roman" w:hAnsi="Times New Roman"/>
          <w:sz w:val="24"/>
          <w:szCs w:val="24"/>
        </w:rPr>
        <w:t xml:space="preserve">metry to uncover the asymmetry </w:t>
      </w:r>
      <w:r w:rsidRPr="00E2049E">
        <w:rPr>
          <w:rFonts w:ascii="Times New Roman" w:eastAsia="Times New Roman" w:hAnsi="Times New Roman"/>
          <w:sz w:val="24"/>
          <w:szCs w:val="24"/>
        </w:rPr>
        <w:t xml:space="preserve">impact of unconditional shocks on the conditional variances. </w:t>
      </w:r>
      <w:r>
        <w:rPr>
          <w:rFonts w:ascii="Times New Roman" w:eastAsia="Times New Roman" w:hAnsi="Times New Roman"/>
          <w:sz w:val="24"/>
          <w:szCs w:val="24"/>
        </w:rPr>
        <w:t xml:space="preserve">In line with their works and following </w:t>
      </w:r>
      <w:r w:rsidRPr="00E2049E">
        <w:rPr>
          <w:rFonts w:ascii="Times New Roman" w:eastAsia="Times New Roman" w:hAnsi="Times New Roman"/>
          <w:sz w:val="24"/>
          <w:szCs w:val="24"/>
        </w:rPr>
        <w:t xml:space="preserve">Yaya, </w:t>
      </w:r>
      <w:proofErr w:type="spellStart"/>
      <w:r w:rsidRPr="00E2049E">
        <w:rPr>
          <w:rFonts w:ascii="Times New Roman" w:eastAsia="Times New Roman" w:hAnsi="Times New Roman"/>
          <w:sz w:val="24"/>
          <w:szCs w:val="24"/>
        </w:rPr>
        <w:t>Luqman</w:t>
      </w:r>
      <w:proofErr w:type="spellEnd"/>
      <w:r w:rsidRPr="00E2049E">
        <w:rPr>
          <w:rFonts w:ascii="Times New Roman" w:eastAsia="Times New Roman" w:hAnsi="Times New Roman"/>
          <w:sz w:val="24"/>
          <w:szCs w:val="24"/>
        </w:rPr>
        <w:t xml:space="preserve">, </w:t>
      </w:r>
      <w:proofErr w:type="spellStart"/>
      <w:r w:rsidRPr="00E2049E">
        <w:rPr>
          <w:rFonts w:ascii="Times New Roman" w:eastAsia="Times New Roman" w:hAnsi="Times New Roman"/>
          <w:sz w:val="24"/>
          <w:szCs w:val="24"/>
        </w:rPr>
        <w:t>Akinl</w:t>
      </w:r>
      <w:r>
        <w:rPr>
          <w:rFonts w:ascii="Times New Roman" w:eastAsia="Times New Roman" w:hAnsi="Times New Roman"/>
          <w:sz w:val="24"/>
          <w:szCs w:val="24"/>
        </w:rPr>
        <w:t>ana</w:t>
      </w:r>
      <w:proofErr w:type="spellEnd"/>
      <w:r>
        <w:rPr>
          <w:rFonts w:ascii="Times New Roman" w:eastAsia="Times New Roman" w:hAnsi="Times New Roman"/>
          <w:sz w:val="24"/>
          <w:szCs w:val="24"/>
        </w:rPr>
        <w:t xml:space="preserve"> and </w:t>
      </w:r>
      <w:proofErr w:type="spellStart"/>
      <w:r>
        <w:rPr>
          <w:rFonts w:ascii="Times New Roman" w:eastAsia="Times New Roman" w:hAnsi="Times New Roman"/>
          <w:sz w:val="24"/>
          <w:szCs w:val="24"/>
        </w:rPr>
        <w:t>Tumo</w:t>
      </w:r>
      <w:r w:rsidRPr="00E2049E">
        <w:rPr>
          <w:rFonts w:ascii="Times New Roman" w:eastAsia="Times New Roman" w:hAnsi="Times New Roman"/>
          <w:sz w:val="24"/>
          <w:szCs w:val="24"/>
        </w:rPr>
        <w:t>la</w:t>
      </w:r>
      <w:proofErr w:type="spellEnd"/>
      <w:r>
        <w:rPr>
          <w:rFonts w:ascii="Times New Roman" w:eastAsia="Times New Roman" w:hAnsi="Times New Roman"/>
          <w:sz w:val="24"/>
          <w:szCs w:val="24"/>
        </w:rPr>
        <w:t xml:space="preserve"> (2017);</w:t>
      </w:r>
      <w:r w:rsidR="009A2413">
        <w:rPr>
          <w:rFonts w:ascii="Times New Roman" w:eastAsia="Times New Roman" w:hAnsi="Times New Roman"/>
          <w:sz w:val="24"/>
          <w:szCs w:val="24"/>
        </w:rPr>
        <w:t xml:space="preserve"> </w:t>
      </w:r>
      <w:r>
        <w:rPr>
          <w:rFonts w:ascii="Times New Roman" w:eastAsia="Times New Roman" w:hAnsi="Times New Roman"/>
          <w:sz w:val="24"/>
          <w:szCs w:val="24"/>
        </w:rPr>
        <w:t xml:space="preserve">Yaya, </w:t>
      </w:r>
      <w:proofErr w:type="spellStart"/>
      <w:r>
        <w:rPr>
          <w:rFonts w:ascii="Times New Roman" w:eastAsia="Times New Roman" w:hAnsi="Times New Roman"/>
          <w:sz w:val="24"/>
          <w:szCs w:val="24"/>
        </w:rPr>
        <w:t>Luqman</w:t>
      </w:r>
      <w:proofErr w:type="spellEnd"/>
      <w:r>
        <w:rPr>
          <w:rFonts w:ascii="Times New Roman" w:eastAsia="Times New Roman" w:hAnsi="Times New Roman"/>
          <w:sz w:val="24"/>
          <w:szCs w:val="24"/>
        </w:rPr>
        <w:t xml:space="preserve"> and Vo (2021) and </w:t>
      </w:r>
      <w:r w:rsidRPr="00E2049E">
        <w:rPr>
          <w:rFonts w:ascii="Times New Roman" w:eastAsia="Times New Roman" w:hAnsi="Times New Roman"/>
          <w:sz w:val="24"/>
          <w:szCs w:val="24"/>
        </w:rPr>
        <w:t xml:space="preserve">Ogbonna (2017) </w:t>
      </w:r>
      <w:r>
        <w:rPr>
          <w:rFonts w:ascii="Times New Roman" w:eastAsia="Times New Roman" w:hAnsi="Times New Roman"/>
          <w:sz w:val="24"/>
          <w:szCs w:val="24"/>
        </w:rPr>
        <w:t xml:space="preserve">the VARMA-AGACH model is specified </w:t>
      </w:r>
      <w:r w:rsidRPr="00E2049E">
        <w:rPr>
          <w:rFonts w:ascii="Times New Roman" w:eastAsia="Times New Roman" w:hAnsi="Times New Roman"/>
          <w:sz w:val="24"/>
          <w:szCs w:val="24"/>
        </w:rPr>
        <w:t xml:space="preserve">as follows: </w:t>
      </w:r>
    </w:p>
    <w:p w14:paraId="4DF9B89A" w14:textId="77777777" w:rsidR="0035586F" w:rsidRPr="0035586F" w:rsidRDefault="0035586F" w:rsidP="00085DAE">
      <w:pPr>
        <w:spacing w:after="0" w:line="240" w:lineRule="auto"/>
        <w:rPr>
          <w:rFonts w:ascii="Times New Roman" w:eastAsia="Times New Roman" w:hAnsi="Times New Roman"/>
          <w:sz w:val="16"/>
          <w:szCs w:val="24"/>
        </w:rPr>
      </w:pPr>
    </w:p>
    <w:p w14:paraId="002BC15E" w14:textId="77777777" w:rsidR="00EE1D4F" w:rsidRPr="00E2049E" w:rsidRDefault="00000000" w:rsidP="00085DAE">
      <w:pPr>
        <w:spacing w:line="240" w:lineRule="auto"/>
        <w:ind w:right="-540"/>
        <w:rPr>
          <w:rFonts w:ascii="Times New Roman" w:hAnsi="Times New Roman"/>
          <w:b/>
          <w:bCs/>
          <w:sz w:val="24"/>
          <w:szCs w:val="24"/>
        </w:rPr>
      </w:pPr>
      <m:oMath>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oil,t</m:t>
                    </m:r>
                  </m:sub>
                </m:sSub>
              </m:num>
              <m:den>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s,t</m:t>
                    </m:r>
                  </m:sub>
                </m:sSub>
              </m:den>
            </m:f>
          </m:e>
        </m:d>
        <m:r>
          <w:rPr>
            <w:rFonts w:ascii="Cambria Math" w:hAnsi="Cambria Math"/>
            <w:sz w:val="28"/>
            <w:szCs w:val="28"/>
          </w:rPr>
          <m:t>= D</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ω</m:t>
                    </m:r>
                  </m:e>
                  <m:sub>
                    <m:r>
                      <w:rPr>
                        <w:rFonts w:ascii="Cambria Math" w:hAnsi="Cambria Math"/>
                        <w:sz w:val="28"/>
                        <w:szCs w:val="28"/>
                      </w:rPr>
                      <m:t>oil</m:t>
                    </m:r>
                  </m:sub>
                </m:sSub>
              </m:num>
              <m:den>
                <m:sSub>
                  <m:sSubPr>
                    <m:ctrlPr>
                      <w:rPr>
                        <w:rFonts w:ascii="Cambria Math" w:hAnsi="Cambria Math"/>
                        <w:i/>
                        <w:sz w:val="28"/>
                        <w:szCs w:val="28"/>
                      </w:rPr>
                    </m:ctrlPr>
                  </m:sSubPr>
                  <m:e>
                    <m:r>
                      <w:rPr>
                        <w:rFonts w:ascii="Cambria Math" w:hAnsi="Cambria Math"/>
                        <w:sz w:val="28"/>
                        <w:szCs w:val="28"/>
                      </w:rPr>
                      <m:t>ω</m:t>
                    </m:r>
                  </m:e>
                  <m:sub>
                    <m:r>
                      <w:rPr>
                        <w:rFonts w:ascii="Cambria Math" w:hAnsi="Cambria Math"/>
                        <w:sz w:val="28"/>
                        <w:szCs w:val="28"/>
                      </w:rPr>
                      <m:t>s</m:t>
                    </m:r>
                  </m:sub>
                </m:sSub>
              </m:den>
            </m:f>
          </m:e>
        </m:d>
        <m:r>
          <w:rPr>
            <w:rFonts w:ascii="Cambria Math" w:hAnsi="Cambria Math"/>
            <w:sz w:val="28"/>
            <w:szCs w:val="28"/>
          </w:rPr>
          <m:t>+E</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oil</m:t>
                    </m:r>
                  </m:sub>
                </m:sSub>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oil,e</m:t>
                    </m:r>
                  </m:sub>
                </m:sSub>
              </m:num>
              <m:den>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s,oil</m:t>
                    </m:r>
                  </m:sub>
                </m:sSub>
                <m:sSub>
                  <m:sSubPr>
                    <m:ctrlPr>
                      <w:rPr>
                        <w:rFonts w:ascii="Cambria Math" w:hAnsi="Cambria Math"/>
                        <w:i/>
                        <w:sz w:val="28"/>
                        <w:szCs w:val="28"/>
                      </w:rPr>
                    </m:ctrlPr>
                  </m:sSubPr>
                  <m:e>
                    <m:r>
                      <w:rPr>
                        <w:rFonts w:ascii="Cambria Math" w:hAnsi="Cambria Math"/>
                        <w:sz w:val="28"/>
                        <w:szCs w:val="28"/>
                      </w:rPr>
                      <m:t>λ</m:t>
                    </m:r>
                  </m:e>
                  <m:sub>
                    <m:r>
                      <w:rPr>
                        <w:rFonts w:ascii="Cambria Math" w:hAnsi="Cambria Math"/>
                        <w:sz w:val="28"/>
                        <w:szCs w:val="28"/>
                      </w:rPr>
                      <m:t>s</m:t>
                    </m:r>
                  </m:sub>
                </m:sSub>
              </m:den>
            </m:f>
          </m:e>
        </m:d>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oil t-1</m:t>
                    </m:r>
                  </m:sub>
                </m:sSub>
              </m:num>
              <m:den>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s t-1</m:t>
                    </m:r>
                  </m:sub>
                </m:sSub>
              </m:den>
            </m:f>
          </m:e>
        </m:d>
        <m:r>
          <w:rPr>
            <w:rFonts w:ascii="Cambria Math" w:hAnsi="Cambria Math"/>
            <w:sz w:val="28"/>
            <w:szCs w:val="28"/>
          </w:rPr>
          <m:t>+ F</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m:t>
                    </m:r>
                  </m:sub>
                </m:sSub>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oil,s</m:t>
                    </m:r>
                  </m:sub>
                </m:sSub>
              </m:num>
              <m:den>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s,oil</m:t>
                    </m:r>
                  </m:sub>
                </m:sSub>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s</m:t>
                    </m:r>
                  </m:sub>
                </m:sSub>
              </m:den>
            </m:f>
          </m:e>
        </m:d>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oil,t-1</m:t>
                    </m:r>
                  </m:sub>
                </m:sSub>
              </m:num>
              <m:den>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δ</m:t>
                        </m:r>
                      </m:e>
                      <m:sup>
                        <m:r>
                          <w:rPr>
                            <w:rFonts w:ascii="Cambria Math" w:hAnsi="Cambria Math"/>
                            <w:sz w:val="28"/>
                            <w:szCs w:val="28"/>
                          </w:rPr>
                          <m:t>2</m:t>
                        </m:r>
                      </m:sup>
                    </m:sSup>
                  </m:e>
                  <m:sub>
                    <m:r>
                      <w:rPr>
                        <w:rFonts w:ascii="Cambria Math" w:hAnsi="Cambria Math"/>
                        <w:sz w:val="28"/>
                        <w:szCs w:val="28"/>
                      </w:rPr>
                      <m:t>s,t-1</m:t>
                    </m:r>
                  </m:sub>
                </m:sSub>
              </m:den>
            </m:f>
          </m:e>
        </m:d>
        <m:r>
          <w:rPr>
            <w:rFonts w:ascii="Cambria Math" w:hAnsi="Cambria Math"/>
            <w:sz w:val="28"/>
            <w:szCs w:val="28"/>
          </w:rPr>
          <m:t>+                     G</m:t>
        </m:r>
        <m:d>
          <m:dPr>
            <m:ctrlPr>
              <w:rPr>
                <w:rFonts w:ascii="Cambria Math" w:hAnsi="Cambria Math"/>
                <w:i/>
                <w:sz w:val="28"/>
                <w:szCs w:val="28"/>
              </w:rPr>
            </m:ctrlPr>
          </m:dPr>
          <m:e>
            <m:f>
              <m:fPr>
                <m:type m:val="noBa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ϕ</m:t>
                    </m:r>
                  </m:e>
                  <m:sub>
                    <m:r>
                      <w:rPr>
                        <w:rFonts w:ascii="Cambria Math" w:hAnsi="Cambria Math"/>
                        <w:sz w:val="28"/>
                        <w:szCs w:val="28"/>
                      </w:rPr>
                      <m:t>oil</m:t>
                    </m:r>
                  </m:sub>
                </m:sSub>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oil,t</m:t>
                        </m:r>
                      </m:sub>
                    </m:sSub>
                  </m:e>
                </m:d>
                <m:sSubSup>
                  <m:sSubSupPr>
                    <m:ctrlPr>
                      <w:rPr>
                        <w:rFonts w:ascii="Cambria Math" w:hAnsi="Cambria Math"/>
                        <w:i/>
                        <w:sz w:val="28"/>
                        <w:szCs w:val="28"/>
                      </w:rPr>
                    </m:ctrlPr>
                  </m:sSubSupPr>
                  <m:e>
                    <m:r>
                      <w:rPr>
                        <w:rFonts w:ascii="Cambria Math" w:hAnsi="Cambria Math"/>
                        <w:sz w:val="28"/>
                        <w:szCs w:val="28"/>
                      </w:rPr>
                      <m:t>ε</m:t>
                    </m:r>
                  </m:e>
                  <m:sub>
                    <m:r>
                      <w:rPr>
                        <w:rFonts w:ascii="Cambria Math" w:hAnsi="Cambria Math"/>
                        <w:sz w:val="28"/>
                        <w:szCs w:val="28"/>
                      </w:rPr>
                      <m:t>oil t-1</m:t>
                    </m:r>
                  </m:sub>
                  <m:sup>
                    <m:r>
                      <w:rPr>
                        <w:rFonts w:ascii="Cambria Math" w:hAnsi="Cambria Math"/>
                        <w:sz w:val="28"/>
                        <w:szCs w:val="28"/>
                      </w:rPr>
                      <m:t>2</m:t>
                    </m:r>
                  </m:sup>
                </m:sSubSup>
              </m:num>
              <m:den>
                <m:sSub>
                  <m:sSubPr>
                    <m:ctrlPr>
                      <w:rPr>
                        <w:rFonts w:ascii="Cambria Math" w:hAnsi="Cambria Math"/>
                        <w:i/>
                        <w:sz w:val="28"/>
                        <w:szCs w:val="28"/>
                      </w:rPr>
                    </m:ctrlPr>
                  </m:sSubPr>
                  <m:e>
                    <m:r>
                      <w:rPr>
                        <w:rFonts w:ascii="Cambria Math" w:hAnsi="Cambria Math"/>
                        <w:sz w:val="28"/>
                        <w:szCs w:val="28"/>
                      </w:rPr>
                      <m:t>ϕ</m:t>
                    </m:r>
                  </m:e>
                  <m:sub>
                    <m:r>
                      <w:rPr>
                        <w:rFonts w:ascii="Cambria Math" w:hAnsi="Cambria Math"/>
                        <w:sz w:val="28"/>
                        <w:szCs w:val="28"/>
                      </w:rPr>
                      <m:t>s</m:t>
                    </m:r>
                  </m:sub>
                </m:sSub>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st</m:t>
                        </m:r>
                      </m:sub>
                    </m:sSub>
                  </m:e>
                </m:d>
                <m:sSub>
                  <m:sSubPr>
                    <m:ctrlPr>
                      <w:rPr>
                        <w:rFonts w:ascii="Cambria Math" w:hAnsi="Cambria Math"/>
                        <w:i/>
                        <w:sz w:val="28"/>
                        <w:szCs w:val="28"/>
                      </w:rPr>
                    </m:ctrlPr>
                  </m:sSubPr>
                  <m:e>
                    <m:sSup>
                      <m:sSupPr>
                        <m:ctrlPr>
                          <w:rPr>
                            <w:rFonts w:ascii="Cambria Math" w:hAnsi="Cambria Math"/>
                            <w:i/>
                            <w:sz w:val="28"/>
                            <w:szCs w:val="28"/>
                          </w:rPr>
                        </m:ctrlPr>
                      </m:sSupPr>
                      <m:e>
                        <m:r>
                          <w:rPr>
                            <w:rFonts w:ascii="Cambria Math" w:hAnsi="Cambria Math"/>
                            <w:sz w:val="28"/>
                            <w:szCs w:val="28"/>
                          </w:rPr>
                          <m:t>ε</m:t>
                        </m:r>
                      </m:e>
                      <m:sup>
                        <m:r>
                          <w:rPr>
                            <w:rFonts w:ascii="Cambria Math" w:hAnsi="Cambria Math"/>
                            <w:sz w:val="28"/>
                            <w:szCs w:val="28"/>
                          </w:rPr>
                          <m:t>2</m:t>
                        </m:r>
                      </m:sup>
                    </m:sSup>
                  </m:e>
                  <m:sub>
                    <m:r>
                      <w:rPr>
                        <w:rFonts w:ascii="Cambria Math" w:hAnsi="Cambria Math"/>
                        <w:sz w:val="28"/>
                        <w:szCs w:val="28"/>
                      </w:rPr>
                      <m:t>s t-1</m:t>
                    </m:r>
                  </m:sub>
                </m:sSub>
              </m:den>
            </m:f>
          </m:e>
        </m:d>
      </m:oMath>
      <w:r w:rsidR="00EE1D4F" w:rsidRPr="00E2049E">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sz w:val="24"/>
          <w:szCs w:val="24"/>
        </w:rPr>
        <w:tab/>
      </w:r>
      <w:r w:rsidR="00EE1D4F">
        <w:rPr>
          <w:rFonts w:ascii="Times New Roman" w:hAnsi="Times New Roman"/>
          <w:b/>
          <w:bCs/>
          <w:sz w:val="24"/>
          <w:szCs w:val="24"/>
        </w:rPr>
        <w:t>3.3</w:t>
      </w:r>
    </w:p>
    <w:p w14:paraId="29A5E953" w14:textId="38251005" w:rsidR="00EE1D4F" w:rsidRPr="005052DB" w:rsidRDefault="00EE1D4F" w:rsidP="00085DAE">
      <w:pPr>
        <w:spacing w:after="0" w:line="240" w:lineRule="auto"/>
        <w:ind w:right="-180"/>
        <w:rPr>
          <w:rFonts w:ascii="Times New Roman" w:hAnsi="Times New Roman"/>
          <w:b/>
          <w:sz w:val="24"/>
          <w:szCs w:val="24"/>
        </w:rPr>
      </w:pPr>
      <w:r w:rsidRPr="005052DB">
        <w:rPr>
          <w:rFonts w:ascii="Times New Roman" w:hAnsi="Times New Roman"/>
          <w:b/>
          <w:sz w:val="24"/>
          <w:szCs w:val="24"/>
        </w:rPr>
        <w:t>Where</w:t>
      </w:r>
      <w:r w:rsidR="009A2413">
        <w:rPr>
          <w:rFonts w:ascii="Times New Roman" w:hAnsi="Times New Roman"/>
          <w:b/>
          <w:sz w:val="24"/>
          <w:szCs w:val="24"/>
        </w:rPr>
        <w:t>;</w:t>
      </w:r>
    </w:p>
    <w:p w14:paraId="5CF4D524" w14:textId="77777777" w:rsidR="00EE1D4F" w:rsidRDefault="00EE1D4F" w:rsidP="00085DAE">
      <w:pPr>
        <w:spacing w:after="0" w:line="240" w:lineRule="auto"/>
        <w:ind w:right="-180"/>
        <w:rPr>
          <w:rFonts w:ascii="Times New Roman" w:hAnsi="Times New Roman"/>
          <w:sz w:val="24"/>
          <w:szCs w:val="24"/>
        </w:rPr>
      </w:pPr>
      <w:r>
        <w:rPr>
          <w:rFonts w:ascii="Times New Roman" w:hAnsi="Times New Roman"/>
          <w:sz w:val="24"/>
          <w:szCs w:val="24"/>
        </w:rPr>
        <w:t>D is matrix of coefficients of constants</w:t>
      </w:r>
    </w:p>
    <w:p w14:paraId="37A1B2F3" w14:textId="77777777" w:rsidR="00EE1D4F" w:rsidRDefault="00EE1D4F" w:rsidP="00085DAE">
      <w:pPr>
        <w:spacing w:line="240" w:lineRule="auto"/>
        <w:ind w:right="-180"/>
        <w:rPr>
          <w:rFonts w:ascii="Times New Roman" w:hAnsi="Times New Roman"/>
          <w:sz w:val="24"/>
          <w:szCs w:val="24"/>
        </w:rPr>
      </w:pPr>
      <w:r>
        <w:rPr>
          <w:rFonts w:ascii="Times New Roman" w:hAnsi="Times New Roman"/>
          <w:i/>
          <w:sz w:val="24"/>
          <w:szCs w:val="24"/>
        </w:rPr>
        <w:t>E</w:t>
      </w:r>
      <w:r>
        <w:rPr>
          <w:rFonts w:ascii="Times New Roman" w:hAnsi="Times New Roman"/>
          <w:sz w:val="24"/>
          <w:szCs w:val="24"/>
        </w:rPr>
        <w:t xml:space="preserve"> is matrix of coefficients of short-run shock or ARCH effects conditioned on past innovations. </w:t>
      </w:r>
    </w:p>
    <w:p w14:paraId="515AEB32" w14:textId="77777777" w:rsidR="00EE1D4F" w:rsidRDefault="00EE1D4F" w:rsidP="00085DAE">
      <w:pPr>
        <w:spacing w:line="240" w:lineRule="auto"/>
        <w:ind w:right="-180"/>
        <w:rPr>
          <w:rFonts w:ascii="Times New Roman" w:hAnsi="Times New Roman"/>
          <w:sz w:val="24"/>
          <w:szCs w:val="24"/>
        </w:rPr>
      </w:pPr>
      <w:r w:rsidRPr="009727D1">
        <w:rPr>
          <w:rFonts w:ascii="Times New Roman" w:hAnsi="Times New Roman"/>
          <w:i/>
          <w:sz w:val="24"/>
          <w:szCs w:val="24"/>
        </w:rPr>
        <w:t>F</w:t>
      </w:r>
      <w:r>
        <w:rPr>
          <w:rFonts w:ascii="Times New Roman" w:hAnsi="Times New Roman"/>
          <w:sz w:val="24"/>
          <w:szCs w:val="24"/>
        </w:rPr>
        <w:t xml:space="preserve"> is matrix of coefficients of long-run volatility or GARCH effects conditioned on past innovations. </w:t>
      </w:r>
    </w:p>
    <w:p w14:paraId="27FDAB9E" w14:textId="77777777" w:rsidR="00EE1D4F" w:rsidRDefault="00EE1D4F" w:rsidP="00085DAE">
      <w:pPr>
        <w:spacing w:line="240" w:lineRule="auto"/>
        <w:ind w:right="-180"/>
        <w:rPr>
          <w:rFonts w:ascii="Times New Roman" w:hAnsi="Times New Roman"/>
          <w:sz w:val="24"/>
          <w:szCs w:val="24"/>
        </w:rPr>
      </w:pPr>
      <w:r w:rsidRPr="009727D1">
        <w:rPr>
          <w:rFonts w:ascii="Times New Roman" w:hAnsi="Times New Roman"/>
          <w:i/>
          <w:sz w:val="24"/>
          <w:szCs w:val="24"/>
        </w:rPr>
        <w:t>G</w:t>
      </w:r>
      <w:r>
        <w:rPr>
          <w:rFonts w:ascii="Times New Roman" w:hAnsi="Times New Roman"/>
          <w:sz w:val="24"/>
          <w:szCs w:val="24"/>
        </w:rPr>
        <w:t xml:space="preserve"> is matrix of coefficients of asymmetric (leverage) effects </w:t>
      </w:r>
    </w:p>
    <w:p w14:paraId="49AD86B1" w14:textId="77777777" w:rsidR="00EE1D4F" w:rsidRPr="00E2049E" w:rsidRDefault="00EE1D4F" w:rsidP="00085DAE">
      <w:pPr>
        <w:spacing w:line="240" w:lineRule="auto"/>
        <w:ind w:right="-180"/>
        <w:rPr>
          <w:rFonts w:ascii="Times New Roman" w:eastAsia="Times New Roman" w:hAnsi="Times New Roman"/>
          <w:sz w:val="24"/>
          <w:szCs w:val="24"/>
        </w:rPr>
      </w:pPr>
      <w:r w:rsidRPr="00E2049E">
        <w:rPr>
          <w:rFonts w:ascii="Times New Roman" w:hAnsi="Times New Roman"/>
          <w:sz w:val="24"/>
          <w:szCs w:val="24"/>
        </w:rPr>
        <w:t xml:space="preserve">Note that the only difference between the VARMA – GARCH and the VARMA – AGARCH model is the inclusion of the leverage effect parenthesis </w:t>
      </w:r>
      <m:oMath>
        <m:sSub>
          <m:sSubPr>
            <m:ctrlPr>
              <w:rPr>
                <w:rFonts w:ascii="Cambria Math" w:hAnsi="Cambria Math"/>
                <w:i/>
                <w:sz w:val="28"/>
                <w:szCs w:val="28"/>
              </w:rPr>
            </m:ctrlPr>
          </m:sSubPr>
          <m:e>
            <m:r>
              <w:rPr>
                <w:rFonts w:ascii="Cambria Math" w:hAnsi="Cambria Math"/>
                <w:sz w:val="28"/>
                <w:szCs w:val="28"/>
              </w:rPr>
              <m:t>ϕ</m:t>
            </m:r>
          </m:e>
          <m:sub>
            <m:r>
              <w:rPr>
                <w:rFonts w:ascii="Cambria Math" w:hAnsi="Cambria Math"/>
                <w:sz w:val="28"/>
                <w:szCs w:val="28"/>
              </w:rPr>
              <m:t>oil</m:t>
            </m:r>
          </m:sub>
        </m:sSub>
      </m:oMath>
      <w:r w:rsidRPr="00E2049E">
        <w:rPr>
          <w:rFonts w:ascii="Times New Roman" w:eastAsia="Times New Roman" w:hAnsi="Times New Roman"/>
          <w:sz w:val="24"/>
          <w:szCs w:val="24"/>
        </w:rPr>
        <w:t xml:space="preserve"> and </w:t>
      </w:r>
      <m:oMath>
        <m:sSub>
          <m:sSubPr>
            <m:ctrlPr>
              <w:rPr>
                <w:rFonts w:ascii="Cambria Math" w:hAnsi="Cambria Math"/>
                <w:i/>
                <w:sz w:val="28"/>
                <w:szCs w:val="28"/>
              </w:rPr>
            </m:ctrlPr>
          </m:sSubPr>
          <m:e>
            <m:r>
              <w:rPr>
                <w:rFonts w:ascii="Cambria Math" w:hAnsi="Cambria Math"/>
                <w:sz w:val="28"/>
                <w:szCs w:val="28"/>
              </w:rPr>
              <m:t>ϕ</m:t>
            </m:r>
          </m:e>
          <m:sub>
            <m:r>
              <w:rPr>
                <w:rFonts w:ascii="Cambria Math" w:hAnsi="Cambria Math"/>
                <w:sz w:val="28"/>
                <w:szCs w:val="28"/>
              </w:rPr>
              <m:t>s</m:t>
            </m:r>
          </m:sub>
        </m:sSub>
      </m:oMath>
      <w:r w:rsidRPr="00E2049E">
        <w:rPr>
          <w:rFonts w:ascii="Times New Roman" w:eastAsia="Times New Roman" w:hAnsi="Times New Roman"/>
          <w:sz w:val="24"/>
          <w:szCs w:val="24"/>
        </w:rPr>
        <w:t xml:space="preserve"> which measure the asymetic impact of volatility of </w:t>
      </w:r>
      <w:r w:rsidRPr="00E2049E">
        <w:rPr>
          <w:rFonts w:ascii="Times New Roman" w:eastAsia="Times New Roman" w:hAnsi="Times New Roman"/>
          <w:sz w:val="24"/>
          <w:szCs w:val="24"/>
        </w:rPr>
        <w:lastRenderedPageBreak/>
        <w:t>oil and stock markets respectively using the i</w:t>
      </w:r>
      <w:proofErr w:type="spellStart"/>
      <w:r w:rsidRPr="00E2049E">
        <w:rPr>
          <w:rFonts w:ascii="Times New Roman" w:eastAsia="Times New Roman" w:hAnsi="Times New Roman"/>
          <w:sz w:val="24"/>
          <w:szCs w:val="24"/>
        </w:rPr>
        <w:t>ndicator</w:t>
      </w:r>
      <w:proofErr w:type="spellEnd"/>
      <w:r w:rsidRPr="00E2049E">
        <w:rPr>
          <w:rFonts w:ascii="Times New Roman" w:eastAsia="Times New Roman" w:hAnsi="Times New Roman"/>
          <w:sz w:val="24"/>
          <w:szCs w:val="24"/>
        </w:rPr>
        <w:t xml:space="preserve"> variable  </w:t>
      </w:r>
      <m:oMath>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oil,t</m:t>
                </m:r>
              </m:sub>
            </m:sSub>
          </m:e>
        </m:d>
      </m:oMath>
      <w:r w:rsidRPr="00E2049E">
        <w:rPr>
          <w:rFonts w:ascii="Times New Roman" w:eastAsia="Times New Roman" w:hAnsi="Times New Roman"/>
          <w:sz w:val="24"/>
          <w:szCs w:val="24"/>
        </w:rPr>
        <w:t xml:space="preserve"> and </w:t>
      </w:r>
      <m:oMath>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st</m:t>
                </m:r>
              </m:sub>
            </m:sSub>
          </m:e>
        </m:d>
      </m:oMath>
      <w:r w:rsidRPr="00E2049E">
        <w:rPr>
          <w:rFonts w:ascii="Times New Roman" w:eastAsia="Times New Roman" w:hAnsi="Times New Roman"/>
          <w:sz w:val="24"/>
          <w:szCs w:val="24"/>
        </w:rPr>
        <w:t xml:space="preserve"> conditioned such that  </w:t>
      </w:r>
      <m:oMath>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oil,t</m:t>
                </m:r>
              </m:sub>
            </m:sSub>
          </m:e>
        </m:d>
        <m:r>
          <w:rPr>
            <w:rFonts w:ascii="Cambria Math" w:hAnsi="Cambria Math"/>
            <w:sz w:val="28"/>
            <w:szCs w:val="28"/>
          </w:rPr>
          <m:t>=1</m:t>
        </m:r>
      </m:oMath>
      <w:r w:rsidRPr="00E2049E">
        <w:rPr>
          <w:rFonts w:ascii="Times New Roman" w:eastAsia="Times New Roman" w:hAnsi="Times New Roman"/>
          <w:sz w:val="24"/>
          <w:szCs w:val="24"/>
        </w:rPr>
        <w:t xml:space="preserve"> for </w:t>
      </w:r>
      <m:oMath>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st</m:t>
                </m:r>
              </m:sub>
            </m:sSub>
          </m:e>
        </m:d>
        <m:r>
          <w:rPr>
            <w:rFonts w:ascii="Cambria Math" w:hAnsi="Cambria Math"/>
            <w:sz w:val="28"/>
            <w:szCs w:val="28"/>
          </w:rPr>
          <m:t>≤0</m:t>
        </m:r>
      </m:oMath>
      <w:r w:rsidRPr="00E2049E">
        <w:rPr>
          <w:rFonts w:ascii="Times New Roman" w:eastAsia="Times New Roman" w:hAnsi="Times New Roman"/>
          <w:sz w:val="24"/>
          <w:szCs w:val="24"/>
        </w:rPr>
        <w:t xml:space="preserve"> and is otherwise, same as </w:t>
      </w:r>
      <m:oMath>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s,t</m:t>
                </m:r>
              </m:sub>
            </m:sSub>
          </m:e>
        </m:d>
        <m:r>
          <w:rPr>
            <w:rFonts w:ascii="Cambria Math" w:hAnsi="Cambria Math"/>
            <w:sz w:val="28"/>
            <w:szCs w:val="28"/>
          </w:rPr>
          <m:t>=1</m:t>
        </m:r>
      </m:oMath>
      <w:r w:rsidRPr="00E2049E">
        <w:rPr>
          <w:rFonts w:ascii="Times New Roman" w:eastAsia="Times New Roman" w:hAnsi="Times New Roman"/>
          <w:sz w:val="24"/>
          <w:szCs w:val="24"/>
        </w:rPr>
        <w:t xml:space="preserve"> when </w:t>
      </w:r>
      <m:oMath>
        <m:r>
          <w:rPr>
            <w:rFonts w:ascii="Cambria Math" w:hAnsi="Cambria Math"/>
            <w:sz w:val="28"/>
            <w:szCs w:val="28"/>
          </w:rPr>
          <m:t>I</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s,t</m:t>
                </m:r>
              </m:sub>
            </m:sSub>
          </m:e>
        </m:d>
        <m:r>
          <w:rPr>
            <w:rFonts w:ascii="Cambria Math" w:hAnsi="Cambria Math"/>
            <w:sz w:val="28"/>
            <w:szCs w:val="28"/>
          </w:rPr>
          <m:t>≤01</m:t>
        </m:r>
      </m:oMath>
      <w:r w:rsidRPr="00E2049E">
        <w:rPr>
          <w:rFonts w:ascii="Times New Roman" w:eastAsia="Times New Roman" w:hAnsi="Times New Roman"/>
          <w:sz w:val="24"/>
          <w:szCs w:val="24"/>
        </w:rPr>
        <w:t xml:space="preserve">. </w:t>
      </w:r>
    </w:p>
    <w:p w14:paraId="21151A48" w14:textId="50236047" w:rsidR="00EE1D4F" w:rsidRPr="00E2049E" w:rsidRDefault="00EE1D4F" w:rsidP="00085DAE">
      <w:pPr>
        <w:spacing w:after="0" w:line="240" w:lineRule="auto"/>
        <w:ind w:right="-180"/>
        <w:rPr>
          <w:rFonts w:ascii="Times New Roman" w:eastAsia="Times New Roman" w:hAnsi="Times New Roman"/>
          <w:sz w:val="24"/>
          <w:szCs w:val="24"/>
        </w:rPr>
      </w:pPr>
      <w:r>
        <w:rPr>
          <w:rFonts w:ascii="Times New Roman" w:eastAsia="Times New Roman" w:hAnsi="Times New Roman"/>
          <w:sz w:val="24"/>
          <w:szCs w:val="24"/>
        </w:rPr>
        <w:t xml:space="preserve">The Covariance Equation which can either </w:t>
      </w:r>
      <w:r w:rsidRPr="00E2049E">
        <w:rPr>
          <w:rFonts w:ascii="Times New Roman" w:eastAsia="Times New Roman" w:hAnsi="Times New Roman"/>
          <w:sz w:val="24"/>
          <w:szCs w:val="24"/>
        </w:rPr>
        <w:t>be dyn</w:t>
      </w:r>
      <w:r>
        <w:rPr>
          <w:rFonts w:ascii="Times New Roman" w:eastAsia="Times New Roman" w:hAnsi="Times New Roman"/>
          <w:sz w:val="24"/>
          <w:szCs w:val="24"/>
        </w:rPr>
        <w:t>amic conditional correlation (DC</w:t>
      </w:r>
      <w:r w:rsidRPr="00E2049E">
        <w:rPr>
          <w:rFonts w:ascii="Times New Roman" w:eastAsia="Times New Roman" w:hAnsi="Times New Roman"/>
          <w:sz w:val="24"/>
          <w:szCs w:val="24"/>
        </w:rPr>
        <w:t xml:space="preserve">C) or constant conditional correlations (CCC) </w:t>
      </w:r>
      <w:r>
        <w:rPr>
          <w:rFonts w:ascii="Times New Roman" w:eastAsia="Times New Roman" w:hAnsi="Times New Roman"/>
          <w:sz w:val="24"/>
          <w:szCs w:val="24"/>
        </w:rPr>
        <w:t>is</w:t>
      </w:r>
      <w:r w:rsidRPr="00E2049E">
        <w:rPr>
          <w:rFonts w:ascii="Times New Roman" w:eastAsia="Times New Roman" w:hAnsi="Times New Roman"/>
          <w:sz w:val="24"/>
          <w:szCs w:val="24"/>
        </w:rPr>
        <w:t xml:space="preserve"> specified as </w:t>
      </w:r>
      <w:r w:rsidR="00961467" w:rsidRPr="00E2049E">
        <w:rPr>
          <w:rFonts w:ascii="Times New Roman" w:eastAsia="Times New Roman" w:hAnsi="Times New Roman"/>
          <w:sz w:val="24"/>
          <w:szCs w:val="24"/>
        </w:rPr>
        <w:t xml:space="preserve">follows: </w:t>
      </w:r>
    </w:p>
    <w:p w14:paraId="419DF7CD" w14:textId="77777777" w:rsidR="00EE1D4F" w:rsidRPr="00E2049E" w:rsidRDefault="00EE1D4F" w:rsidP="00085DAE">
      <w:pPr>
        <w:spacing w:after="0" w:line="240" w:lineRule="auto"/>
        <w:ind w:right="-180"/>
        <w:rPr>
          <w:rFonts w:ascii="Times New Roman" w:eastAsia="Times New Roman" w:hAnsi="Times New Roman"/>
          <w:sz w:val="24"/>
          <w:szCs w:val="24"/>
        </w:rPr>
      </w:pPr>
      <w:r w:rsidRPr="00E2049E">
        <w:rPr>
          <w:rFonts w:ascii="Times New Roman" w:eastAsia="Times New Roman" w:hAnsi="Times New Roman"/>
          <w:sz w:val="24"/>
          <w:szCs w:val="24"/>
        </w:rPr>
        <w:t>First, The CCC model is specified as</w:t>
      </w:r>
    </w:p>
    <w:p w14:paraId="64383D6D" w14:textId="77777777" w:rsidR="00EE1D4F" w:rsidRPr="00E2049E" w:rsidRDefault="00000000" w:rsidP="00085DAE">
      <w:pPr>
        <w:spacing w:after="0" w:line="240" w:lineRule="auto"/>
        <w:ind w:right="-180"/>
        <w:rPr>
          <w:rFonts w:ascii="Times New Roman" w:eastAsia="Times New Roman" w:hAnsi="Times New Roman"/>
          <w:sz w:val="24"/>
          <w:szCs w:val="24"/>
        </w:rPr>
      </w:pPr>
      <m:oMath>
        <m:sSub>
          <m:sSubPr>
            <m:ctrlPr>
              <w:rPr>
                <w:rFonts w:ascii="Cambria Math" w:eastAsia="Times New Roman" w:hAnsi="Cambria Math"/>
                <w:i/>
                <w:sz w:val="28"/>
                <w:szCs w:val="28"/>
              </w:rPr>
            </m:ctrlPr>
          </m:sSubPr>
          <m:e>
            <m:r>
              <w:rPr>
                <w:rFonts w:ascii="Cambria Math" w:eastAsia="Times New Roman" w:hAnsi="Cambria Math"/>
                <w:sz w:val="28"/>
                <w:szCs w:val="28"/>
              </w:rPr>
              <m:t>ρ</m:t>
            </m:r>
          </m:e>
          <m:sub>
            <m:r>
              <w:rPr>
                <w:rFonts w:ascii="Cambria Math" w:eastAsia="Times New Roman" w:hAnsi="Cambria Math"/>
                <w:sz w:val="28"/>
                <w:szCs w:val="28"/>
              </w:rPr>
              <m:t>s,o,t</m:t>
            </m:r>
          </m:sub>
        </m:sSub>
        <m:r>
          <w:rPr>
            <w:rFonts w:ascii="Cambria Math" w:eastAsia="Times New Roman" w:hAnsi="Cambria Math"/>
            <w:sz w:val="28"/>
            <w:szCs w:val="28"/>
          </w:rPr>
          <m:t>=</m:t>
        </m:r>
        <m:sSup>
          <m:sSupPr>
            <m:ctrlPr>
              <w:rPr>
                <w:rFonts w:ascii="Cambria Math" w:eastAsia="Times New Roman" w:hAnsi="Cambria Math"/>
                <w:i/>
                <w:sz w:val="28"/>
                <w:szCs w:val="28"/>
              </w:rPr>
            </m:ctrlPr>
          </m:sSupPr>
          <m:e>
            <m:r>
              <w:rPr>
                <w:rFonts w:ascii="Cambria Math" w:eastAsia="Times New Roman" w:hAnsi="Cambria Math"/>
                <w:sz w:val="28"/>
                <w:szCs w:val="28"/>
              </w:rPr>
              <m:t>ρ</m:t>
            </m:r>
          </m:e>
          <m:sup>
            <m:r>
              <w:rPr>
                <w:rFonts w:ascii="Cambria Math" w:eastAsia="Times New Roman" w:hAnsi="Cambria Math"/>
                <w:sz w:val="28"/>
                <w:szCs w:val="28"/>
              </w:rPr>
              <m:t>so</m:t>
            </m:r>
          </m:sup>
        </m:sSup>
        <m:rad>
          <m:radPr>
            <m:degHide m:val="1"/>
            <m:ctrlPr>
              <w:rPr>
                <w:rFonts w:ascii="Cambria Math" w:eastAsia="Times New Roman" w:hAnsi="Cambria Math"/>
                <w:i/>
                <w:sz w:val="28"/>
                <w:szCs w:val="28"/>
              </w:rPr>
            </m:ctrlPr>
          </m:radPr>
          <m:deg/>
          <m:e>
            <m:sSub>
              <m:sSubPr>
                <m:ctrlPr>
                  <w:rPr>
                    <w:rFonts w:ascii="Cambria Math" w:eastAsia="Times New Roman" w:hAnsi="Cambria Math"/>
                    <w:i/>
                    <w:sz w:val="28"/>
                    <w:szCs w:val="28"/>
                  </w:rPr>
                </m:ctrlPr>
              </m:sSubPr>
              <m:e>
                <m:r>
                  <w:rPr>
                    <w:rFonts w:ascii="Cambria Math" w:eastAsia="Times New Roman" w:hAnsi="Cambria Math"/>
                    <w:sz w:val="28"/>
                    <w:szCs w:val="28"/>
                  </w:rPr>
                  <m:t>h</m:t>
                </m:r>
              </m:e>
              <m:sub>
                <m:r>
                  <w:rPr>
                    <w:rFonts w:ascii="Cambria Math" w:eastAsia="Times New Roman" w:hAnsi="Cambria Math"/>
                    <w:sz w:val="28"/>
                    <w:szCs w:val="28"/>
                  </w:rPr>
                  <m:t>st</m:t>
                </m:r>
              </m:sub>
            </m:sSub>
            <m:r>
              <w:rPr>
                <w:rFonts w:ascii="Cambria Math" w:eastAsia="Times New Roman" w:hAnsi="Cambria Math"/>
                <w:sz w:val="28"/>
                <w:szCs w:val="28"/>
              </w:rPr>
              <m:t>,</m:t>
            </m:r>
          </m:e>
        </m:rad>
        <m:rad>
          <m:radPr>
            <m:degHide m:val="1"/>
            <m:ctrlPr>
              <w:rPr>
                <w:rFonts w:ascii="Cambria Math" w:eastAsia="Times New Roman" w:hAnsi="Cambria Math"/>
                <w:i/>
                <w:sz w:val="28"/>
                <w:szCs w:val="28"/>
              </w:rPr>
            </m:ctrlPr>
          </m:radPr>
          <m:deg/>
          <m:e>
            <m:sSub>
              <m:sSubPr>
                <m:ctrlPr>
                  <w:rPr>
                    <w:rFonts w:ascii="Cambria Math" w:eastAsia="Times New Roman" w:hAnsi="Cambria Math"/>
                    <w:i/>
                    <w:sz w:val="28"/>
                    <w:szCs w:val="28"/>
                  </w:rPr>
                </m:ctrlPr>
              </m:sSubPr>
              <m:e>
                <m:r>
                  <w:rPr>
                    <w:rFonts w:ascii="Cambria Math" w:eastAsia="Times New Roman" w:hAnsi="Cambria Math"/>
                    <w:sz w:val="28"/>
                    <w:szCs w:val="28"/>
                  </w:rPr>
                  <m:t>h</m:t>
                </m:r>
              </m:e>
              <m:sub>
                <m:r>
                  <w:rPr>
                    <w:rFonts w:ascii="Cambria Math" w:eastAsia="Times New Roman" w:hAnsi="Cambria Math"/>
                    <w:sz w:val="28"/>
                    <w:szCs w:val="28"/>
                  </w:rPr>
                  <m:t>ot</m:t>
                </m:r>
              </m:sub>
            </m:sSub>
          </m:e>
        </m:rad>
      </m:oMath>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Pr>
          <w:rFonts w:ascii="Times New Roman" w:eastAsia="Times New Roman" w:hAnsi="Times New Roman"/>
          <w:sz w:val="24"/>
          <w:szCs w:val="24"/>
        </w:rPr>
        <w:tab/>
      </w:r>
      <w:r w:rsidR="00EE1D4F">
        <w:rPr>
          <w:rFonts w:ascii="Times New Roman" w:eastAsia="Times New Roman" w:hAnsi="Times New Roman"/>
          <w:sz w:val="24"/>
          <w:szCs w:val="24"/>
        </w:rPr>
        <w:tab/>
      </w:r>
      <w:r w:rsidR="00EE1D4F">
        <w:rPr>
          <w:rFonts w:ascii="Times New Roman" w:eastAsia="Times New Roman" w:hAnsi="Times New Roman"/>
          <w:sz w:val="24"/>
          <w:szCs w:val="24"/>
        </w:rPr>
        <w:tab/>
      </w:r>
      <w:r w:rsidR="00EE1D4F">
        <w:rPr>
          <w:rFonts w:ascii="Times New Roman" w:eastAsia="Times New Roman" w:hAnsi="Times New Roman"/>
          <w:sz w:val="24"/>
          <w:szCs w:val="24"/>
        </w:rPr>
        <w:tab/>
      </w:r>
      <w:r w:rsidR="00EE1D4F" w:rsidRPr="00E2049E">
        <w:rPr>
          <w:rFonts w:ascii="Times New Roman" w:eastAsia="Times New Roman" w:hAnsi="Times New Roman"/>
          <w:b/>
          <w:bCs/>
          <w:sz w:val="24"/>
          <w:szCs w:val="24"/>
        </w:rPr>
        <w:t>3.</w:t>
      </w:r>
      <w:r w:rsidR="00EE1D4F">
        <w:rPr>
          <w:rFonts w:ascii="Times New Roman" w:eastAsia="Times New Roman" w:hAnsi="Times New Roman"/>
          <w:b/>
          <w:bCs/>
          <w:sz w:val="24"/>
          <w:szCs w:val="24"/>
        </w:rPr>
        <w:t>4</w:t>
      </w:r>
    </w:p>
    <w:p w14:paraId="5C996326" w14:textId="77777777" w:rsidR="00EE1D4F" w:rsidRPr="001562F9" w:rsidRDefault="00EE1D4F" w:rsidP="00085DAE">
      <w:pPr>
        <w:spacing w:line="240" w:lineRule="auto"/>
        <w:ind w:right="-180"/>
        <w:rPr>
          <w:rFonts w:ascii="Times New Roman" w:eastAsia="Times New Roman" w:hAnsi="Times New Roman"/>
          <w:b/>
          <w:bCs/>
          <w:sz w:val="4"/>
          <w:szCs w:val="24"/>
        </w:rPr>
      </w:pPr>
    </w:p>
    <w:p w14:paraId="037D9FDF" w14:textId="5714EAED" w:rsidR="00EE1D4F" w:rsidRPr="00E2049E" w:rsidRDefault="00EE1D4F" w:rsidP="00085DAE">
      <w:pPr>
        <w:spacing w:after="0" w:line="240" w:lineRule="auto"/>
        <w:ind w:right="-180"/>
        <w:rPr>
          <w:rFonts w:ascii="Times New Roman" w:eastAsia="Times New Roman" w:hAnsi="Times New Roman"/>
          <w:b/>
          <w:bCs/>
          <w:sz w:val="24"/>
          <w:szCs w:val="24"/>
        </w:rPr>
      </w:pPr>
      <w:r w:rsidRPr="00E2049E">
        <w:rPr>
          <w:rFonts w:ascii="Times New Roman" w:eastAsia="Times New Roman" w:hAnsi="Times New Roman"/>
          <w:b/>
          <w:bCs/>
          <w:sz w:val="24"/>
          <w:szCs w:val="24"/>
        </w:rPr>
        <w:t>Where</w:t>
      </w:r>
      <w:r w:rsidR="009A2413">
        <w:rPr>
          <w:rFonts w:ascii="Times New Roman" w:eastAsia="Times New Roman" w:hAnsi="Times New Roman"/>
          <w:b/>
          <w:bCs/>
          <w:sz w:val="24"/>
          <w:szCs w:val="24"/>
        </w:rPr>
        <w:t>;</w:t>
      </w:r>
    </w:p>
    <w:p w14:paraId="056AD32E" w14:textId="77777777" w:rsidR="00EE1D4F" w:rsidRPr="00E2049E" w:rsidRDefault="00000000" w:rsidP="00085DAE">
      <w:pPr>
        <w:spacing w:after="0" w:line="240" w:lineRule="auto"/>
        <w:ind w:right="-180"/>
        <w:rPr>
          <w:rFonts w:ascii="Times New Roman" w:eastAsia="Times New Roman" w:hAnsi="Times New Roman"/>
          <w:sz w:val="24"/>
          <w:szCs w:val="24"/>
        </w:rPr>
      </w:pPr>
      <m:oMath>
        <m:sSup>
          <m:sSupPr>
            <m:ctrlPr>
              <w:rPr>
                <w:rFonts w:ascii="Cambria Math" w:eastAsia="Times New Roman" w:hAnsi="Cambria Math"/>
                <w:i/>
                <w:sz w:val="28"/>
                <w:szCs w:val="28"/>
              </w:rPr>
            </m:ctrlPr>
          </m:sSupPr>
          <m:e>
            <m:r>
              <w:rPr>
                <w:rFonts w:ascii="Cambria Math" w:eastAsia="Times New Roman" w:hAnsi="Cambria Math"/>
                <w:sz w:val="28"/>
                <w:szCs w:val="28"/>
              </w:rPr>
              <m:t>ρ</m:t>
            </m:r>
          </m:e>
          <m:sup>
            <m:r>
              <w:rPr>
                <w:rFonts w:ascii="Cambria Math" w:eastAsia="Times New Roman" w:hAnsi="Cambria Math"/>
                <w:sz w:val="28"/>
                <w:szCs w:val="28"/>
              </w:rPr>
              <m:t>so</m:t>
            </m:r>
          </m:sup>
        </m:sSup>
      </m:oMath>
      <w:r w:rsidR="00EE1D4F" w:rsidRPr="00E2049E">
        <w:rPr>
          <w:rFonts w:ascii="Times New Roman" w:eastAsia="Times New Roman" w:hAnsi="Times New Roman"/>
          <w:sz w:val="24"/>
          <w:szCs w:val="24"/>
        </w:rPr>
        <w:t xml:space="preserve"> is constant conditio</w:t>
      </w:r>
      <w:proofErr w:type="spellStart"/>
      <w:r w:rsidR="00EE1D4F">
        <w:rPr>
          <w:rFonts w:ascii="Times New Roman" w:eastAsia="Times New Roman" w:hAnsi="Times New Roman"/>
          <w:sz w:val="24"/>
          <w:szCs w:val="24"/>
        </w:rPr>
        <w:t>nal</w:t>
      </w:r>
      <w:proofErr w:type="spellEnd"/>
      <w:r w:rsidR="00EE1D4F">
        <w:rPr>
          <w:rFonts w:ascii="Times New Roman" w:eastAsia="Times New Roman" w:hAnsi="Times New Roman"/>
          <w:sz w:val="24"/>
          <w:szCs w:val="24"/>
        </w:rPr>
        <w:t xml:space="preserve"> correlation between stock </w:t>
      </w:r>
      <w:r w:rsidR="00EE1D4F" w:rsidRPr="00E2049E">
        <w:rPr>
          <w:rFonts w:ascii="Times New Roman" w:eastAsia="Times New Roman" w:hAnsi="Times New Roman"/>
          <w:sz w:val="24"/>
          <w:szCs w:val="24"/>
        </w:rPr>
        <w:t xml:space="preserve">and oil </w:t>
      </w:r>
      <w:r w:rsidR="00EE1D4F">
        <w:rPr>
          <w:rFonts w:ascii="Times New Roman" w:eastAsia="Times New Roman" w:hAnsi="Times New Roman"/>
          <w:sz w:val="24"/>
          <w:szCs w:val="24"/>
        </w:rPr>
        <w:t xml:space="preserve">price </w:t>
      </w:r>
      <w:r w:rsidR="00EE1D4F" w:rsidRPr="00E2049E">
        <w:rPr>
          <w:rFonts w:ascii="Times New Roman" w:eastAsia="Times New Roman" w:hAnsi="Times New Roman"/>
          <w:sz w:val="24"/>
          <w:szCs w:val="24"/>
        </w:rPr>
        <w:t xml:space="preserve">returns. </w:t>
      </w:r>
    </w:p>
    <w:p w14:paraId="6E3442C8" w14:textId="77777777" w:rsidR="00EE1D4F" w:rsidRDefault="00EE1D4F" w:rsidP="00085DAE">
      <w:pPr>
        <w:spacing w:after="0" w:line="240" w:lineRule="auto"/>
        <w:ind w:right="-180"/>
        <w:rPr>
          <w:rFonts w:ascii="Times New Roman" w:eastAsia="Times New Roman" w:hAnsi="Times New Roman"/>
          <w:sz w:val="24"/>
          <w:szCs w:val="24"/>
        </w:rPr>
      </w:pPr>
      <w:r w:rsidRPr="00E2049E">
        <w:rPr>
          <w:rFonts w:ascii="Times New Roman" w:eastAsia="Times New Roman" w:hAnsi="Times New Roman"/>
          <w:sz w:val="24"/>
          <w:szCs w:val="24"/>
        </w:rPr>
        <w:t>Secondly the Direct Conditional Coloration (DCC) between the stock and oil market returns is specified as:</w:t>
      </w:r>
    </w:p>
    <w:p w14:paraId="65F2DFE6" w14:textId="77777777" w:rsidR="00EE1D4F" w:rsidRDefault="00EE1D4F" w:rsidP="00085DAE">
      <w:pPr>
        <w:spacing w:after="0" w:line="240" w:lineRule="auto"/>
        <w:ind w:right="-180"/>
        <w:rPr>
          <w:rFonts w:ascii="Times New Roman" w:eastAsia="Times New Roman" w:hAnsi="Times New Roman"/>
          <w:b/>
          <w:bCs/>
          <w:sz w:val="24"/>
          <w:szCs w:val="24"/>
        </w:rPr>
      </w:pPr>
      <m:oMath>
        <m:r>
          <w:rPr>
            <w:rFonts w:ascii="Cambria Math" w:eastAsia="Times New Roman" w:hAnsi="Cambria Math"/>
            <w:sz w:val="28"/>
            <w:szCs w:val="28"/>
          </w:rPr>
          <m:t>Q=</m:t>
        </m:r>
        <m:d>
          <m:dPr>
            <m:ctrlPr>
              <w:rPr>
                <w:rFonts w:ascii="Cambria Math" w:eastAsia="Times New Roman" w:hAnsi="Cambria Math"/>
                <w:i/>
                <w:sz w:val="28"/>
                <w:szCs w:val="28"/>
              </w:rPr>
            </m:ctrlPr>
          </m:dPr>
          <m:e>
            <m:r>
              <w:rPr>
                <w:rFonts w:ascii="Cambria Math" w:eastAsia="Times New Roman" w:hAnsi="Cambria Math"/>
                <w:sz w:val="28"/>
                <w:szCs w:val="28"/>
              </w:rPr>
              <m:t>1-</m:t>
            </m:r>
            <m:sSub>
              <m:sSubPr>
                <m:ctrlPr>
                  <w:rPr>
                    <w:rFonts w:ascii="Cambria Math" w:eastAsia="Times New Roman" w:hAnsi="Cambria Math"/>
                    <w:i/>
                    <w:sz w:val="28"/>
                    <w:szCs w:val="28"/>
                  </w:rPr>
                </m:ctrlPr>
              </m:sSubPr>
              <m:e>
                <m:r>
                  <w:rPr>
                    <w:rFonts w:ascii="Cambria Math" w:eastAsia="Times New Roman" w:hAnsi="Cambria Math"/>
                    <w:sz w:val="28"/>
                    <w:szCs w:val="28"/>
                  </w:rPr>
                  <m:t>л</m:t>
                </m:r>
              </m:e>
              <m:sub>
                <m:r>
                  <w:rPr>
                    <w:rFonts w:ascii="Cambria Math" w:eastAsia="Times New Roman" w:hAnsi="Cambria Math"/>
                    <w:sz w:val="28"/>
                    <w:szCs w:val="28"/>
                  </w:rPr>
                  <m:t>1</m:t>
                </m:r>
              </m:sub>
            </m:sSub>
            <m:r>
              <w:rPr>
                <w:rFonts w:ascii="Cambria Math" w:eastAsia="Times New Roman" w:hAnsi="Cambria Math"/>
                <w:sz w:val="28"/>
                <w:szCs w:val="28"/>
              </w:rPr>
              <m:t>-</m:t>
            </m:r>
            <m:sSub>
              <m:sSubPr>
                <m:ctrlPr>
                  <w:rPr>
                    <w:rFonts w:ascii="Cambria Math" w:eastAsia="Times New Roman" w:hAnsi="Cambria Math"/>
                    <w:i/>
                    <w:sz w:val="28"/>
                    <w:szCs w:val="28"/>
                  </w:rPr>
                </m:ctrlPr>
              </m:sSubPr>
              <m:e>
                <m:r>
                  <w:rPr>
                    <w:rFonts w:ascii="Cambria Math" w:eastAsia="Times New Roman" w:hAnsi="Cambria Math"/>
                    <w:sz w:val="28"/>
                    <w:szCs w:val="28"/>
                  </w:rPr>
                  <m:t>л</m:t>
                </m:r>
              </m:e>
              <m:sub>
                <m:r>
                  <w:rPr>
                    <w:rFonts w:ascii="Cambria Math" w:eastAsia="Times New Roman" w:hAnsi="Cambria Math"/>
                    <w:sz w:val="28"/>
                    <w:szCs w:val="28"/>
                  </w:rPr>
                  <m:t>2</m:t>
                </m:r>
              </m:sub>
            </m:sSub>
          </m:e>
        </m:d>
        <m:sSub>
          <m:sSubPr>
            <m:ctrlPr>
              <w:rPr>
                <w:rFonts w:ascii="Cambria Math" w:eastAsia="Times New Roman" w:hAnsi="Cambria Math"/>
                <w:i/>
                <w:sz w:val="28"/>
                <w:szCs w:val="28"/>
              </w:rPr>
            </m:ctrlPr>
          </m:sSubPr>
          <m:e>
            <m:r>
              <w:rPr>
                <w:rFonts w:ascii="Cambria Math" w:eastAsia="Times New Roman" w:hAnsi="Cambria Math"/>
                <w:sz w:val="28"/>
                <w:szCs w:val="28"/>
              </w:rPr>
              <m:t>Q</m:t>
            </m:r>
          </m:e>
          <m:sub>
            <m:r>
              <w:rPr>
                <w:rFonts w:ascii="Cambria Math" w:eastAsia="Times New Roman" w:hAnsi="Cambria Math"/>
                <w:sz w:val="28"/>
                <w:szCs w:val="28"/>
              </w:rPr>
              <m:t>O</m:t>
            </m:r>
          </m:sub>
        </m:sSub>
        <m:r>
          <w:rPr>
            <w:rFonts w:ascii="Cambria Math" w:eastAsia="Times New Roman" w:hAnsi="Cambria Math"/>
            <w:sz w:val="28"/>
            <w:szCs w:val="28"/>
          </w:rPr>
          <m:t>+</m:t>
        </m:r>
        <m:sSub>
          <m:sSubPr>
            <m:ctrlPr>
              <w:rPr>
                <w:rFonts w:ascii="Cambria Math" w:eastAsia="Times New Roman" w:hAnsi="Cambria Math"/>
                <w:i/>
                <w:sz w:val="28"/>
                <w:szCs w:val="28"/>
              </w:rPr>
            </m:ctrlPr>
          </m:sSubPr>
          <m:e>
            <m:r>
              <w:rPr>
                <w:rFonts w:ascii="Cambria Math" w:eastAsia="Times New Roman" w:hAnsi="Cambria Math"/>
                <w:sz w:val="28"/>
                <w:szCs w:val="28"/>
              </w:rPr>
              <m:t>л</m:t>
            </m:r>
          </m:e>
          <m:sub>
            <m:r>
              <w:rPr>
                <w:rFonts w:ascii="Cambria Math" w:eastAsia="Times New Roman" w:hAnsi="Cambria Math"/>
                <w:sz w:val="28"/>
                <w:szCs w:val="28"/>
              </w:rPr>
              <m:t>1</m:t>
            </m:r>
          </m:sub>
        </m:sSub>
        <m:sSub>
          <m:sSubPr>
            <m:ctrlPr>
              <w:rPr>
                <w:rFonts w:ascii="Cambria Math" w:eastAsia="Times New Roman" w:hAnsi="Cambria Math"/>
                <w:i/>
                <w:sz w:val="28"/>
                <w:szCs w:val="28"/>
              </w:rPr>
            </m:ctrlPr>
          </m:sSubPr>
          <m:e>
            <m:r>
              <w:rPr>
                <w:rFonts w:ascii="Cambria Math" w:eastAsia="Times New Roman" w:hAnsi="Cambria Math"/>
                <w:sz w:val="28"/>
                <w:szCs w:val="28"/>
              </w:rPr>
              <m:t>n</m:t>
            </m:r>
          </m:e>
          <m:sub>
            <m:r>
              <w:rPr>
                <w:rFonts w:ascii="Cambria Math" w:eastAsia="Times New Roman" w:hAnsi="Cambria Math"/>
                <w:sz w:val="28"/>
                <w:szCs w:val="28"/>
              </w:rPr>
              <m:t>t-1</m:t>
            </m:r>
          </m:sub>
        </m:sSub>
        <m:sSubSup>
          <m:sSubSupPr>
            <m:ctrlPr>
              <w:rPr>
                <w:rFonts w:ascii="Cambria Math" w:eastAsia="Times New Roman" w:hAnsi="Cambria Math"/>
                <w:i/>
                <w:sz w:val="28"/>
                <w:szCs w:val="28"/>
              </w:rPr>
            </m:ctrlPr>
          </m:sSubSupPr>
          <m:e>
            <m:r>
              <w:rPr>
                <w:rFonts w:ascii="Cambria Math" w:eastAsia="Times New Roman" w:hAnsi="Cambria Math"/>
                <w:sz w:val="28"/>
                <w:szCs w:val="28"/>
              </w:rPr>
              <m:t>n</m:t>
            </m:r>
          </m:e>
          <m:sub>
            <m:r>
              <w:rPr>
                <w:rFonts w:ascii="Cambria Math" w:eastAsia="Times New Roman" w:hAnsi="Cambria Math"/>
                <w:sz w:val="28"/>
                <w:szCs w:val="28"/>
              </w:rPr>
              <m:t>t-1</m:t>
            </m:r>
          </m:sub>
          <m:sup>
            <m:r>
              <w:rPr>
                <w:rFonts w:ascii="Cambria Math" w:eastAsia="Times New Roman" w:hAnsi="Cambria Math"/>
                <w:sz w:val="28"/>
                <w:szCs w:val="28"/>
              </w:rPr>
              <m:t>1</m:t>
            </m:r>
          </m:sup>
        </m:sSubSup>
        <m:r>
          <w:rPr>
            <w:rFonts w:ascii="Cambria Math" w:eastAsia="Times New Roman" w:hAnsi="Cambria Math"/>
            <w:sz w:val="28"/>
            <w:szCs w:val="28"/>
          </w:rPr>
          <m:t>+</m:t>
        </m:r>
        <m:sSub>
          <m:sSubPr>
            <m:ctrlPr>
              <w:rPr>
                <w:rFonts w:ascii="Cambria Math" w:eastAsia="Times New Roman" w:hAnsi="Cambria Math"/>
                <w:i/>
                <w:sz w:val="28"/>
                <w:szCs w:val="28"/>
              </w:rPr>
            </m:ctrlPr>
          </m:sSubPr>
          <m:e>
            <m:r>
              <w:rPr>
                <w:rFonts w:ascii="Cambria Math" w:eastAsia="Times New Roman" w:hAnsi="Cambria Math"/>
                <w:sz w:val="28"/>
                <w:szCs w:val="28"/>
              </w:rPr>
              <m:t>л</m:t>
            </m:r>
          </m:e>
          <m:sub>
            <m:r>
              <w:rPr>
                <w:rFonts w:ascii="Cambria Math" w:eastAsia="Times New Roman" w:hAnsi="Cambria Math"/>
                <w:sz w:val="28"/>
                <w:szCs w:val="28"/>
              </w:rPr>
              <m:t>2</m:t>
            </m:r>
          </m:sub>
        </m:sSub>
        <m:sSub>
          <m:sSubPr>
            <m:ctrlPr>
              <w:rPr>
                <w:rFonts w:ascii="Cambria Math" w:eastAsia="Times New Roman" w:hAnsi="Cambria Math"/>
                <w:i/>
                <w:sz w:val="28"/>
                <w:szCs w:val="28"/>
              </w:rPr>
            </m:ctrlPr>
          </m:sSubPr>
          <m:e>
            <m:r>
              <w:rPr>
                <w:rFonts w:ascii="Cambria Math" w:eastAsia="Times New Roman" w:hAnsi="Cambria Math"/>
                <w:sz w:val="28"/>
                <w:szCs w:val="28"/>
              </w:rPr>
              <m:t>Q</m:t>
            </m:r>
          </m:e>
          <m:sub>
            <m:r>
              <w:rPr>
                <w:rFonts w:ascii="Cambria Math" w:eastAsia="Times New Roman" w:hAnsi="Cambria Math"/>
                <w:sz w:val="28"/>
                <w:szCs w:val="28"/>
              </w:rPr>
              <m:t>t-1</m:t>
            </m:r>
          </m:sub>
        </m:sSub>
      </m:oMath>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Pr>
          <w:rFonts w:ascii="Times New Roman" w:eastAsia="Times New Roman" w:hAnsi="Times New Roman"/>
          <w:b/>
          <w:bCs/>
          <w:sz w:val="24"/>
          <w:szCs w:val="24"/>
        </w:rPr>
        <w:t>3.5</w:t>
      </w:r>
    </w:p>
    <w:p w14:paraId="31847477" w14:textId="77777777" w:rsidR="001562F9" w:rsidRPr="001562F9" w:rsidRDefault="001562F9" w:rsidP="00085DAE">
      <w:pPr>
        <w:spacing w:after="0" w:line="240" w:lineRule="auto"/>
        <w:ind w:right="-180"/>
        <w:rPr>
          <w:rFonts w:ascii="Times New Roman" w:eastAsia="Times New Roman" w:hAnsi="Times New Roman"/>
          <w:b/>
          <w:bCs/>
          <w:sz w:val="16"/>
          <w:szCs w:val="24"/>
        </w:rPr>
      </w:pPr>
    </w:p>
    <w:p w14:paraId="4174C103" w14:textId="588578BD" w:rsidR="005C4EEF" w:rsidRPr="00E2049E" w:rsidRDefault="00EE1D4F" w:rsidP="00085DAE">
      <w:pPr>
        <w:spacing w:line="240" w:lineRule="auto"/>
        <w:ind w:right="-180"/>
        <w:rPr>
          <w:rFonts w:ascii="Times New Roman" w:eastAsia="Times New Roman" w:hAnsi="Times New Roman"/>
          <w:b/>
          <w:bCs/>
          <w:sz w:val="24"/>
          <w:szCs w:val="24"/>
        </w:rPr>
      </w:pPr>
      <w:r w:rsidRPr="00E2049E">
        <w:rPr>
          <w:rFonts w:ascii="Times New Roman" w:eastAsia="Times New Roman" w:hAnsi="Times New Roman"/>
          <w:b/>
          <w:bCs/>
          <w:sz w:val="24"/>
          <w:szCs w:val="24"/>
        </w:rPr>
        <w:t>Where</w:t>
      </w:r>
      <w:r w:rsidR="009A2413">
        <w:rPr>
          <w:rFonts w:ascii="Times New Roman" w:eastAsia="Times New Roman" w:hAnsi="Times New Roman"/>
          <w:b/>
          <w:bCs/>
          <w:sz w:val="24"/>
          <w:szCs w:val="24"/>
        </w:rPr>
        <w:t>;</w:t>
      </w:r>
    </w:p>
    <w:p w14:paraId="371D6A61" w14:textId="77777777" w:rsidR="00EE1D4F" w:rsidRPr="00E2049E" w:rsidRDefault="00000000" w:rsidP="00085DAE">
      <w:pPr>
        <w:spacing w:line="240" w:lineRule="auto"/>
        <w:ind w:right="-180"/>
        <w:rPr>
          <w:rFonts w:ascii="Times New Roman" w:eastAsia="Times New Roman" w:hAnsi="Times New Roman"/>
          <w:sz w:val="24"/>
          <w:szCs w:val="24"/>
        </w:rPr>
      </w:pPr>
      <m:oMathPara>
        <m:oMathParaPr>
          <m:jc m:val="left"/>
        </m:oMathParaPr>
        <m:oMath>
          <m:sSub>
            <m:sSubPr>
              <m:ctrlPr>
                <w:rPr>
                  <w:rFonts w:ascii="Cambria Math" w:eastAsia="Times New Roman" w:hAnsi="Cambria Math"/>
                  <w:i/>
                  <w:sz w:val="28"/>
                  <w:szCs w:val="28"/>
                </w:rPr>
              </m:ctrlPr>
            </m:sSubPr>
            <m:e>
              <m:r>
                <w:rPr>
                  <w:rFonts w:ascii="Cambria Math" w:eastAsia="Times New Roman" w:hAnsi="Cambria Math"/>
                  <w:sz w:val="28"/>
                  <w:szCs w:val="28"/>
                </w:rPr>
                <m:t>n</m:t>
              </m:r>
            </m:e>
            <m:sub>
              <m:r>
                <w:rPr>
                  <w:rFonts w:ascii="Cambria Math" w:eastAsia="Times New Roman" w:hAnsi="Cambria Math"/>
                  <w:sz w:val="28"/>
                  <w:szCs w:val="28"/>
                </w:rPr>
                <m:t>t-1</m:t>
              </m:r>
            </m:sub>
          </m:sSub>
          <m:r>
            <w:rPr>
              <w:rFonts w:ascii="Cambria Math" w:eastAsia="Times New Roman" w:hAnsi="Cambria Math"/>
              <w:sz w:val="28"/>
              <w:szCs w:val="28"/>
            </w:rPr>
            <m:t>=</m:t>
          </m:r>
          <m:d>
            <m:dPr>
              <m:begChr m:val="["/>
              <m:endChr m:val="]"/>
              <m:ctrlPr>
                <w:rPr>
                  <w:rFonts w:ascii="Cambria Math" w:eastAsia="Times New Roman" w:hAnsi="Cambria Math"/>
                  <w:i/>
                  <w:sz w:val="28"/>
                  <w:szCs w:val="28"/>
                </w:rPr>
              </m:ctrlPr>
            </m:dPr>
            <m:e>
              <m:f>
                <m:fPr>
                  <m:type m:val="lin"/>
                  <m:ctrlPr>
                    <w:rPr>
                      <w:rFonts w:ascii="Cambria Math" w:eastAsia="Times New Roman" w:hAnsi="Cambria Math"/>
                      <w:i/>
                      <w:sz w:val="28"/>
                      <w:szCs w:val="28"/>
                    </w:rPr>
                  </m:ctrlPr>
                </m:fPr>
                <m:num>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oil t-1</m:t>
                      </m:r>
                    </m:sub>
                  </m:sSub>
                </m:num>
                <m:den>
                  <m:rad>
                    <m:radPr>
                      <m:degHide m:val="1"/>
                      <m:ctrlPr>
                        <w:rPr>
                          <w:rFonts w:ascii="Cambria Math" w:hAnsi="Cambria Math"/>
                          <w:i/>
                          <w:sz w:val="28"/>
                          <w:szCs w:val="28"/>
                        </w:rPr>
                      </m:ctrlPr>
                    </m:radPr>
                    <m:deg/>
                    <m:e>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oil t-1</m:t>
                          </m:r>
                        </m:sub>
                      </m:sSub>
                    </m:e>
                  </m:rad>
                </m:den>
              </m:f>
              <m:f>
                <m:fPr>
                  <m:type m:val="lin"/>
                  <m:ctrlPr>
                    <w:rPr>
                      <w:rFonts w:ascii="Cambria Math" w:eastAsia="Times New Roman" w:hAnsi="Cambria Math"/>
                      <w:i/>
                      <w:sz w:val="28"/>
                      <w:szCs w:val="28"/>
                    </w:rPr>
                  </m:ctrlPr>
                </m:fPr>
                <m:num>
                  <m:sSub>
                    <m:sSubPr>
                      <m:ctrlPr>
                        <w:rPr>
                          <w:rFonts w:ascii="Cambria Math" w:hAnsi="Cambria Math"/>
                          <w:i/>
                          <w:sz w:val="28"/>
                          <w:szCs w:val="28"/>
                        </w:rPr>
                      </m:ctrlPr>
                    </m:sSubPr>
                    <m:e>
                      <m:r>
                        <w:rPr>
                          <w:rFonts w:ascii="Cambria Math" w:hAnsi="Cambria Math"/>
                          <w:sz w:val="28"/>
                          <w:szCs w:val="28"/>
                        </w:rPr>
                        <m:t>ε</m:t>
                      </m:r>
                    </m:e>
                    <m:sub>
                      <m:r>
                        <w:rPr>
                          <w:rFonts w:ascii="Cambria Math" w:hAnsi="Cambria Math"/>
                          <w:sz w:val="28"/>
                          <w:szCs w:val="28"/>
                        </w:rPr>
                        <m:t>st-1</m:t>
                      </m:r>
                    </m:sub>
                  </m:sSub>
                </m:num>
                <m:den>
                  <m:rad>
                    <m:radPr>
                      <m:degHide m:val="1"/>
                      <m:ctrlPr>
                        <w:rPr>
                          <w:rFonts w:ascii="Cambria Math" w:hAnsi="Cambria Math"/>
                          <w:i/>
                          <w:sz w:val="28"/>
                          <w:szCs w:val="28"/>
                        </w:rPr>
                      </m:ctrlPr>
                    </m:radPr>
                    <m:deg/>
                    <m:e>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st-1</m:t>
                          </m:r>
                        </m:sub>
                      </m:sSub>
                    </m:e>
                  </m:rad>
                </m:den>
              </m:f>
            </m:e>
          </m:d>
        </m:oMath>
      </m:oMathPara>
    </w:p>
    <w:p w14:paraId="7E86E05A" w14:textId="77777777" w:rsidR="00EE1D4F" w:rsidRPr="00E2049E" w:rsidRDefault="00EE1D4F" w:rsidP="00085DAE">
      <w:pPr>
        <w:spacing w:line="240" w:lineRule="auto"/>
        <w:ind w:right="-180"/>
        <w:rPr>
          <w:rFonts w:ascii="Times New Roman" w:eastAsia="Times New Roman" w:hAnsi="Times New Roman"/>
          <w:sz w:val="24"/>
          <w:szCs w:val="24"/>
        </w:rPr>
      </w:pPr>
      <w:r w:rsidRPr="00E2049E">
        <w:rPr>
          <w:rFonts w:ascii="Times New Roman" w:eastAsia="Times New Roman" w:hAnsi="Times New Roman"/>
          <w:sz w:val="24"/>
          <w:szCs w:val="24"/>
        </w:rPr>
        <w:t xml:space="preserve">The </w:t>
      </w:r>
      <m:oMath>
        <m:sSub>
          <m:sSubPr>
            <m:ctrlPr>
              <w:rPr>
                <w:rFonts w:ascii="Cambria Math" w:eastAsia="Times New Roman" w:hAnsi="Cambria Math"/>
                <w:i/>
                <w:sz w:val="28"/>
                <w:szCs w:val="28"/>
              </w:rPr>
            </m:ctrlPr>
          </m:sSubPr>
          <m:e>
            <m:r>
              <w:rPr>
                <w:rFonts w:ascii="Cambria Math" w:eastAsia="Times New Roman" w:hAnsi="Cambria Math"/>
                <w:sz w:val="28"/>
                <w:szCs w:val="28"/>
              </w:rPr>
              <m:t>л</m:t>
            </m:r>
          </m:e>
          <m:sub>
            <m:r>
              <w:rPr>
                <w:rFonts w:ascii="Cambria Math" w:eastAsia="Times New Roman" w:hAnsi="Cambria Math"/>
                <w:sz w:val="28"/>
                <w:szCs w:val="28"/>
              </w:rPr>
              <m:t>1</m:t>
            </m:r>
          </m:sub>
        </m:sSub>
      </m:oMath>
      <w:r w:rsidRPr="00E2049E">
        <w:rPr>
          <w:rFonts w:ascii="Times New Roman" w:eastAsia="Times New Roman" w:hAnsi="Times New Roman"/>
          <w:sz w:val="24"/>
          <w:szCs w:val="24"/>
        </w:rPr>
        <w:t xml:space="preserve"> and </w:t>
      </w:r>
      <m:oMath>
        <m:sSub>
          <m:sSubPr>
            <m:ctrlPr>
              <w:rPr>
                <w:rFonts w:ascii="Cambria Math" w:eastAsia="Times New Roman" w:hAnsi="Cambria Math"/>
                <w:i/>
                <w:sz w:val="28"/>
                <w:szCs w:val="28"/>
              </w:rPr>
            </m:ctrlPr>
          </m:sSubPr>
          <m:e>
            <m:r>
              <w:rPr>
                <w:rFonts w:ascii="Cambria Math" w:eastAsia="Times New Roman" w:hAnsi="Cambria Math"/>
                <w:sz w:val="28"/>
                <w:szCs w:val="28"/>
              </w:rPr>
              <m:t>л</m:t>
            </m:r>
          </m:e>
          <m:sub>
            <m:r>
              <w:rPr>
                <w:rFonts w:ascii="Cambria Math" w:eastAsia="Times New Roman" w:hAnsi="Cambria Math"/>
                <w:sz w:val="28"/>
                <w:szCs w:val="28"/>
              </w:rPr>
              <m:t>2</m:t>
            </m:r>
          </m:sub>
        </m:sSub>
      </m:oMath>
      <w:r w:rsidRPr="00E2049E">
        <w:rPr>
          <w:rFonts w:ascii="Times New Roman" w:eastAsia="Times New Roman" w:hAnsi="Times New Roman"/>
          <w:sz w:val="24"/>
          <w:szCs w:val="24"/>
        </w:rPr>
        <w:t xml:space="preserve"> are the effects of previous shocks and previous conditional correlation on the current conditional correction respectively.</w:t>
      </w:r>
    </w:p>
    <w:p w14:paraId="1759EA16" w14:textId="11EB6772" w:rsidR="00EE1D4F" w:rsidRPr="009A2413" w:rsidRDefault="00EE1D4F" w:rsidP="009A2413">
      <w:pPr>
        <w:pStyle w:val="ListParagraph"/>
        <w:numPr>
          <w:ilvl w:val="0"/>
          <w:numId w:val="21"/>
        </w:numPr>
        <w:spacing w:after="0" w:line="240" w:lineRule="auto"/>
        <w:rPr>
          <w:rFonts w:ascii="Times New Roman" w:hAnsi="Times New Roman"/>
          <w:sz w:val="24"/>
          <w:szCs w:val="24"/>
        </w:rPr>
      </w:pPr>
      <w:r w:rsidRPr="009A2413">
        <w:rPr>
          <w:rFonts w:ascii="Times New Roman" w:hAnsi="Times New Roman"/>
          <w:b/>
          <w:bCs/>
          <w:sz w:val="24"/>
          <w:szCs w:val="24"/>
        </w:rPr>
        <w:t>Pre-Estimation/Preliminary Analysis</w:t>
      </w:r>
    </w:p>
    <w:p w14:paraId="6F761E8A" w14:textId="77777777" w:rsidR="00EE1D4F"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Before estimating the model </w:t>
      </w:r>
      <w:r w:rsidRPr="00E2049E">
        <w:rPr>
          <w:rFonts w:ascii="Times New Roman" w:hAnsi="Times New Roman"/>
          <w:sz w:val="24"/>
          <w:szCs w:val="24"/>
        </w:rPr>
        <w:tab/>
        <w:t xml:space="preserve">parameters, the following pre-estimation </w:t>
      </w:r>
      <w:proofErr w:type="spellStart"/>
      <w:r w:rsidRPr="00E2049E">
        <w:rPr>
          <w:rFonts w:ascii="Times New Roman" w:hAnsi="Times New Roman"/>
          <w:sz w:val="24"/>
          <w:szCs w:val="24"/>
        </w:rPr>
        <w:t>analysisw</w:t>
      </w:r>
      <w:r>
        <w:rPr>
          <w:rFonts w:ascii="Times New Roman" w:hAnsi="Times New Roman"/>
          <w:sz w:val="24"/>
          <w:szCs w:val="24"/>
        </w:rPr>
        <w:t>ere</w:t>
      </w:r>
      <w:proofErr w:type="spellEnd"/>
      <w:r>
        <w:rPr>
          <w:rFonts w:ascii="Times New Roman" w:hAnsi="Times New Roman"/>
          <w:sz w:val="24"/>
          <w:szCs w:val="24"/>
        </w:rPr>
        <w:t xml:space="preserve"> </w:t>
      </w:r>
      <w:r w:rsidRPr="00E2049E">
        <w:rPr>
          <w:rFonts w:ascii="Times New Roman" w:hAnsi="Times New Roman"/>
          <w:sz w:val="24"/>
          <w:szCs w:val="24"/>
        </w:rPr>
        <w:t>conducted</w:t>
      </w:r>
      <w:r>
        <w:rPr>
          <w:rFonts w:ascii="Times New Roman" w:hAnsi="Times New Roman"/>
          <w:sz w:val="24"/>
          <w:szCs w:val="24"/>
        </w:rPr>
        <w:t xml:space="preserve"> and the results reported in chapter four</w:t>
      </w:r>
      <w:r w:rsidRPr="00E2049E">
        <w:rPr>
          <w:rFonts w:ascii="Times New Roman" w:hAnsi="Times New Roman"/>
          <w:sz w:val="24"/>
          <w:szCs w:val="24"/>
        </w:rPr>
        <w:t xml:space="preserve">. </w:t>
      </w:r>
    </w:p>
    <w:p w14:paraId="217E7817" w14:textId="77777777"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Summary (Descriptive) statistics </w:t>
      </w:r>
      <w:r>
        <w:rPr>
          <w:rFonts w:ascii="Times New Roman" w:hAnsi="Times New Roman"/>
          <w:sz w:val="24"/>
          <w:szCs w:val="24"/>
        </w:rPr>
        <w:t>was</w:t>
      </w:r>
      <w:r w:rsidRPr="00E2049E">
        <w:rPr>
          <w:rFonts w:ascii="Times New Roman" w:hAnsi="Times New Roman"/>
          <w:sz w:val="24"/>
          <w:szCs w:val="24"/>
        </w:rPr>
        <w:t xml:space="preserve"> carried out to uncover the historical properties of the </w:t>
      </w:r>
      <w:r>
        <w:rPr>
          <w:rFonts w:ascii="Times New Roman" w:hAnsi="Times New Roman"/>
          <w:sz w:val="24"/>
          <w:szCs w:val="24"/>
        </w:rPr>
        <w:t>twelve</w:t>
      </w:r>
      <w:r w:rsidRPr="00E2049E">
        <w:rPr>
          <w:rFonts w:ascii="Times New Roman" w:hAnsi="Times New Roman"/>
          <w:sz w:val="24"/>
          <w:szCs w:val="24"/>
        </w:rPr>
        <w:t xml:space="preserve"> variables of the study. Such statistics include mean, m</w:t>
      </w:r>
      <w:r>
        <w:rPr>
          <w:rFonts w:ascii="Times New Roman" w:hAnsi="Times New Roman"/>
          <w:sz w:val="24"/>
          <w:szCs w:val="24"/>
        </w:rPr>
        <w:t xml:space="preserve">edian, skewness and </w:t>
      </w:r>
      <w:proofErr w:type="spellStart"/>
      <w:r>
        <w:rPr>
          <w:rFonts w:ascii="Times New Roman" w:hAnsi="Times New Roman"/>
          <w:sz w:val="24"/>
          <w:szCs w:val="24"/>
        </w:rPr>
        <w:t>kertosis</w:t>
      </w:r>
      <w:proofErr w:type="spellEnd"/>
      <w:r>
        <w:rPr>
          <w:rFonts w:ascii="Times New Roman" w:hAnsi="Times New Roman"/>
          <w:sz w:val="24"/>
          <w:szCs w:val="24"/>
        </w:rPr>
        <w:t>, Ja</w:t>
      </w:r>
      <w:r w:rsidRPr="00E2049E">
        <w:rPr>
          <w:rFonts w:ascii="Times New Roman" w:hAnsi="Times New Roman"/>
          <w:sz w:val="24"/>
          <w:szCs w:val="24"/>
        </w:rPr>
        <w:t>rque-</w:t>
      </w:r>
      <w:proofErr w:type="spellStart"/>
      <w:r w:rsidRPr="00E2049E">
        <w:rPr>
          <w:rFonts w:ascii="Times New Roman" w:hAnsi="Times New Roman"/>
          <w:sz w:val="24"/>
          <w:szCs w:val="24"/>
        </w:rPr>
        <w:t>Bera</w:t>
      </w:r>
      <w:proofErr w:type="spellEnd"/>
      <w:r w:rsidRPr="00E2049E">
        <w:rPr>
          <w:rFonts w:ascii="Times New Roman" w:hAnsi="Times New Roman"/>
          <w:sz w:val="24"/>
          <w:szCs w:val="24"/>
        </w:rPr>
        <w:t xml:space="preserve">, etc.  </w:t>
      </w:r>
    </w:p>
    <w:p w14:paraId="0BD1C9D3" w14:textId="77777777" w:rsidR="00EE1D4F" w:rsidRDefault="00EE1D4F" w:rsidP="00085DAE">
      <w:pPr>
        <w:spacing w:after="0" w:line="240" w:lineRule="auto"/>
        <w:rPr>
          <w:rFonts w:ascii="Times New Roman" w:hAnsi="Times New Roman"/>
          <w:sz w:val="24"/>
          <w:szCs w:val="24"/>
        </w:rPr>
      </w:pPr>
      <w:r>
        <w:rPr>
          <w:rFonts w:ascii="Times New Roman" w:hAnsi="Times New Roman"/>
          <w:sz w:val="24"/>
          <w:szCs w:val="24"/>
        </w:rPr>
        <w:t xml:space="preserve">The unit root </w:t>
      </w:r>
      <w:r w:rsidRPr="00E2049E">
        <w:rPr>
          <w:rFonts w:ascii="Times New Roman" w:hAnsi="Times New Roman"/>
          <w:sz w:val="24"/>
          <w:szCs w:val="24"/>
        </w:rPr>
        <w:t xml:space="preserve">properties of the variables </w:t>
      </w:r>
      <w:r>
        <w:rPr>
          <w:rFonts w:ascii="Times New Roman" w:hAnsi="Times New Roman"/>
          <w:sz w:val="24"/>
          <w:szCs w:val="24"/>
        </w:rPr>
        <w:t>were</w:t>
      </w:r>
      <w:r w:rsidRPr="00E2049E">
        <w:rPr>
          <w:rFonts w:ascii="Times New Roman" w:hAnsi="Times New Roman"/>
          <w:sz w:val="24"/>
          <w:szCs w:val="24"/>
        </w:rPr>
        <w:t xml:space="preserve"> examined. This is because, most economic and financial series exhibit </w:t>
      </w:r>
      <w:r w:rsidRPr="00E2049E">
        <w:rPr>
          <w:rFonts w:ascii="Times New Roman" w:hAnsi="Times New Roman"/>
          <w:sz w:val="24"/>
          <w:szCs w:val="24"/>
        </w:rPr>
        <w:t xml:space="preserve">episodes of non-stationarity. </w:t>
      </w:r>
      <w:r>
        <w:rPr>
          <w:rFonts w:ascii="Times New Roman" w:hAnsi="Times New Roman"/>
          <w:sz w:val="24"/>
          <w:szCs w:val="24"/>
        </w:rPr>
        <w:t>The study tests for the order of integration of the variables using the Augmented-Dickey Fuller test. The test regression for variable say y is specified as follows:</w:t>
      </w:r>
    </w:p>
    <w:p w14:paraId="0A38515D" w14:textId="77777777" w:rsidR="00EE1D4F" w:rsidRPr="006F1A38" w:rsidRDefault="00EE1D4F" w:rsidP="00085DAE">
      <w:pPr>
        <w:spacing w:after="0" w:line="240" w:lineRule="auto"/>
        <w:rPr>
          <w:rFonts w:ascii="Times New Roman" w:eastAsia="Times New Roman" w:hAnsi="Times New Roman"/>
          <w:b/>
          <w:sz w:val="28"/>
          <w:szCs w:val="28"/>
        </w:rPr>
      </w:pPr>
      <w:r>
        <w:rPr>
          <w:rFonts w:ascii="Times New Roman" w:hAnsi="Times New Roman"/>
          <w:sz w:val="24"/>
          <w:szCs w:val="24"/>
        </w:rPr>
        <w:t>▲</w:t>
      </w:r>
      <w:proofErr w:type="spellStart"/>
      <w:r>
        <w:rPr>
          <w:rFonts w:ascii="Times New Roman" w:hAnsi="Times New Roman"/>
          <w:sz w:val="24"/>
          <w:szCs w:val="24"/>
        </w:rPr>
        <w:t>y</w:t>
      </w:r>
      <w:r w:rsidRPr="00B8569F">
        <w:rPr>
          <w:rFonts w:ascii="Times New Roman" w:hAnsi="Times New Roman"/>
          <w:sz w:val="24"/>
          <w:szCs w:val="24"/>
          <w:vertAlign w:val="subscript"/>
        </w:rPr>
        <w:t>t</w:t>
      </w:r>
      <w:proofErr w:type="spellEnd"/>
      <w:r w:rsidRPr="00B8569F">
        <w:rPr>
          <w:rFonts w:ascii="Times New Roman" w:hAnsi="Times New Roman"/>
          <w:sz w:val="24"/>
          <w:szCs w:val="24"/>
        </w:rPr>
        <w:t>= ᵦ</w:t>
      </w:r>
      <w:r w:rsidRPr="00B8569F">
        <w:rPr>
          <w:rFonts w:ascii="Times New Roman" w:hAnsi="Times New Roman"/>
          <w:sz w:val="24"/>
          <w:szCs w:val="24"/>
          <w:vertAlign w:val="subscript"/>
        </w:rPr>
        <w:t>0</w:t>
      </w:r>
      <w:r w:rsidRPr="00B8569F">
        <w:rPr>
          <w:rFonts w:ascii="Times New Roman" w:hAnsi="Times New Roman"/>
          <w:sz w:val="24"/>
          <w:szCs w:val="24"/>
        </w:rPr>
        <w:t>+</w:t>
      </w:r>
      <w:r w:rsidRPr="00B8569F">
        <w:rPr>
          <w:rFonts w:ascii="Times New Roman" w:hAnsi="Times New Roman"/>
          <w:sz w:val="28"/>
          <w:szCs w:val="28"/>
        </w:rPr>
        <w:t>ᵠ</w:t>
      </w:r>
      <w:r w:rsidRPr="00B8569F">
        <w:rPr>
          <w:rFonts w:ascii="Times New Roman" w:hAnsi="Times New Roman"/>
          <w:sz w:val="24"/>
          <w:szCs w:val="24"/>
        </w:rPr>
        <w:t>y</w:t>
      </w:r>
      <w:r w:rsidRPr="00B8569F">
        <w:rPr>
          <w:rFonts w:ascii="Times New Roman" w:hAnsi="Times New Roman"/>
          <w:sz w:val="24"/>
          <w:szCs w:val="24"/>
          <w:vertAlign w:val="subscript"/>
        </w:rPr>
        <w:t>t-1</w:t>
      </w:r>
      <w:r w:rsidRPr="00B8569F">
        <w:rPr>
          <w:rFonts w:ascii="Times New Roman" w:hAnsi="Times New Roman"/>
          <w:sz w:val="24"/>
          <w:szCs w:val="24"/>
        </w:rPr>
        <w:t xml:space="preserve"> +</w:t>
      </w:r>
      <m:oMath>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P</m:t>
            </m:r>
          </m:sup>
          <m:e>
            <m:r>
              <w:rPr>
                <w:rFonts w:ascii="Cambria Math" w:hAnsi="Cambria Math"/>
                <w:sz w:val="28"/>
                <w:szCs w:val="28"/>
              </w:rPr>
              <m:t>ὡ▲yt-1+ul.</m:t>
            </m:r>
          </m:e>
        </m:nary>
      </m:oMath>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b/>
          <w:sz w:val="28"/>
          <w:szCs w:val="28"/>
        </w:rPr>
        <w:t>3.6</w:t>
      </w:r>
    </w:p>
    <w:p w14:paraId="2D96089F" w14:textId="77777777" w:rsidR="00EE1D4F" w:rsidRDefault="00EE1D4F" w:rsidP="00085DAE">
      <w:pPr>
        <w:spacing w:after="0" w:line="240" w:lineRule="auto"/>
        <w:rPr>
          <w:rFonts w:ascii="Times New Roman" w:eastAsia="Times New Roman" w:hAnsi="Times New Roman"/>
          <w:sz w:val="28"/>
          <w:szCs w:val="28"/>
        </w:rPr>
      </w:pPr>
      <w:r w:rsidRPr="006F1A38">
        <w:rPr>
          <w:rFonts w:ascii="Times New Roman" w:eastAsia="Times New Roman" w:hAnsi="Times New Roman"/>
          <w:sz w:val="28"/>
          <w:szCs w:val="28"/>
        </w:rPr>
        <w:t>T</w:t>
      </w:r>
      <w:r>
        <w:rPr>
          <w:rFonts w:ascii="Times New Roman" w:eastAsia="Times New Roman" w:hAnsi="Times New Roman"/>
          <w:sz w:val="28"/>
          <w:szCs w:val="28"/>
        </w:rPr>
        <w:t xml:space="preserve">he null hypothesis is </w:t>
      </w:r>
    </w:p>
    <w:p w14:paraId="6FD57933" w14:textId="77777777" w:rsidR="00EE1D4F" w:rsidRDefault="00EE1D4F" w:rsidP="00085DAE">
      <w:pPr>
        <w:spacing w:after="0" w:line="240" w:lineRule="auto"/>
        <w:rPr>
          <w:rFonts w:ascii="Times New Roman" w:hAnsi="Times New Roman"/>
          <w:sz w:val="28"/>
          <w:szCs w:val="28"/>
        </w:rPr>
      </w:pPr>
      <w:r>
        <w:rPr>
          <w:rFonts w:ascii="Times New Roman" w:eastAsia="Times New Roman" w:hAnsi="Times New Roman"/>
          <w:sz w:val="28"/>
          <w:szCs w:val="28"/>
        </w:rPr>
        <w:t>H</w:t>
      </w:r>
      <w:r w:rsidRPr="00B8569F">
        <w:rPr>
          <w:rFonts w:ascii="Times New Roman" w:eastAsia="Times New Roman" w:hAnsi="Times New Roman"/>
          <w:sz w:val="28"/>
          <w:szCs w:val="28"/>
          <w:vertAlign w:val="subscript"/>
        </w:rPr>
        <w:t>o</w:t>
      </w:r>
      <w:r>
        <w:rPr>
          <w:rFonts w:ascii="Times New Roman" w:eastAsia="Times New Roman" w:hAnsi="Times New Roman"/>
          <w:sz w:val="28"/>
          <w:szCs w:val="28"/>
        </w:rPr>
        <w:tab/>
      </w:r>
      <w:r w:rsidRPr="00B8569F">
        <w:rPr>
          <w:rFonts w:ascii="Times New Roman" w:hAnsi="Times New Roman"/>
          <w:sz w:val="28"/>
          <w:szCs w:val="28"/>
        </w:rPr>
        <w:t>ᵠ</w:t>
      </w:r>
      <w:r>
        <w:rPr>
          <w:rFonts w:ascii="Times New Roman" w:hAnsi="Times New Roman"/>
          <w:sz w:val="28"/>
          <w:szCs w:val="28"/>
        </w:rPr>
        <w:t xml:space="preserve"> = </w:t>
      </w:r>
      <w:r w:rsidRPr="00B8569F">
        <w:rPr>
          <w:rFonts w:ascii="Times New Roman" w:hAnsi="Times New Roman"/>
          <w:sz w:val="24"/>
          <w:szCs w:val="28"/>
        </w:rPr>
        <w:t>0</w:t>
      </w:r>
    </w:p>
    <w:p w14:paraId="6B9797A1" w14:textId="77777777" w:rsidR="00EE1D4F" w:rsidRDefault="00EE1D4F" w:rsidP="00085DAE">
      <w:pPr>
        <w:spacing w:after="0" w:line="240" w:lineRule="auto"/>
        <w:rPr>
          <w:rFonts w:ascii="Times New Roman" w:hAnsi="Times New Roman"/>
          <w:sz w:val="24"/>
          <w:szCs w:val="24"/>
        </w:rPr>
      </w:pPr>
      <w:r>
        <w:rPr>
          <w:rFonts w:ascii="Times New Roman" w:hAnsi="Times New Roman"/>
          <w:sz w:val="24"/>
          <w:szCs w:val="24"/>
        </w:rPr>
        <w:t xml:space="preserve">While the alternative hypothesis is </w:t>
      </w:r>
    </w:p>
    <w:p w14:paraId="31A0F04D" w14:textId="77777777" w:rsidR="00EE1D4F" w:rsidRDefault="00EE1D4F" w:rsidP="00085DAE">
      <w:pPr>
        <w:spacing w:after="0" w:line="240" w:lineRule="auto"/>
        <w:rPr>
          <w:rFonts w:ascii="Times New Roman" w:hAnsi="Times New Roman"/>
          <w:sz w:val="28"/>
          <w:szCs w:val="28"/>
        </w:rPr>
      </w:pPr>
      <w:r>
        <w:rPr>
          <w:rFonts w:ascii="Times New Roman" w:hAnsi="Times New Roman"/>
          <w:sz w:val="24"/>
          <w:szCs w:val="24"/>
        </w:rPr>
        <w:t>H</w:t>
      </w:r>
      <w:r w:rsidRPr="00B8569F">
        <w:rPr>
          <w:rFonts w:ascii="Times New Roman" w:hAnsi="Times New Roman"/>
          <w:sz w:val="24"/>
          <w:szCs w:val="24"/>
          <w:vertAlign w:val="subscript"/>
        </w:rPr>
        <w:t>1</w:t>
      </w:r>
      <w:r>
        <w:rPr>
          <w:rFonts w:ascii="Times New Roman" w:hAnsi="Times New Roman"/>
          <w:sz w:val="24"/>
          <w:szCs w:val="24"/>
        </w:rPr>
        <w:tab/>
      </w:r>
      <w:r w:rsidRPr="00B8569F">
        <w:rPr>
          <w:rFonts w:ascii="Times New Roman" w:hAnsi="Times New Roman"/>
          <w:sz w:val="28"/>
          <w:szCs w:val="28"/>
        </w:rPr>
        <w:t>ᵠ</w:t>
      </w:r>
      <w:r w:rsidRPr="00B8569F">
        <w:rPr>
          <w:rFonts w:ascii="Times New Roman" w:hAnsi="Times New Roman"/>
          <w:sz w:val="24"/>
          <w:szCs w:val="24"/>
        </w:rPr>
        <w:t>&lt;0</w:t>
      </w:r>
    </w:p>
    <w:p w14:paraId="062F9AB5" w14:textId="77777777" w:rsidR="00EE1D4F" w:rsidRDefault="00EE1D4F" w:rsidP="00085DAE">
      <w:pPr>
        <w:spacing w:line="240" w:lineRule="auto"/>
        <w:rPr>
          <w:rFonts w:ascii="Times New Roman" w:hAnsi="Times New Roman"/>
          <w:sz w:val="24"/>
          <w:szCs w:val="28"/>
        </w:rPr>
      </w:pPr>
      <w:r w:rsidRPr="00B8569F">
        <w:rPr>
          <w:rFonts w:ascii="Times New Roman" w:hAnsi="Times New Roman"/>
          <w:sz w:val="24"/>
          <w:szCs w:val="28"/>
        </w:rPr>
        <w:t xml:space="preserve">The </w:t>
      </w:r>
      <w:r>
        <w:rPr>
          <w:rFonts w:ascii="Times New Roman" w:hAnsi="Times New Roman"/>
          <w:sz w:val="24"/>
          <w:szCs w:val="28"/>
        </w:rPr>
        <w:t xml:space="preserve">series </w:t>
      </w:r>
      <w:proofErr w:type="spellStart"/>
      <w:r>
        <w:rPr>
          <w:rFonts w:ascii="Times New Roman" w:hAnsi="Times New Roman"/>
          <w:sz w:val="24"/>
          <w:szCs w:val="28"/>
        </w:rPr>
        <w:t>y</w:t>
      </w:r>
      <w:r w:rsidRPr="00B8569F">
        <w:rPr>
          <w:rFonts w:ascii="Times New Roman" w:hAnsi="Times New Roman"/>
          <w:sz w:val="24"/>
          <w:szCs w:val="28"/>
          <w:vertAlign w:val="subscript"/>
        </w:rPr>
        <w:t>t</w:t>
      </w:r>
      <w:proofErr w:type="spellEnd"/>
      <w:r>
        <w:rPr>
          <w:rFonts w:ascii="Times New Roman" w:hAnsi="Times New Roman"/>
          <w:sz w:val="24"/>
          <w:szCs w:val="28"/>
        </w:rPr>
        <w:t xml:space="preserve"> is stationary if the null hypothesis is rejected, otherwise the series has a unit root.</w:t>
      </w:r>
    </w:p>
    <w:p w14:paraId="6B4ED856" w14:textId="77777777"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The </w:t>
      </w:r>
      <w:r>
        <w:rPr>
          <w:rFonts w:ascii="Times New Roman" w:hAnsi="Times New Roman"/>
          <w:sz w:val="24"/>
          <w:szCs w:val="24"/>
        </w:rPr>
        <w:t>twelve</w:t>
      </w:r>
      <w:r w:rsidRPr="00E2049E">
        <w:rPr>
          <w:rFonts w:ascii="Times New Roman" w:hAnsi="Times New Roman"/>
          <w:sz w:val="24"/>
          <w:szCs w:val="24"/>
        </w:rPr>
        <w:t xml:space="preserve"> (1</w:t>
      </w:r>
      <w:r>
        <w:rPr>
          <w:rFonts w:ascii="Times New Roman" w:hAnsi="Times New Roman"/>
          <w:sz w:val="24"/>
          <w:szCs w:val="24"/>
        </w:rPr>
        <w:t>2</w:t>
      </w:r>
      <w:r w:rsidRPr="00E2049E">
        <w:rPr>
          <w:rFonts w:ascii="Times New Roman" w:hAnsi="Times New Roman"/>
          <w:sz w:val="24"/>
          <w:szCs w:val="24"/>
        </w:rPr>
        <w:t xml:space="preserve">) variables </w:t>
      </w:r>
      <w:r>
        <w:rPr>
          <w:rFonts w:ascii="Times New Roman" w:hAnsi="Times New Roman"/>
          <w:sz w:val="24"/>
          <w:szCs w:val="24"/>
        </w:rPr>
        <w:t>were</w:t>
      </w:r>
      <w:r w:rsidRPr="00E2049E">
        <w:rPr>
          <w:rFonts w:ascii="Times New Roman" w:hAnsi="Times New Roman"/>
          <w:sz w:val="24"/>
          <w:szCs w:val="24"/>
        </w:rPr>
        <w:t xml:space="preserve"> subjected to virtual (graphical) analysis in order to have firsthand information on the series in question. </w:t>
      </w:r>
    </w:p>
    <w:p w14:paraId="4ACE3921"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 xml:space="preserve">The ARCH-LM test for the existence or otherwise of ARCH effects in the residuals </w:t>
      </w:r>
      <w:r>
        <w:rPr>
          <w:rFonts w:ascii="Times New Roman" w:hAnsi="Times New Roman"/>
          <w:sz w:val="24"/>
          <w:szCs w:val="24"/>
        </w:rPr>
        <w:t>was also</w:t>
      </w:r>
      <w:r w:rsidRPr="00E2049E">
        <w:rPr>
          <w:rFonts w:ascii="Times New Roman" w:hAnsi="Times New Roman"/>
          <w:sz w:val="24"/>
          <w:szCs w:val="24"/>
        </w:rPr>
        <w:t xml:space="preserve"> carried out, to test the null hypothesis that there are no ARCH effects up to lag order q in the residual. The test regression </w:t>
      </w:r>
      <w:r>
        <w:rPr>
          <w:rFonts w:ascii="Times New Roman" w:hAnsi="Times New Roman"/>
          <w:sz w:val="24"/>
          <w:szCs w:val="24"/>
        </w:rPr>
        <w:t>is specified as;</w:t>
      </w:r>
      <w:r w:rsidRPr="00E2049E">
        <w:rPr>
          <w:rFonts w:ascii="Times New Roman" w:eastAsia="Times New Roman" w:hAnsi="Times New Roman"/>
          <w:sz w:val="24"/>
          <w:szCs w:val="24"/>
        </w:rPr>
        <w:tab/>
      </w:r>
    </w:p>
    <w:p w14:paraId="64727164" w14:textId="77777777" w:rsidR="00EE1D4F" w:rsidRPr="00E2049E" w:rsidRDefault="00000000" w:rsidP="00085DAE">
      <w:pPr>
        <w:spacing w:line="240" w:lineRule="auto"/>
        <w:rPr>
          <w:rFonts w:ascii="Times New Roman" w:hAnsi="Times New Roman"/>
          <w:sz w:val="24"/>
          <w:szCs w:val="24"/>
        </w:rPr>
      </w:pPr>
      <m:oMath>
        <m:sSubSup>
          <m:sSubSupPr>
            <m:ctrlPr>
              <w:rPr>
                <w:rFonts w:ascii="Cambria Math" w:hAnsi="Cambria Math"/>
                <w:i/>
                <w:sz w:val="28"/>
                <w:szCs w:val="28"/>
              </w:rPr>
            </m:ctrlPr>
          </m:sSubSupPr>
          <m:e>
            <m:r>
              <w:rPr>
                <w:rFonts w:ascii="Cambria Math" w:hAnsi="Cambria Math"/>
                <w:sz w:val="28"/>
                <w:szCs w:val="28"/>
              </w:rPr>
              <m:t>ε</m:t>
            </m:r>
          </m:e>
          <m:sub>
            <m:r>
              <w:rPr>
                <w:rFonts w:ascii="Cambria Math" w:hAnsi="Cambria Math"/>
                <w:sz w:val="28"/>
                <w:szCs w:val="28"/>
              </w:rPr>
              <m:t>t</m:t>
            </m:r>
          </m:sub>
          <m:sup>
            <m:r>
              <w:rPr>
                <w:rFonts w:ascii="Cambria Math" w:hAnsi="Cambria Math"/>
                <w:sz w:val="28"/>
                <w:szCs w:val="28"/>
              </w:rPr>
              <m:t>2</m:t>
            </m:r>
          </m:sup>
        </m:sSub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φ</m:t>
            </m:r>
          </m:e>
          <m:sub>
            <m:r>
              <w:rPr>
                <w:rFonts w:ascii="Cambria Math" w:hAnsi="Cambria Math"/>
                <w:sz w:val="28"/>
                <w:szCs w:val="28"/>
              </w:rPr>
              <m:t>t</m:t>
            </m:r>
          </m:sub>
        </m:sSub>
        <m:r>
          <w:rPr>
            <w:rFonts w:ascii="Cambria Math" w:hAnsi="Cambria Math"/>
            <w:sz w:val="28"/>
            <w:szCs w:val="28"/>
          </w:rPr>
          <m:t xml:space="preserve">+ </m:t>
        </m:r>
        <m:d>
          <m:dPr>
            <m:ctrlPr>
              <w:rPr>
                <w:rFonts w:ascii="Cambria Math" w:hAnsi="Cambria Math"/>
                <w:i/>
                <w:sz w:val="28"/>
                <w:szCs w:val="28"/>
              </w:rPr>
            </m:ctrlPr>
          </m:dPr>
          <m:e>
            <m:nary>
              <m:naryPr>
                <m:chr m:val="∑"/>
                <m:grow m:val="1"/>
                <m:ctrlPr>
                  <w:rPr>
                    <w:rFonts w:ascii="Cambria Math" w:eastAsia="Times New Roman" w:hAnsi="Cambria Math"/>
                    <w:sz w:val="28"/>
                    <w:szCs w:val="28"/>
                  </w:rPr>
                </m:ctrlPr>
              </m:naryPr>
              <m:sub>
                <m:r>
                  <w:rPr>
                    <w:rFonts w:ascii="Cambria Math" w:eastAsia="Cambria Math" w:hAnsi="Cambria Math" w:cs="Cambria Math"/>
                    <w:sz w:val="28"/>
                    <w:szCs w:val="28"/>
                  </w:rPr>
                  <m:t>j=1</m:t>
                </m:r>
              </m:sub>
              <m:sup>
                <m:r>
                  <w:rPr>
                    <w:rFonts w:ascii="Cambria Math" w:eastAsia="Times New Roman" w:hAnsi="Cambria Math"/>
                    <w:sz w:val="28"/>
                    <w:szCs w:val="28"/>
                  </w:rPr>
                  <m:t>n</m:t>
                </m:r>
              </m:sup>
              <m:e>
                <m:sSubSup>
                  <m:sSubSupPr>
                    <m:ctrlPr>
                      <w:rPr>
                        <w:rFonts w:ascii="Cambria Math" w:hAnsi="Cambria Math"/>
                        <w:i/>
                        <w:sz w:val="28"/>
                        <w:szCs w:val="28"/>
                      </w:rPr>
                    </m:ctrlPr>
                  </m:sSubSupPr>
                  <m:e>
                    <m:r>
                      <w:rPr>
                        <w:rFonts w:ascii="Cambria Math" w:hAnsi="Cambria Math"/>
                        <w:sz w:val="28"/>
                        <w:szCs w:val="28"/>
                      </w:rPr>
                      <m:t>φ</m:t>
                    </m:r>
                  </m:e>
                  <m:sub>
                    <m:r>
                      <w:rPr>
                        <w:rFonts w:ascii="Cambria Math" w:hAnsi="Cambria Math"/>
                        <w:sz w:val="28"/>
                        <w:szCs w:val="28"/>
                      </w:rPr>
                      <m:t>t-j</m:t>
                    </m:r>
                  </m:sub>
                  <m:sup>
                    <m:r>
                      <w:rPr>
                        <w:rFonts w:ascii="Cambria Math" w:hAnsi="Cambria Math"/>
                        <w:sz w:val="28"/>
                        <w:szCs w:val="28"/>
                      </w:rPr>
                      <m:t>2</m:t>
                    </m:r>
                  </m:sup>
                </m:sSubSup>
              </m:e>
            </m:nary>
          </m:e>
        </m:d>
        <m:r>
          <w:rPr>
            <w:rFonts w:ascii="Cambria Math" w:eastAsia="Times New Roman" w:hAnsi="Cambria Math"/>
            <w:sz w:val="28"/>
            <w:szCs w:val="28"/>
          </w:rPr>
          <m:t>+vt</m:t>
        </m:r>
      </m:oMath>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sz w:val="24"/>
          <w:szCs w:val="24"/>
        </w:rPr>
        <w:tab/>
      </w:r>
      <w:r w:rsidR="00EE1D4F" w:rsidRPr="00E2049E">
        <w:rPr>
          <w:rFonts w:ascii="Times New Roman" w:eastAsia="Times New Roman" w:hAnsi="Times New Roman"/>
          <w:b/>
          <w:bCs/>
          <w:sz w:val="24"/>
          <w:szCs w:val="24"/>
        </w:rPr>
        <w:t>3.</w:t>
      </w:r>
      <w:r w:rsidR="00EE1D4F">
        <w:rPr>
          <w:rFonts w:ascii="Times New Roman" w:eastAsia="Times New Roman" w:hAnsi="Times New Roman"/>
          <w:b/>
          <w:bCs/>
          <w:sz w:val="24"/>
          <w:szCs w:val="24"/>
        </w:rPr>
        <w:t>7</w:t>
      </w:r>
    </w:p>
    <w:p w14:paraId="1574F155" w14:textId="77777777" w:rsidR="00EE1D4F" w:rsidRDefault="00000000" w:rsidP="00085DAE">
      <w:pPr>
        <w:spacing w:line="240" w:lineRule="auto"/>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φ</m:t>
            </m:r>
          </m:e>
          <m:sub>
            <m:r>
              <w:rPr>
                <w:rFonts w:ascii="Cambria Math" w:hAnsi="Cambria Math"/>
                <w:sz w:val="28"/>
                <w:szCs w:val="28"/>
              </w:rPr>
              <m:t>t-j</m:t>
            </m:r>
          </m:sub>
        </m:sSub>
      </m:oMath>
      <w:r w:rsidR="00EE1D4F" w:rsidRPr="00E2049E">
        <w:rPr>
          <w:rFonts w:ascii="Times New Roman" w:hAnsi="Times New Roman"/>
          <w:sz w:val="24"/>
          <w:szCs w:val="24"/>
        </w:rPr>
        <w:t xml:space="preserve">are the residuals from the ARCH model </w:t>
      </w:r>
      <m:oMath>
        <m:r>
          <w:rPr>
            <w:rFonts w:ascii="Cambria Math" w:hAnsi="Cambria Math"/>
            <w:sz w:val="28"/>
            <w:szCs w:val="28"/>
          </w:rPr>
          <m:t>φ</m:t>
        </m:r>
      </m:oMath>
      <w:r w:rsidR="00EE1D4F" w:rsidRPr="00E2049E">
        <w:rPr>
          <w:rFonts w:ascii="Times New Roman" w:hAnsi="Times New Roman"/>
          <w:sz w:val="24"/>
          <w:szCs w:val="24"/>
          <w:vertAlign w:val="subscript"/>
        </w:rPr>
        <w:t>0</w:t>
      </w:r>
      <w:r w:rsidR="00EE1D4F" w:rsidRPr="00E2049E">
        <w:rPr>
          <w:rFonts w:ascii="Times New Roman" w:hAnsi="Times New Roman"/>
          <w:sz w:val="24"/>
          <w:szCs w:val="24"/>
        </w:rPr>
        <w:t xml:space="preserve"> is the intercept while </w:t>
      </w:r>
      <m:oMath>
        <m:sSub>
          <m:sSubPr>
            <m:ctrlPr>
              <w:rPr>
                <w:rFonts w:ascii="Cambria Math" w:hAnsi="Cambria Math"/>
                <w:i/>
                <w:sz w:val="28"/>
                <w:szCs w:val="28"/>
              </w:rPr>
            </m:ctrlPr>
          </m:sSubPr>
          <m:e>
            <m:r>
              <w:rPr>
                <w:rFonts w:ascii="Cambria Math" w:hAnsi="Cambria Math"/>
                <w:sz w:val="28"/>
                <w:szCs w:val="28"/>
              </w:rPr>
              <m:t>φ</m:t>
            </m:r>
          </m:e>
          <m:sub>
            <m:r>
              <w:rPr>
                <w:rFonts w:ascii="Cambria Math" w:hAnsi="Cambria Math"/>
                <w:sz w:val="28"/>
                <w:szCs w:val="28"/>
              </w:rPr>
              <m:t>j</m:t>
            </m:r>
          </m:sub>
        </m:sSub>
      </m:oMath>
      <w:r w:rsidR="00EE1D4F" w:rsidRPr="00E2049E">
        <w:rPr>
          <w:rFonts w:ascii="Times New Roman" w:hAnsi="Times New Roman"/>
          <w:sz w:val="24"/>
          <w:szCs w:val="24"/>
        </w:rPr>
        <w:t xml:space="preserve"> are the coefficients.</w:t>
      </w:r>
    </w:p>
    <w:p w14:paraId="3862D5F9" w14:textId="76A8465F"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 xml:space="preserve">Sign and size biased tests </w:t>
      </w:r>
    </w:p>
    <w:p w14:paraId="42B779C3"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 xml:space="preserve">It is important and necessary to uncover the presence or otherwise of asymmetric effects before deciding to adopt either VAR-GARCH or its asymmetric version the VAR-AGARCH model. The Engle and Ng (1993) sign and size bias test </w:t>
      </w:r>
      <w:r>
        <w:rPr>
          <w:rFonts w:ascii="Times New Roman" w:hAnsi="Times New Roman"/>
          <w:sz w:val="24"/>
          <w:szCs w:val="24"/>
        </w:rPr>
        <w:t>was</w:t>
      </w:r>
      <w:r w:rsidRPr="00E2049E">
        <w:rPr>
          <w:rFonts w:ascii="Times New Roman" w:hAnsi="Times New Roman"/>
          <w:sz w:val="24"/>
          <w:szCs w:val="24"/>
        </w:rPr>
        <w:t xml:space="preserve"> carried out to verify the presence or otherwise of asymmetric effects. </w:t>
      </w:r>
    </w:p>
    <w:p w14:paraId="13C7128C"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 xml:space="preserve">These tests determine the significance of volatility changes when a negative or positive return shock occurs by regressing the squared residual term on a dummy </w:t>
      </w:r>
      <w:r w:rsidRPr="00E2049E">
        <w:rPr>
          <w:rFonts w:ascii="Times New Roman" w:hAnsi="Times New Roman"/>
          <w:sz w:val="24"/>
          <w:szCs w:val="24"/>
        </w:rPr>
        <w:lastRenderedPageBreak/>
        <w:t xml:space="preserve">variable reflecting the sign of the residual term. </w:t>
      </w:r>
    </w:p>
    <w:p w14:paraId="571F3D21"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Using ԑ</w:t>
      </w:r>
      <w:r w:rsidRPr="00E2049E">
        <w:rPr>
          <w:rFonts w:ascii="Times New Roman" w:hAnsi="Times New Roman"/>
          <w:i/>
          <w:sz w:val="24"/>
          <w:szCs w:val="24"/>
          <w:vertAlign w:val="subscript"/>
        </w:rPr>
        <w:t xml:space="preserve">it, </w:t>
      </w:r>
      <w:proofErr w:type="spellStart"/>
      <w:r w:rsidRPr="00E2049E">
        <w:rPr>
          <w:rFonts w:ascii="Times New Roman" w:hAnsi="Times New Roman"/>
          <w:i/>
          <w:sz w:val="24"/>
          <w:szCs w:val="24"/>
          <w:vertAlign w:val="subscript"/>
        </w:rPr>
        <w:t>i</w:t>
      </w:r>
      <w:proofErr w:type="spellEnd"/>
      <w:r w:rsidRPr="00E2049E">
        <w:rPr>
          <w:rFonts w:ascii="Times New Roman" w:hAnsi="Times New Roman"/>
          <w:sz w:val="24"/>
          <w:szCs w:val="24"/>
        </w:rPr>
        <w:t xml:space="preserve">= stock and oil return </w:t>
      </w:r>
      <w:proofErr w:type="spellStart"/>
      <w:r w:rsidRPr="00E2049E">
        <w:rPr>
          <w:rFonts w:ascii="Times New Roman" w:hAnsi="Times New Roman"/>
          <w:sz w:val="24"/>
          <w:szCs w:val="24"/>
        </w:rPr>
        <w:t>toindicate</w:t>
      </w:r>
      <w:proofErr w:type="spellEnd"/>
      <w:r w:rsidRPr="00E2049E">
        <w:rPr>
          <w:rFonts w:ascii="Times New Roman" w:hAnsi="Times New Roman"/>
          <w:sz w:val="24"/>
          <w:szCs w:val="24"/>
        </w:rPr>
        <w:t xml:space="preserve"> the residual of asset </w:t>
      </w:r>
      <w:proofErr w:type="spellStart"/>
      <w:r w:rsidRPr="00E2049E">
        <w:rPr>
          <w:rFonts w:ascii="Times New Roman" w:hAnsi="Times New Roman"/>
          <w:i/>
          <w:sz w:val="24"/>
          <w:szCs w:val="24"/>
        </w:rPr>
        <w:t>i</w:t>
      </w:r>
      <w:r w:rsidRPr="00E2049E">
        <w:rPr>
          <w:rFonts w:ascii="Times New Roman" w:hAnsi="Times New Roman"/>
          <w:sz w:val="24"/>
          <w:szCs w:val="24"/>
        </w:rPr>
        <w:t>at</w:t>
      </w:r>
      <w:proofErr w:type="spellEnd"/>
      <w:r w:rsidRPr="00E2049E">
        <w:rPr>
          <w:rFonts w:ascii="Times New Roman" w:hAnsi="Times New Roman"/>
          <w:sz w:val="24"/>
          <w:szCs w:val="24"/>
        </w:rPr>
        <w:t xml:space="preserve"> time t, the following tests will be estimated. </w:t>
      </w:r>
    </w:p>
    <w:p w14:paraId="647904A3" w14:textId="77777777" w:rsidR="00EE1D4F" w:rsidRPr="00E2049E" w:rsidRDefault="00EE1D4F" w:rsidP="00085DAE">
      <w:pPr>
        <w:spacing w:after="0" w:line="240" w:lineRule="auto"/>
        <w:rPr>
          <w:rFonts w:ascii="Times New Roman" w:eastAsia="Times New Roman" w:hAnsi="Times New Roman"/>
          <w:sz w:val="24"/>
          <w:szCs w:val="24"/>
        </w:rPr>
      </w:pPr>
      <w:r w:rsidRPr="00E2049E">
        <w:rPr>
          <w:rFonts w:ascii="Times New Roman" w:hAnsi="Times New Roman"/>
          <w:sz w:val="24"/>
          <w:szCs w:val="24"/>
        </w:rPr>
        <w:t xml:space="preserve">Sign biased test </w:t>
      </w:r>
      <w:r>
        <w:rPr>
          <w:rFonts w:ascii="Times New Roman" w:hAnsi="Times New Roman"/>
          <w:sz w:val="24"/>
          <w:szCs w:val="24"/>
        </w:rPr>
        <w:tab/>
      </w:r>
      <w:r>
        <w:rPr>
          <w:rFonts w:ascii="Times New Roman" w:hAnsi="Times New Roman"/>
          <w:sz w:val="24"/>
          <w:szCs w:val="24"/>
        </w:rPr>
        <w:tab/>
      </w:r>
      <m:oMath>
        <m:sSubSup>
          <m:sSubSupPr>
            <m:ctrlPr>
              <w:rPr>
                <w:rFonts w:ascii="Cambria Math" w:hAnsi="Cambria Math"/>
                <w:i/>
                <w:sz w:val="32"/>
                <w:szCs w:val="32"/>
              </w:rPr>
            </m:ctrlPr>
          </m:sSubSupPr>
          <m:e>
            <m:r>
              <m:rPr>
                <m:sty m:val="p"/>
              </m:rPr>
              <w:rPr>
                <w:rFonts w:ascii="Cambria Math" w:hAnsi="Cambria Math"/>
                <w:sz w:val="32"/>
                <w:szCs w:val="32"/>
              </w:rPr>
              <m:t>ԑ</m:t>
            </m:r>
          </m:e>
          <m:sub>
            <m:r>
              <w:rPr>
                <w:rFonts w:ascii="Cambria Math" w:hAnsi="Cambria Math"/>
                <w:sz w:val="32"/>
                <w:szCs w:val="32"/>
              </w:rPr>
              <m:t>it</m:t>
            </m:r>
          </m:sub>
          <m:sup>
            <m:r>
              <w:rPr>
                <w:rFonts w:ascii="Cambria Math" w:hAnsi="Cambria Math"/>
                <w:sz w:val="32"/>
                <w:szCs w:val="32"/>
              </w:rPr>
              <m:t>2</m:t>
            </m:r>
          </m:sup>
        </m:sSubSup>
        <m:r>
          <w:rPr>
            <w:rFonts w:ascii="Cambria Math" w:hAnsi="Cambria Math"/>
            <w:sz w:val="32"/>
            <w:szCs w:val="32"/>
          </w:rPr>
          <m:t>=a+b</m:t>
        </m:r>
        <m:sSubSup>
          <m:sSubSupPr>
            <m:ctrlPr>
              <w:rPr>
                <w:rFonts w:ascii="Cambria Math" w:hAnsi="Cambria Math"/>
                <w:i/>
                <w:sz w:val="32"/>
                <w:szCs w:val="32"/>
              </w:rPr>
            </m:ctrlPr>
          </m:sSubSupPr>
          <m:e>
            <m:r>
              <w:rPr>
                <w:rFonts w:ascii="Cambria Math" w:hAnsi="Cambria Math"/>
                <w:sz w:val="32"/>
                <w:szCs w:val="32"/>
              </w:rPr>
              <m:t>S</m:t>
            </m:r>
          </m:e>
          <m:sub>
            <m:r>
              <w:rPr>
                <w:rFonts w:ascii="Cambria Math" w:hAnsi="Cambria Math"/>
                <w:sz w:val="32"/>
                <w:szCs w:val="32"/>
              </w:rPr>
              <m:t>i, t-1</m:t>
            </m:r>
          </m:sub>
          <m:sup>
            <m:r>
              <w:rPr>
                <w:rFonts w:ascii="Cambria Math" w:hAnsi="Cambria Math"/>
                <w:sz w:val="32"/>
                <w:szCs w:val="32"/>
              </w:rPr>
              <m:t>-</m:t>
            </m:r>
          </m:sup>
        </m:sSubSup>
        <m:r>
          <w:rPr>
            <w:rFonts w:ascii="Cambria Math" w:eastAsia="Times New Roman" w:hAnsi="Cambria Math"/>
            <w:sz w:val="32"/>
            <w:szCs w:val="32"/>
          </w:rPr>
          <m:t>+ui,t</m:t>
        </m:r>
      </m:oMath>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Pr>
          <w:rFonts w:ascii="Times New Roman" w:eastAsia="Times New Roman" w:hAnsi="Times New Roman"/>
          <w:sz w:val="24"/>
          <w:szCs w:val="24"/>
        </w:rPr>
        <w:tab/>
      </w:r>
      <w:r w:rsidRPr="00E2049E">
        <w:rPr>
          <w:rFonts w:ascii="Times New Roman" w:eastAsia="Times New Roman" w:hAnsi="Times New Roman"/>
          <w:b/>
          <w:bCs/>
          <w:sz w:val="24"/>
          <w:szCs w:val="24"/>
        </w:rPr>
        <w:t>3.</w:t>
      </w:r>
      <w:r>
        <w:rPr>
          <w:rFonts w:ascii="Times New Roman" w:eastAsia="Times New Roman" w:hAnsi="Times New Roman"/>
          <w:b/>
          <w:bCs/>
          <w:sz w:val="24"/>
          <w:szCs w:val="24"/>
        </w:rPr>
        <w:t>8</w:t>
      </w:r>
    </w:p>
    <w:p w14:paraId="11B3BF67" w14:textId="77777777" w:rsidR="00EE1D4F" w:rsidRPr="00E2049E" w:rsidRDefault="00EE1D4F" w:rsidP="00085DAE">
      <w:pPr>
        <w:spacing w:line="240" w:lineRule="auto"/>
        <w:rPr>
          <w:rFonts w:ascii="Times New Roman" w:hAnsi="Times New Roman"/>
          <w:sz w:val="24"/>
          <w:szCs w:val="24"/>
        </w:rPr>
      </w:pPr>
      <w:r w:rsidRPr="00E2049E">
        <w:rPr>
          <w:rFonts w:ascii="Times New Roman" w:eastAsia="Times New Roman" w:hAnsi="Times New Roman"/>
          <w:sz w:val="24"/>
          <w:szCs w:val="24"/>
        </w:rPr>
        <w:t>Negative Size biased test</w:t>
      </w:r>
      <w:r>
        <w:rPr>
          <w:rFonts w:ascii="Times New Roman" w:eastAsia="Times New Roman" w:hAnsi="Times New Roman"/>
          <w:sz w:val="24"/>
          <w:szCs w:val="24"/>
        </w:rPr>
        <w:tab/>
      </w:r>
      <m:oMath>
        <m:sSubSup>
          <m:sSubSupPr>
            <m:ctrlPr>
              <w:rPr>
                <w:rFonts w:ascii="Cambria Math" w:hAnsi="Cambria Math"/>
                <w:i/>
                <w:sz w:val="34"/>
                <w:szCs w:val="34"/>
              </w:rPr>
            </m:ctrlPr>
          </m:sSubSupPr>
          <m:e>
            <m:r>
              <m:rPr>
                <m:sty m:val="p"/>
              </m:rPr>
              <w:rPr>
                <w:rFonts w:ascii="Cambria Math" w:hAnsi="Cambria Math"/>
                <w:sz w:val="34"/>
                <w:szCs w:val="34"/>
              </w:rPr>
              <m:t>ԑ</m:t>
            </m:r>
          </m:e>
          <m:sub>
            <m:r>
              <w:rPr>
                <w:rFonts w:ascii="Cambria Math" w:hAnsi="Cambria Math"/>
                <w:sz w:val="34"/>
                <w:szCs w:val="34"/>
              </w:rPr>
              <m:t>it</m:t>
            </m:r>
          </m:sub>
          <m:sup>
            <m:r>
              <w:rPr>
                <w:rFonts w:ascii="Cambria Math" w:hAnsi="Cambria Math"/>
                <w:sz w:val="34"/>
                <w:szCs w:val="34"/>
              </w:rPr>
              <m:t>2</m:t>
            </m:r>
          </m:sup>
        </m:sSubSup>
        <m:r>
          <w:rPr>
            <w:rFonts w:ascii="Cambria Math" w:hAnsi="Cambria Math"/>
            <w:sz w:val="34"/>
            <w:szCs w:val="34"/>
          </w:rPr>
          <m:t>=a+b</m:t>
        </m:r>
        <m:sSubSup>
          <m:sSubSupPr>
            <m:ctrlPr>
              <w:rPr>
                <w:rFonts w:ascii="Cambria Math" w:hAnsi="Cambria Math"/>
                <w:i/>
                <w:sz w:val="34"/>
                <w:szCs w:val="34"/>
              </w:rPr>
            </m:ctrlPr>
          </m:sSubSupPr>
          <m:e>
            <m:r>
              <w:rPr>
                <w:rFonts w:ascii="Cambria Math" w:hAnsi="Cambria Math"/>
                <w:sz w:val="34"/>
                <w:szCs w:val="34"/>
              </w:rPr>
              <m:t>S</m:t>
            </m:r>
          </m:e>
          <m:sub>
            <m:r>
              <w:rPr>
                <w:rFonts w:ascii="Cambria Math" w:hAnsi="Cambria Math"/>
                <w:sz w:val="34"/>
                <w:szCs w:val="34"/>
              </w:rPr>
              <m:t>i, t-1</m:t>
            </m:r>
          </m:sub>
          <m:sup>
            <m:r>
              <w:rPr>
                <w:rFonts w:ascii="Cambria Math" w:hAnsi="Cambria Math"/>
                <w:sz w:val="34"/>
                <w:szCs w:val="34"/>
              </w:rPr>
              <m:t>-</m:t>
            </m:r>
          </m:sup>
        </m:sSubSup>
        <m:sSub>
          <m:sSubPr>
            <m:ctrlPr>
              <w:rPr>
                <w:rFonts w:ascii="Cambria Math" w:eastAsia="Times New Roman" w:hAnsi="Cambria Math"/>
                <w:i/>
                <w:sz w:val="34"/>
                <w:szCs w:val="34"/>
              </w:rPr>
            </m:ctrlPr>
          </m:sSubPr>
          <m:e>
            <m:r>
              <m:rPr>
                <m:sty m:val="p"/>
              </m:rPr>
              <w:rPr>
                <w:rFonts w:ascii="Cambria Math" w:hAnsi="Cambria Math"/>
                <w:sz w:val="34"/>
                <w:szCs w:val="34"/>
              </w:rPr>
              <m:t>ԑ</m:t>
            </m:r>
          </m:e>
          <m:sub>
            <m:r>
              <w:rPr>
                <w:rFonts w:ascii="Cambria Math" w:eastAsia="Times New Roman" w:hAnsi="Cambria Math"/>
                <w:sz w:val="34"/>
                <w:szCs w:val="34"/>
              </w:rPr>
              <m:t>i,t-1</m:t>
            </m:r>
          </m:sub>
        </m:sSub>
        <m:r>
          <w:rPr>
            <w:rFonts w:ascii="Cambria Math" w:eastAsia="Times New Roman" w:hAnsi="Cambria Math"/>
            <w:sz w:val="34"/>
            <w:szCs w:val="34"/>
          </w:rPr>
          <m:t>+ui,t</m:t>
        </m:r>
      </m:oMath>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sidRPr="00E2049E">
        <w:rPr>
          <w:rFonts w:ascii="Times New Roman" w:eastAsia="Times New Roman" w:hAnsi="Times New Roman"/>
          <w:b/>
          <w:bCs/>
          <w:sz w:val="24"/>
          <w:szCs w:val="24"/>
        </w:rPr>
        <w:t>3.</w:t>
      </w:r>
      <w:r>
        <w:rPr>
          <w:rFonts w:ascii="Times New Roman" w:eastAsia="Times New Roman" w:hAnsi="Times New Roman"/>
          <w:b/>
          <w:bCs/>
          <w:sz w:val="24"/>
          <w:szCs w:val="24"/>
        </w:rPr>
        <w:t>9</w:t>
      </w:r>
    </w:p>
    <w:p w14:paraId="37C29242" w14:textId="77777777"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Positive size biased test </w:t>
      </w:r>
      <w:r>
        <w:rPr>
          <w:rFonts w:ascii="Times New Roman" w:hAnsi="Times New Roman"/>
          <w:sz w:val="24"/>
          <w:szCs w:val="24"/>
        </w:rPr>
        <w:tab/>
      </w:r>
      <m:oMath>
        <m:sSubSup>
          <m:sSubSupPr>
            <m:ctrlPr>
              <w:rPr>
                <w:rFonts w:ascii="Cambria Math" w:hAnsi="Cambria Math"/>
                <w:i/>
                <w:sz w:val="30"/>
                <w:szCs w:val="30"/>
              </w:rPr>
            </m:ctrlPr>
          </m:sSubSupPr>
          <m:e>
            <m:r>
              <m:rPr>
                <m:sty m:val="p"/>
              </m:rPr>
              <w:rPr>
                <w:rFonts w:ascii="Cambria Math" w:hAnsi="Cambria Math"/>
                <w:sz w:val="30"/>
                <w:szCs w:val="30"/>
              </w:rPr>
              <m:t>ԑ</m:t>
            </m:r>
          </m:e>
          <m:sub>
            <m:r>
              <w:rPr>
                <w:rFonts w:ascii="Cambria Math" w:hAnsi="Cambria Math"/>
                <w:sz w:val="30"/>
                <w:szCs w:val="30"/>
              </w:rPr>
              <m:t>it</m:t>
            </m:r>
          </m:sub>
          <m:sup>
            <m:r>
              <w:rPr>
                <w:rFonts w:ascii="Cambria Math" w:hAnsi="Cambria Math"/>
                <w:sz w:val="30"/>
                <w:szCs w:val="30"/>
              </w:rPr>
              <m:t>2</m:t>
            </m:r>
          </m:sup>
        </m:sSubSup>
        <m:r>
          <w:rPr>
            <w:rFonts w:ascii="Cambria Math" w:hAnsi="Cambria Math"/>
            <w:sz w:val="30"/>
            <w:szCs w:val="30"/>
          </w:rPr>
          <m:t>=a+b</m:t>
        </m:r>
        <m:sSubSup>
          <m:sSubSupPr>
            <m:ctrlPr>
              <w:rPr>
                <w:rFonts w:ascii="Cambria Math" w:hAnsi="Cambria Math"/>
                <w:i/>
                <w:sz w:val="30"/>
                <w:szCs w:val="30"/>
              </w:rPr>
            </m:ctrlPr>
          </m:sSubSupPr>
          <m:e>
            <m:r>
              <w:rPr>
                <w:rFonts w:ascii="Cambria Math" w:hAnsi="Cambria Math"/>
                <w:sz w:val="30"/>
                <w:szCs w:val="30"/>
              </w:rPr>
              <m:t>S</m:t>
            </m:r>
          </m:e>
          <m:sub>
            <m:r>
              <w:rPr>
                <w:rFonts w:ascii="Cambria Math" w:hAnsi="Cambria Math"/>
                <w:sz w:val="30"/>
                <w:szCs w:val="30"/>
              </w:rPr>
              <m:t>i, t-1</m:t>
            </m:r>
          </m:sub>
          <m:sup>
            <m:r>
              <w:rPr>
                <w:rFonts w:ascii="Cambria Math" w:hAnsi="Cambria Math"/>
                <w:sz w:val="30"/>
                <w:szCs w:val="30"/>
              </w:rPr>
              <m:t>+</m:t>
            </m:r>
          </m:sup>
        </m:sSubSup>
        <m:sSub>
          <m:sSubPr>
            <m:ctrlPr>
              <w:rPr>
                <w:rFonts w:ascii="Cambria Math" w:eastAsia="Times New Roman" w:hAnsi="Cambria Math"/>
                <w:i/>
                <w:sz w:val="30"/>
                <w:szCs w:val="30"/>
              </w:rPr>
            </m:ctrlPr>
          </m:sSubPr>
          <m:e>
            <m:r>
              <m:rPr>
                <m:sty m:val="p"/>
              </m:rPr>
              <w:rPr>
                <w:rFonts w:ascii="Cambria Math" w:hAnsi="Cambria Math"/>
                <w:sz w:val="30"/>
                <w:szCs w:val="30"/>
              </w:rPr>
              <m:t>ԑ</m:t>
            </m:r>
          </m:e>
          <m:sub>
            <m:r>
              <w:rPr>
                <w:rFonts w:ascii="Cambria Math" w:eastAsia="Times New Roman" w:hAnsi="Cambria Math"/>
                <w:sz w:val="30"/>
                <w:szCs w:val="30"/>
              </w:rPr>
              <m:t>i,t-1</m:t>
            </m:r>
          </m:sub>
        </m:sSub>
        <m:r>
          <w:rPr>
            <w:rFonts w:ascii="Cambria Math" w:eastAsia="Times New Roman" w:hAnsi="Cambria Math"/>
            <w:sz w:val="30"/>
            <w:szCs w:val="30"/>
          </w:rPr>
          <m:t>+ui,t</m:t>
        </m:r>
      </m:oMath>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sidRPr="00E2049E">
        <w:rPr>
          <w:rFonts w:ascii="Times New Roman" w:eastAsia="Times New Roman" w:hAnsi="Times New Roman"/>
          <w:sz w:val="24"/>
          <w:szCs w:val="24"/>
        </w:rPr>
        <w:tab/>
      </w:r>
      <w:r w:rsidRPr="00E2049E">
        <w:rPr>
          <w:rFonts w:ascii="Times New Roman" w:eastAsia="Times New Roman" w:hAnsi="Times New Roman"/>
          <w:b/>
          <w:bCs/>
          <w:sz w:val="24"/>
          <w:szCs w:val="24"/>
        </w:rPr>
        <w:t>3.1</w:t>
      </w:r>
      <w:r>
        <w:rPr>
          <w:rFonts w:ascii="Times New Roman" w:eastAsia="Times New Roman" w:hAnsi="Times New Roman"/>
          <w:b/>
          <w:bCs/>
          <w:sz w:val="24"/>
          <w:szCs w:val="24"/>
        </w:rPr>
        <w:t>0</w:t>
      </w:r>
    </w:p>
    <w:p w14:paraId="3E71BE86"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 xml:space="preserve">The sign bias test is the t statistic for testing </w:t>
      </w: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o</m:t>
            </m:r>
          </m:sub>
        </m:sSub>
        <m:r>
          <w:rPr>
            <w:rFonts w:ascii="Cambria Math" w:hAnsi="Cambria Math"/>
            <w:sz w:val="28"/>
            <w:szCs w:val="28"/>
          </w:rPr>
          <m:t>b=0</m:t>
        </m:r>
      </m:oMath>
      <w:r w:rsidRPr="00E2049E">
        <w:rPr>
          <w:rFonts w:ascii="Times New Roman" w:hAnsi="Times New Roman"/>
          <w:sz w:val="24"/>
          <w:szCs w:val="24"/>
        </w:rPr>
        <w:t xml:space="preserve">, in equation 3.11 and the negative size bias test is the t statistic of testing </w:t>
      </w: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o</m:t>
            </m:r>
          </m:sub>
        </m:sSub>
        <m:r>
          <w:rPr>
            <w:rFonts w:ascii="Cambria Math" w:hAnsi="Cambria Math"/>
            <w:sz w:val="28"/>
            <w:szCs w:val="28"/>
          </w:rPr>
          <m:t>b=0</m:t>
        </m:r>
      </m:oMath>
      <w:r w:rsidRPr="00E2049E">
        <w:rPr>
          <w:rFonts w:ascii="Times New Roman" w:hAnsi="Times New Roman"/>
          <w:sz w:val="24"/>
          <w:szCs w:val="24"/>
        </w:rPr>
        <w:t xml:space="preserve">, in equation 3.12 these tests can be jointly carried out using the joint bias test. </w:t>
      </w:r>
    </w:p>
    <w:p w14:paraId="2CA6FEA3" w14:textId="77777777" w:rsidR="00EE1D4F" w:rsidRPr="00E2049E" w:rsidRDefault="00EE1D4F" w:rsidP="00085DAE">
      <w:pPr>
        <w:spacing w:after="0" w:line="240" w:lineRule="auto"/>
        <w:ind w:right="-540"/>
        <w:rPr>
          <w:rFonts w:ascii="Times New Roman" w:hAnsi="Times New Roman"/>
          <w:sz w:val="24"/>
          <w:szCs w:val="24"/>
        </w:rPr>
      </w:pPr>
      <w:r>
        <w:rPr>
          <w:rFonts w:ascii="Times New Roman" w:eastAsia="Times New Roman" w:hAnsi="Times New Roman"/>
          <w:sz w:val="24"/>
          <w:szCs w:val="24"/>
        </w:rPr>
        <w:t xml:space="preserve">Joint Biased Test </w:t>
      </w:r>
      <w:r>
        <w:rPr>
          <w:rFonts w:ascii="Times New Roman" w:eastAsia="Times New Roman" w:hAnsi="Times New Roman"/>
          <w:sz w:val="24"/>
          <w:szCs w:val="24"/>
        </w:rPr>
        <w:tab/>
      </w:r>
      <m:oMath>
        <m:sSubSup>
          <m:sSubSupPr>
            <m:ctrlPr>
              <w:rPr>
                <w:rFonts w:ascii="Cambria Math" w:hAnsi="Cambria Math"/>
                <w:i/>
                <w:sz w:val="30"/>
                <w:szCs w:val="30"/>
              </w:rPr>
            </m:ctrlPr>
          </m:sSubSupPr>
          <m:e>
            <m:r>
              <m:rPr>
                <m:sty m:val="p"/>
              </m:rPr>
              <w:rPr>
                <w:rFonts w:ascii="Cambria Math" w:hAnsi="Cambria Math"/>
                <w:sz w:val="30"/>
                <w:szCs w:val="30"/>
              </w:rPr>
              <m:t>ԑ</m:t>
            </m:r>
          </m:e>
          <m:sub>
            <m:r>
              <w:rPr>
                <w:rFonts w:ascii="Cambria Math" w:hAnsi="Cambria Math"/>
                <w:sz w:val="30"/>
                <w:szCs w:val="30"/>
              </w:rPr>
              <m:t>it</m:t>
            </m:r>
          </m:sub>
          <m:sup>
            <m:r>
              <w:rPr>
                <w:rFonts w:ascii="Cambria Math" w:hAnsi="Cambria Math"/>
                <w:sz w:val="30"/>
                <w:szCs w:val="30"/>
              </w:rPr>
              <m:t>2</m:t>
            </m:r>
          </m:sup>
        </m:sSubSup>
        <m:r>
          <w:rPr>
            <w:rFonts w:ascii="Cambria Math" w:hAnsi="Cambria Math"/>
            <w:sz w:val="30"/>
            <w:szCs w:val="30"/>
          </w:rPr>
          <m:t>=a+</m:t>
        </m:r>
        <m:sSub>
          <m:sSubPr>
            <m:ctrlPr>
              <w:rPr>
                <w:rFonts w:ascii="Cambria Math" w:hAnsi="Cambria Math"/>
                <w:i/>
                <w:sz w:val="30"/>
                <w:szCs w:val="30"/>
              </w:rPr>
            </m:ctrlPr>
          </m:sSubPr>
          <m:e>
            <m:r>
              <w:rPr>
                <w:rFonts w:ascii="Cambria Math" w:hAnsi="Cambria Math"/>
                <w:sz w:val="30"/>
                <w:szCs w:val="30"/>
              </w:rPr>
              <m:t>b</m:t>
            </m:r>
          </m:e>
          <m:sub>
            <m:r>
              <w:rPr>
                <w:rFonts w:ascii="Cambria Math" w:hAnsi="Cambria Math"/>
                <w:sz w:val="30"/>
                <w:szCs w:val="30"/>
              </w:rPr>
              <m:t>1</m:t>
            </m:r>
          </m:sub>
        </m:sSub>
        <m:sSubSup>
          <m:sSubSupPr>
            <m:ctrlPr>
              <w:rPr>
                <w:rFonts w:ascii="Cambria Math" w:hAnsi="Cambria Math"/>
                <w:i/>
                <w:sz w:val="30"/>
                <w:szCs w:val="30"/>
              </w:rPr>
            </m:ctrlPr>
          </m:sSubSupPr>
          <m:e>
            <m:r>
              <w:rPr>
                <w:rFonts w:ascii="Cambria Math" w:hAnsi="Cambria Math"/>
                <w:sz w:val="30"/>
                <w:szCs w:val="30"/>
              </w:rPr>
              <m:t>S</m:t>
            </m:r>
          </m:e>
          <m:sub>
            <m:r>
              <w:rPr>
                <w:rFonts w:ascii="Cambria Math" w:hAnsi="Cambria Math"/>
                <w:sz w:val="30"/>
                <w:szCs w:val="30"/>
              </w:rPr>
              <m:t>i, t-1</m:t>
            </m:r>
          </m:sub>
          <m:sup>
            <m:r>
              <w:rPr>
                <w:rFonts w:ascii="Cambria Math" w:hAnsi="Cambria Math"/>
                <w:sz w:val="30"/>
                <w:szCs w:val="30"/>
              </w:rPr>
              <m:t>-</m:t>
            </m:r>
          </m:sup>
        </m:sSubSup>
        <m:r>
          <w:rPr>
            <w:rFonts w:ascii="Cambria Math" w:hAnsi="Cambria Math"/>
            <w:sz w:val="30"/>
            <w:szCs w:val="30"/>
          </w:rPr>
          <m:t>+</m:t>
        </m:r>
        <m:sSub>
          <m:sSubPr>
            <m:ctrlPr>
              <w:rPr>
                <w:rFonts w:ascii="Cambria Math" w:eastAsia="Times New Roman" w:hAnsi="Cambria Math"/>
                <w:i/>
                <w:sz w:val="30"/>
                <w:szCs w:val="30"/>
              </w:rPr>
            </m:ctrlPr>
          </m:sSubPr>
          <m:e>
            <m:r>
              <w:rPr>
                <w:rFonts w:ascii="Cambria Math" w:eastAsia="Times New Roman" w:hAnsi="Cambria Math"/>
                <w:sz w:val="30"/>
                <w:szCs w:val="30"/>
              </w:rPr>
              <m:t>b</m:t>
            </m:r>
          </m:e>
          <m:sub>
            <m:r>
              <w:rPr>
                <w:rFonts w:ascii="Cambria Math" w:eastAsia="Times New Roman" w:hAnsi="Cambria Math"/>
                <w:sz w:val="30"/>
                <w:szCs w:val="30"/>
              </w:rPr>
              <m:t>2</m:t>
            </m:r>
          </m:sub>
        </m:sSub>
        <m:sSubSup>
          <m:sSubSupPr>
            <m:ctrlPr>
              <w:rPr>
                <w:rFonts w:ascii="Cambria Math" w:hAnsi="Cambria Math"/>
                <w:i/>
                <w:sz w:val="30"/>
                <w:szCs w:val="30"/>
              </w:rPr>
            </m:ctrlPr>
          </m:sSubSupPr>
          <m:e>
            <m:r>
              <w:rPr>
                <w:rFonts w:ascii="Cambria Math" w:hAnsi="Cambria Math"/>
                <w:sz w:val="30"/>
                <w:szCs w:val="30"/>
              </w:rPr>
              <m:t>S</m:t>
            </m:r>
          </m:e>
          <m:sub>
            <m:r>
              <w:rPr>
                <w:rFonts w:ascii="Cambria Math" w:hAnsi="Cambria Math"/>
                <w:sz w:val="30"/>
                <w:szCs w:val="30"/>
              </w:rPr>
              <m:t>i, t-1</m:t>
            </m:r>
          </m:sub>
          <m:sup>
            <m:r>
              <w:rPr>
                <w:rFonts w:ascii="Cambria Math" w:hAnsi="Cambria Math"/>
                <w:sz w:val="30"/>
                <w:szCs w:val="30"/>
              </w:rPr>
              <m:t>-</m:t>
            </m:r>
          </m:sup>
        </m:sSubSup>
        <m:sSub>
          <m:sSubPr>
            <m:ctrlPr>
              <w:rPr>
                <w:rFonts w:ascii="Cambria Math" w:eastAsia="Times New Roman" w:hAnsi="Cambria Math"/>
                <w:i/>
                <w:sz w:val="30"/>
                <w:szCs w:val="30"/>
              </w:rPr>
            </m:ctrlPr>
          </m:sSubPr>
          <m:e>
            <m:r>
              <m:rPr>
                <m:sty m:val="p"/>
              </m:rPr>
              <w:rPr>
                <w:rFonts w:ascii="Cambria Math" w:hAnsi="Cambria Math"/>
                <w:sz w:val="30"/>
                <w:szCs w:val="30"/>
              </w:rPr>
              <m:t>ԑ</m:t>
            </m:r>
          </m:e>
          <m:sub>
            <m:r>
              <w:rPr>
                <w:rFonts w:ascii="Cambria Math" w:eastAsia="Times New Roman" w:hAnsi="Cambria Math"/>
                <w:sz w:val="30"/>
                <w:szCs w:val="30"/>
              </w:rPr>
              <m:t>i,t-1</m:t>
            </m:r>
          </m:sub>
        </m:sSub>
        <m:r>
          <w:rPr>
            <w:rFonts w:ascii="Cambria Math" w:eastAsia="Times New Roman" w:hAnsi="Cambria Math"/>
            <w:sz w:val="30"/>
            <w:szCs w:val="30"/>
          </w:rPr>
          <m:t xml:space="preserve">+ </m:t>
        </m:r>
        <m:sSub>
          <m:sSubPr>
            <m:ctrlPr>
              <w:rPr>
                <w:rFonts w:ascii="Cambria Math" w:eastAsia="Times New Roman" w:hAnsi="Cambria Math"/>
                <w:i/>
                <w:sz w:val="30"/>
                <w:szCs w:val="30"/>
              </w:rPr>
            </m:ctrlPr>
          </m:sSubPr>
          <m:e>
            <m:r>
              <w:rPr>
                <w:rFonts w:ascii="Cambria Math" w:eastAsia="Times New Roman" w:hAnsi="Cambria Math"/>
                <w:sz w:val="30"/>
                <w:szCs w:val="30"/>
              </w:rPr>
              <m:t>b</m:t>
            </m:r>
          </m:e>
          <m:sub>
            <m:r>
              <w:rPr>
                <w:rFonts w:ascii="Cambria Math" w:eastAsia="Times New Roman" w:hAnsi="Cambria Math"/>
                <w:sz w:val="30"/>
                <w:szCs w:val="30"/>
              </w:rPr>
              <m:t>3</m:t>
            </m:r>
          </m:sub>
        </m:sSub>
        <m:sSubSup>
          <m:sSubSupPr>
            <m:ctrlPr>
              <w:rPr>
                <w:rFonts w:ascii="Cambria Math" w:hAnsi="Cambria Math"/>
                <w:i/>
                <w:sz w:val="30"/>
                <w:szCs w:val="30"/>
              </w:rPr>
            </m:ctrlPr>
          </m:sSubSupPr>
          <m:e>
            <m:r>
              <w:rPr>
                <w:rFonts w:ascii="Cambria Math" w:hAnsi="Cambria Math"/>
                <w:sz w:val="30"/>
                <w:szCs w:val="30"/>
              </w:rPr>
              <m:t>S</m:t>
            </m:r>
          </m:e>
          <m:sub>
            <m:r>
              <w:rPr>
                <w:rFonts w:ascii="Cambria Math" w:hAnsi="Cambria Math"/>
                <w:sz w:val="30"/>
                <w:szCs w:val="30"/>
              </w:rPr>
              <m:t>i, t-1</m:t>
            </m:r>
          </m:sub>
          <m:sup>
            <m:r>
              <w:rPr>
                <w:rFonts w:ascii="Cambria Math" w:hAnsi="Cambria Math"/>
                <w:sz w:val="30"/>
                <w:szCs w:val="30"/>
              </w:rPr>
              <m:t>+</m:t>
            </m:r>
          </m:sup>
        </m:sSubSup>
        <m:sSub>
          <m:sSubPr>
            <m:ctrlPr>
              <w:rPr>
                <w:rFonts w:ascii="Cambria Math" w:eastAsia="Times New Roman" w:hAnsi="Cambria Math"/>
                <w:i/>
                <w:sz w:val="30"/>
                <w:szCs w:val="30"/>
              </w:rPr>
            </m:ctrlPr>
          </m:sSubPr>
          <m:e>
            <m:r>
              <m:rPr>
                <m:sty m:val="p"/>
              </m:rPr>
              <w:rPr>
                <w:rFonts w:ascii="Cambria Math" w:hAnsi="Cambria Math"/>
                <w:sz w:val="30"/>
                <w:szCs w:val="30"/>
              </w:rPr>
              <m:t>ԑ</m:t>
            </m:r>
          </m:e>
          <m:sub>
            <m:r>
              <w:rPr>
                <w:rFonts w:ascii="Cambria Math" w:eastAsia="Times New Roman" w:hAnsi="Cambria Math"/>
                <w:sz w:val="30"/>
                <w:szCs w:val="30"/>
              </w:rPr>
              <m:t>i,t-1</m:t>
            </m:r>
          </m:sub>
        </m:sSub>
        <m:r>
          <w:rPr>
            <w:rFonts w:ascii="Cambria Math" w:eastAsia="Times New Roman" w:hAnsi="Cambria Math"/>
            <w:sz w:val="30"/>
            <w:szCs w:val="30"/>
          </w:rPr>
          <m:t>+uit</m:t>
        </m:r>
      </m:oMath>
      <w:r w:rsidRPr="00E2049E">
        <w:rPr>
          <w:rFonts w:ascii="Times New Roman" w:eastAsia="Times New Roman" w:hAnsi="Times New Roman"/>
          <w:sz w:val="24"/>
          <w:szCs w:val="24"/>
        </w:rPr>
        <w:tab/>
      </w:r>
      <w:r w:rsidRPr="00E2049E">
        <w:rPr>
          <w:rFonts w:ascii="Times New Roman" w:eastAsia="Times New Roman" w:hAnsi="Times New Roman"/>
          <w:b/>
          <w:bCs/>
          <w:sz w:val="24"/>
          <w:szCs w:val="24"/>
        </w:rPr>
        <w:t>3.1</w:t>
      </w:r>
      <w:r>
        <w:rPr>
          <w:rFonts w:ascii="Times New Roman" w:eastAsia="Times New Roman" w:hAnsi="Times New Roman"/>
          <w:b/>
          <w:bCs/>
          <w:sz w:val="24"/>
          <w:szCs w:val="24"/>
        </w:rPr>
        <w:t>1</w:t>
      </w:r>
    </w:p>
    <w:p w14:paraId="1D837288" w14:textId="77777777" w:rsidR="00EE1D4F" w:rsidRPr="00E2049E" w:rsidRDefault="00000000" w:rsidP="00085DAE">
      <w:pPr>
        <w:spacing w:line="240" w:lineRule="auto"/>
        <w:rPr>
          <w:rFonts w:ascii="Times New Roman" w:hAnsi="Times New Roman"/>
          <w:sz w:val="24"/>
          <w:szCs w:val="24"/>
        </w:rPr>
      </w:pPr>
      <m:oMath>
        <m:sSubSup>
          <m:sSubSupPr>
            <m:ctrlPr>
              <w:rPr>
                <w:rFonts w:ascii="Cambria Math" w:hAnsi="Cambria Math"/>
                <w:i/>
                <w:sz w:val="30"/>
                <w:szCs w:val="30"/>
              </w:rPr>
            </m:ctrlPr>
          </m:sSubSupPr>
          <m:e>
            <m:r>
              <w:rPr>
                <w:rFonts w:ascii="Cambria Math" w:hAnsi="Cambria Math"/>
                <w:sz w:val="30"/>
                <w:szCs w:val="30"/>
              </w:rPr>
              <m:t>S</m:t>
            </m:r>
          </m:e>
          <m:sub>
            <m:r>
              <w:rPr>
                <w:rFonts w:ascii="Cambria Math" w:hAnsi="Cambria Math"/>
                <w:sz w:val="30"/>
                <w:szCs w:val="30"/>
              </w:rPr>
              <m:t>i, t-1</m:t>
            </m:r>
          </m:sub>
          <m:sup>
            <m:r>
              <w:rPr>
                <w:rFonts w:ascii="Cambria Math" w:hAnsi="Cambria Math"/>
                <w:sz w:val="30"/>
                <w:szCs w:val="30"/>
              </w:rPr>
              <m:t>-</m:t>
            </m:r>
          </m:sup>
        </m:sSubSup>
      </m:oMath>
      <w:r w:rsidR="00EE1D4F" w:rsidRPr="00E2049E">
        <w:rPr>
          <w:rFonts w:ascii="Times New Roman" w:eastAsia="Times New Roman" w:hAnsi="Times New Roman"/>
          <w:sz w:val="24"/>
          <w:szCs w:val="24"/>
        </w:rPr>
        <w:t xml:space="preserve"> and </w:t>
      </w:r>
      <m:oMath>
        <m:sSubSup>
          <m:sSubSupPr>
            <m:ctrlPr>
              <w:rPr>
                <w:rFonts w:ascii="Cambria Math" w:hAnsi="Cambria Math"/>
                <w:i/>
                <w:sz w:val="28"/>
                <w:szCs w:val="28"/>
              </w:rPr>
            </m:ctrlPr>
          </m:sSubSupPr>
          <m:e>
            <m:r>
              <w:rPr>
                <w:rFonts w:ascii="Cambria Math" w:hAnsi="Cambria Math"/>
                <w:sz w:val="28"/>
                <w:szCs w:val="28"/>
              </w:rPr>
              <m:t>S</m:t>
            </m:r>
          </m:e>
          <m:sub>
            <m:r>
              <w:rPr>
                <w:rFonts w:ascii="Cambria Math" w:hAnsi="Cambria Math"/>
                <w:sz w:val="28"/>
                <w:szCs w:val="28"/>
              </w:rPr>
              <m:t>i, t-1</m:t>
            </m:r>
          </m:sub>
          <m:sup>
            <m:r>
              <w:rPr>
                <w:rFonts w:ascii="Cambria Math" w:hAnsi="Cambria Math"/>
                <w:sz w:val="28"/>
                <w:szCs w:val="28"/>
              </w:rPr>
              <m:t>+</m:t>
            </m:r>
          </m:sup>
        </m:sSubSup>
      </m:oMath>
      <w:r w:rsidR="00EE1D4F" w:rsidRPr="00E2049E">
        <w:rPr>
          <w:rFonts w:ascii="Times New Roman" w:hAnsi="Times New Roman"/>
          <w:sz w:val="24"/>
          <w:szCs w:val="24"/>
        </w:rPr>
        <w:t xml:space="preserve"> are dummy variables that take a value of </w:t>
      </w:r>
      <w:r w:rsidR="00EE1D4F" w:rsidRPr="00E2049E">
        <w:rPr>
          <w:rFonts w:ascii="Times New Roman" w:hAnsi="Times New Roman"/>
          <w:b/>
          <w:bCs/>
          <w:sz w:val="24"/>
          <w:szCs w:val="24"/>
        </w:rPr>
        <w:t xml:space="preserve">1 </w:t>
      </w:r>
      <w:r w:rsidR="00EE1D4F" w:rsidRPr="00E2049E">
        <w:rPr>
          <w:rFonts w:ascii="Times New Roman" w:hAnsi="Times New Roman"/>
          <w:sz w:val="24"/>
          <w:szCs w:val="24"/>
        </w:rPr>
        <w:t xml:space="preserve">for negative and </w:t>
      </w:r>
      <w:r w:rsidR="00EE1D4F" w:rsidRPr="00E2049E">
        <w:rPr>
          <w:rFonts w:ascii="Times New Roman" w:hAnsi="Times New Roman"/>
          <w:b/>
          <w:bCs/>
          <w:sz w:val="24"/>
          <w:szCs w:val="24"/>
        </w:rPr>
        <w:t>0</w:t>
      </w:r>
      <w:r w:rsidR="00EE1D4F" w:rsidRPr="00E2049E">
        <w:rPr>
          <w:rFonts w:ascii="Times New Roman" w:hAnsi="Times New Roman"/>
          <w:sz w:val="24"/>
          <w:szCs w:val="24"/>
        </w:rPr>
        <w:t xml:space="preserve"> for positive residuals of </w:t>
      </w:r>
      <w:proofErr w:type="spellStart"/>
      <w:r w:rsidR="00EE1D4F" w:rsidRPr="00E2049E">
        <w:rPr>
          <w:rFonts w:ascii="Times New Roman" w:hAnsi="Times New Roman"/>
          <w:b/>
          <w:bCs/>
          <w:i/>
          <w:sz w:val="24"/>
          <w:szCs w:val="24"/>
        </w:rPr>
        <w:t>i</w:t>
      </w:r>
      <w:r w:rsidR="00EE1D4F" w:rsidRPr="00E2049E">
        <w:rPr>
          <w:rFonts w:ascii="Times New Roman" w:hAnsi="Times New Roman"/>
          <w:sz w:val="24"/>
          <w:szCs w:val="24"/>
        </w:rPr>
        <w:t>respectively</w:t>
      </w:r>
      <w:proofErr w:type="spellEnd"/>
      <w:r w:rsidR="00EE1D4F" w:rsidRPr="00E2049E">
        <w:rPr>
          <w:rFonts w:ascii="Times New Roman" w:hAnsi="Times New Roman"/>
          <w:sz w:val="24"/>
          <w:szCs w:val="24"/>
        </w:rPr>
        <w:t xml:space="preserve">. The LM test statistic for the null hypothesis is </w:t>
      </w: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o</m:t>
            </m:r>
          </m:sub>
        </m:sSub>
      </m:oMath>
      <w:r w:rsidR="00EE1D4F" w:rsidRPr="00E2049E">
        <w:rPr>
          <w:rFonts w:ascii="Times New Roman" w:hAnsi="Times New Roman"/>
          <w:sz w:val="24"/>
          <w:szCs w:val="24"/>
        </w:rPr>
        <w:t xml:space="preserve">: </w:t>
      </w:r>
      <m:oMath>
        <m:r>
          <w:rPr>
            <w:rFonts w:ascii="Cambria Math" w:hAnsi="Cambria Math"/>
            <w:sz w:val="28"/>
            <w:szCs w:val="28"/>
          </w:rPr>
          <m:t>b1=b2=b3=0</m:t>
        </m:r>
      </m:oMath>
      <w:r w:rsidR="00EE1D4F" w:rsidRPr="00E2049E">
        <w:rPr>
          <w:rFonts w:ascii="Times New Roman" w:hAnsi="Times New Roman"/>
          <w:sz w:val="24"/>
          <w:szCs w:val="24"/>
        </w:rPr>
        <w:t xml:space="preserve"> which has a Chi squared distribution. Rejecting the null hypothesis imply using the VARMA-AGARCH model and vice versa. However, Engle and Ng (1993 cited by Salisu 2009 advises that the joint test be considered to determine asymmetric effects where there is a conflict among the individual tests. </w:t>
      </w:r>
    </w:p>
    <w:p w14:paraId="56CD918A" w14:textId="21479C14" w:rsidR="00EE1D4F" w:rsidRPr="009A2413" w:rsidRDefault="00EE1D4F" w:rsidP="009A2413">
      <w:pPr>
        <w:pStyle w:val="ListParagraph"/>
        <w:numPr>
          <w:ilvl w:val="0"/>
          <w:numId w:val="21"/>
        </w:numPr>
        <w:spacing w:after="0" w:line="240" w:lineRule="auto"/>
        <w:rPr>
          <w:rFonts w:ascii="Times New Roman" w:hAnsi="Times New Roman"/>
          <w:sz w:val="24"/>
          <w:szCs w:val="24"/>
        </w:rPr>
      </w:pPr>
      <w:r w:rsidRPr="009A2413">
        <w:rPr>
          <w:rFonts w:ascii="Times New Roman" w:hAnsi="Times New Roman"/>
          <w:b/>
          <w:bCs/>
          <w:sz w:val="24"/>
          <w:szCs w:val="24"/>
        </w:rPr>
        <w:t xml:space="preserve">The Engle-Sheppard CCC </w:t>
      </w:r>
      <w:r w:rsidRPr="009A2413">
        <w:rPr>
          <w:rFonts w:ascii="Times New Roman" w:hAnsi="Times New Roman"/>
          <w:b/>
          <w:bCs/>
          <w:i/>
          <w:sz w:val="24"/>
          <w:szCs w:val="24"/>
        </w:rPr>
        <w:t>x</w:t>
      </w:r>
      <w:r w:rsidRPr="009A2413">
        <w:rPr>
          <w:rFonts w:ascii="Times New Roman" w:hAnsi="Times New Roman"/>
          <w:b/>
          <w:bCs/>
          <w:sz w:val="24"/>
          <w:szCs w:val="24"/>
          <w:vertAlign w:val="superscript"/>
        </w:rPr>
        <w:t>2</w:t>
      </w:r>
      <w:r w:rsidRPr="009A2413">
        <w:rPr>
          <w:rFonts w:ascii="Times New Roman" w:hAnsi="Times New Roman"/>
          <w:b/>
          <w:bCs/>
          <w:sz w:val="24"/>
          <w:szCs w:val="24"/>
        </w:rPr>
        <w:t xml:space="preserve"> Test</w:t>
      </w:r>
    </w:p>
    <w:p w14:paraId="27553593" w14:textId="77777777" w:rsidR="00EE1D4F" w:rsidRPr="00E2049E" w:rsidRDefault="00EE1D4F" w:rsidP="00085DAE">
      <w:pPr>
        <w:spacing w:after="0" w:line="240" w:lineRule="auto"/>
        <w:rPr>
          <w:rFonts w:ascii="Times New Roman" w:hAnsi="Times New Roman"/>
          <w:sz w:val="24"/>
          <w:szCs w:val="24"/>
        </w:rPr>
      </w:pPr>
      <w:r>
        <w:rPr>
          <w:rFonts w:ascii="Times New Roman" w:hAnsi="Times New Roman"/>
          <w:sz w:val="24"/>
          <w:szCs w:val="24"/>
        </w:rPr>
        <w:t xml:space="preserve">Though </w:t>
      </w:r>
      <w:r w:rsidRPr="00E2049E">
        <w:rPr>
          <w:rFonts w:ascii="Times New Roman" w:hAnsi="Times New Roman"/>
          <w:sz w:val="24"/>
          <w:szCs w:val="24"/>
        </w:rPr>
        <w:t xml:space="preserve">VARMA-GARCH class of models assume constant conditional correlations, it is still necessary to conduct a formal test. For this, the Engle-Sheppard (2001) CCC test </w:t>
      </w:r>
      <w:r>
        <w:rPr>
          <w:rFonts w:ascii="Times New Roman" w:hAnsi="Times New Roman"/>
          <w:sz w:val="24"/>
          <w:szCs w:val="24"/>
        </w:rPr>
        <w:t>was</w:t>
      </w:r>
      <w:r w:rsidRPr="00E2049E">
        <w:rPr>
          <w:rFonts w:ascii="Times New Roman" w:hAnsi="Times New Roman"/>
          <w:sz w:val="24"/>
          <w:szCs w:val="24"/>
        </w:rPr>
        <w:t xml:space="preserve"> conducted to enable us choose between the CCC or DCC GARCH variant to use. The null hypothesis of CCC is tested </w:t>
      </w:r>
      <w:r w:rsidRPr="00E2049E">
        <w:rPr>
          <w:rFonts w:ascii="Times New Roman" w:hAnsi="Times New Roman"/>
          <w:sz w:val="24"/>
          <w:szCs w:val="24"/>
        </w:rPr>
        <w:t>against the alternative of DCC both earlier outlined in equations 3.5 and 3.6</w:t>
      </w:r>
    </w:p>
    <w:p w14:paraId="0AF50519" w14:textId="77777777"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Thus, the rejection of the null implies adopting the DCC model while the non-rejection of the null </w:t>
      </w:r>
      <w:proofErr w:type="spellStart"/>
      <w:r w:rsidRPr="00E2049E">
        <w:rPr>
          <w:rFonts w:ascii="Times New Roman" w:hAnsi="Times New Roman"/>
          <w:sz w:val="24"/>
          <w:szCs w:val="24"/>
        </w:rPr>
        <w:t>favours</w:t>
      </w:r>
      <w:proofErr w:type="spellEnd"/>
      <w:r w:rsidRPr="00E2049E">
        <w:rPr>
          <w:rFonts w:ascii="Times New Roman" w:hAnsi="Times New Roman"/>
          <w:sz w:val="24"/>
          <w:szCs w:val="24"/>
        </w:rPr>
        <w:t xml:space="preserve"> the CCC model and its variant such as the VARMA-GARCH model. </w:t>
      </w:r>
    </w:p>
    <w:p w14:paraId="74D14880" w14:textId="4E2230F4"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 xml:space="preserve">Estimation Technique </w:t>
      </w:r>
    </w:p>
    <w:p w14:paraId="1BD74E17" w14:textId="77777777" w:rsidR="00EE1D4F" w:rsidRPr="00E2049E"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The est</w:t>
      </w:r>
      <w:r>
        <w:rPr>
          <w:rFonts w:ascii="Times New Roman" w:hAnsi="Times New Roman"/>
          <w:sz w:val="24"/>
          <w:szCs w:val="24"/>
        </w:rPr>
        <w:t>imation of the parameters in 3.2was</w:t>
      </w:r>
      <w:r w:rsidRPr="00E2049E">
        <w:rPr>
          <w:rFonts w:ascii="Times New Roman" w:hAnsi="Times New Roman"/>
          <w:sz w:val="24"/>
          <w:szCs w:val="24"/>
        </w:rPr>
        <w:t xml:space="preserve"> carried out </w:t>
      </w:r>
      <w:r>
        <w:rPr>
          <w:rFonts w:ascii="Times New Roman" w:hAnsi="Times New Roman"/>
          <w:sz w:val="24"/>
          <w:szCs w:val="24"/>
        </w:rPr>
        <w:t xml:space="preserve">using </w:t>
      </w:r>
      <w:r w:rsidRPr="00E2049E">
        <w:rPr>
          <w:rFonts w:ascii="Times New Roman" w:hAnsi="Times New Roman"/>
          <w:sz w:val="24"/>
          <w:szCs w:val="24"/>
        </w:rPr>
        <w:t xml:space="preserve">numerical maximizations of the joint likelihood function under the distributional assumptions of the models. For a sample of N observation, as outlined in Yaya et al 2017, the log-likelihood function to the maximized with respect to the parameters set Ɵ is </w:t>
      </w:r>
    </w:p>
    <w:p w14:paraId="2DDB77F0" w14:textId="77777777" w:rsidR="00EE1D4F" w:rsidRPr="00E2049E" w:rsidRDefault="00000000" w:rsidP="00085DAE">
      <w:pPr>
        <w:spacing w:line="240" w:lineRule="auto"/>
        <w:rPr>
          <w:rFonts w:ascii="Times New Roman" w:eastAsia="Times New Roman" w:hAnsi="Times New Roman"/>
          <w:sz w:val="24"/>
          <w:szCs w:val="24"/>
        </w:rPr>
      </w:pPr>
      <m:oMath>
        <m:d>
          <m:dPr>
            <m:ctrlPr>
              <w:rPr>
                <w:rFonts w:ascii="Cambria Math" w:hAnsi="Cambria Math"/>
                <w:i/>
                <w:sz w:val="24"/>
                <w:szCs w:val="24"/>
              </w:rPr>
            </m:ctrlPr>
          </m:dPr>
          <m:e>
            <m:d>
              <m:dPr>
                <m:ctrlPr>
                  <w:rPr>
                    <w:rFonts w:ascii="Cambria Math" w:hAnsi="Cambria Math"/>
                    <w:i/>
                    <w:sz w:val="24"/>
                    <w:szCs w:val="24"/>
                  </w:rPr>
                </m:ctrlPr>
              </m:dPr>
              <m:e>
                <m:r>
                  <m:rPr>
                    <m:sty m:val="p"/>
                  </m:rPr>
                  <w:rPr>
                    <w:rFonts w:ascii="Cambria Math" w:hAnsi="Cambria Math"/>
                    <w:sz w:val="24"/>
                    <w:szCs w:val="24"/>
                  </w:rPr>
                  <m:t>Ɵ</m:t>
                </m:r>
              </m:e>
            </m:d>
            <m:nary>
              <m:naryPr>
                <m:chr m:val="∑"/>
                <m:limLoc m:val="undOvr"/>
                <m:ctrlPr>
                  <w:rPr>
                    <w:rFonts w:ascii="Cambria Math" w:hAnsi="Cambria Math"/>
                    <w:i/>
                    <w:sz w:val="24"/>
                    <w:szCs w:val="24"/>
                  </w:rPr>
                </m:ctrlPr>
              </m:naryPr>
              <m:sub>
                <m:r>
                  <w:rPr>
                    <w:rFonts w:ascii="Cambria Math" w:hAnsi="Cambria Math"/>
                    <w:sz w:val="24"/>
                    <w:szCs w:val="24"/>
                  </w:rPr>
                  <m:t>t=1</m:t>
                </m:r>
              </m:sub>
              <m:sup>
                <m:r>
                  <w:rPr>
                    <w:rFonts w:ascii="Cambria Math" w:hAnsi="Cambria Math"/>
                    <w:sz w:val="24"/>
                    <w:szCs w:val="24"/>
                  </w:rPr>
                  <m:t>N</m:t>
                </m:r>
              </m:sup>
              <m:e>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t</m:t>
                    </m:r>
                  </m:sub>
                </m:sSub>
              </m:e>
            </m:nary>
            <m:d>
              <m:dPr>
                <m:ctrlPr>
                  <w:rPr>
                    <w:rFonts w:ascii="Cambria Math" w:hAnsi="Cambria Math"/>
                    <w:i/>
                    <w:sz w:val="24"/>
                    <w:szCs w:val="24"/>
                  </w:rPr>
                </m:ctrlPr>
              </m:dPr>
              <m:e>
                <m:r>
                  <m:rPr>
                    <m:sty m:val="p"/>
                  </m:rPr>
                  <w:rPr>
                    <w:rFonts w:ascii="Cambria Math" w:hAnsi="Cambria Math"/>
                    <w:sz w:val="24"/>
                    <w:szCs w:val="24"/>
                  </w:rPr>
                  <m:t>Ɵ</m:t>
                </m:r>
              </m:e>
            </m:d>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n</m:t>
                </m:r>
              </m:sub>
            </m:sSub>
            <m:r>
              <w:rPr>
                <w:rFonts w:ascii="Cambria Math" w:hAnsi="Cambria Math"/>
                <w:sz w:val="24"/>
                <w:szCs w:val="24"/>
              </w:rPr>
              <m:t>2π-</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nary>
              <m:naryPr>
                <m:chr m:val="∑"/>
                <m:limLoc m:val="undOvr"/>
                <m:ctrlPr>
                  <w:rPr>
                    <w:rFonts w:ascii="Cambria Math" w:hAnsi="Cambria Math"/>
                    <w:i/>
                    <w:sz w:val="24"/>
                    <w:szCs w:val="24"/>
                  </w:rPr>
                </m:ctrlPr>
              </m:naryPr>
              <m:sub>
                <m:r>
                  <w:rPr>
                    <w:rFonts w:ascii="Cambria Math" w:hAnsi="Cambria Math"/>
                    <w:sz w:val="24"/>
                    <w:szCs w:val="24"/>
                  </w:rPr>
                  <m:t>t=1</m:t>
                </m:r>
              </m:sub>
              <m:sup>
                <m:r>
                  <w:rPr>
                    <w:rFonts w:ascii="Cambria Math" w:hAnsi="Cambria Math"/>
                    <w:sz w:val="24"/>
                    <w:szCs w:val="24"/>
                  </w:rPr>
                  <m:t>N</m:t>
                </m:r>
              </m:sup>
              <m:e>
                <m:f>
                  <m:fPr>
                    <m:type m:val="lin"/>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n</m:t>
                        </m:r>
                      </m:sub>
                    </m:sSub>
                  </m:num>
                  <m:den>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t</m:t>
                        </m:r>
                      </m:sub>
                    </m:sSub>
                  </m:den>
                </m:f>
              </m:e>
            </m:nary>
            <m:d>
              <m:dPr>
                <m:ctrlPr>
                  <w:rPr>
                    <w:rFonts w:ascii="Cambria Math" w:hAnsi="Cambria Math"/>
                    <w:i/>
                    <w:sz w:val="24"/>
                    <w:szCs w:val="24"/>
                  </w:rPr>
                </m:ctrlPr>
              </m:dPr>
              <m:e>
                <m:r>
                  <m:rPr>
                    <m:sty m:val="p"/>
                  </m:rPr>
                  <w:rPr>
                    <w:rFonts w:ascii="Cambria Math" w:hAnsi="Cambria Math"/>
                    <w:sz w:val="24"/>
                    <w:szCs w:val="24"/>
                  </w:rPr>
                  <m:t>Ɵ</m:t>
                </m:r>
              </m:e>
            </m:d>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nary>
              <m:naryPr>
                <m:chr m:val="∑"/>
                <m:limLoc m:val="undOvr"/>
                <m:ctrlPr>
                  <w:rPr>
                    <w:rFonts w:ascii="Cambria Math" w:hAnsi="Cambria Math"/>
                    <w:i/>
                    <w:sz w:val="24"/>
                    <w:szCs w:val="24"/>
                  </w:rPr>
                </m:ctrlPr>
              </m:naryPr>
              <m:sub>
                <m:r>
                  <w:rPr>
                    <w:rFonts w:ascii="Cambria Math" w:hAnsi="Cambria Math"/>
                    <w:sz w:val="24"/>
                    <w:szCs w:val="24"/>
                  </w:rPr>
                  <m:t>t=1</m:t>
                </m:r>
              </m:sub>
              <m:sup>
                <m:r>
                  <w:rPr>
                    <w:rFonts w:ascii="Cambria Math" w:hAnsi="Cambria Math"/>
                    <w:sz w:val="24"/>
                    <w:szCs w:val="24"/>
                  </w:rPr>
                  <m:t>N</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t</m:t>
                    </m:r>
                  </m:sub>
                  <m:sup>
                    <m:r>
                      <w:rPr>
                        <w:rFonts w:ascii="Cambria Math" w:hAnsi="Cambria Math"/>
                        <w:sz w:val="24"/>
                        <w:szCs w:val="24"/>
                      </w:rPr>
                      <m:t>/</m:t>
                    </m:r>
                  </m:sup>
                </m:sSubSup>
              </m:e>
            </m:nary>
            <m:d>
              <m:dPr>
                <m:ctrlPr>
                  <w:rPr>
                    <w:rFonts w:ascii="Cambria Math" w:hAnsi="Cambria Math"/>
                    <w:i/>
                    <w:sz w:val="24"/>
                    <w:szCs w:val="24"/>
                  </w:rPr>
                </m:ctrlPr>
              </m:dPr>
              <m:e>
                <m:r>
                  <m:rPr>
                    <m:sty m:val="p"/>
                  </m:rPr>
                  <w:rPr>
                    <w:rFonts w:ascii="Cambria Math" w:hAnsi="Cambria Math"/>
                    <w:sz w:val="24"/>
                    <w:szCs w:val="24"/>
                  </w:rPr>
                  <m:t>Ɵ</m:t>
                </m:r>
              </m:e>
            </m:d>
            <m:sSubSup>
              <m:sSubSupPr>
                <m:ctrlPr>
                  <w:rPr>
                    <w:rFonts w:ascii="Cambria Math" w:hAnsi="Cambria Math"/>
                    <w:i/>
                    <w:sz w:val="24"/>
                    <w:szCs w:val="24"/>
                  </w:rPr>
                </m:ctrlPr>
              </m:sSubSupPr>
              <m:e>
                <m:r>
                  <w:rPr>
                    <w:rFonts w:ascii="Cambria Math" w:hAnsi="Cambria Math"/>
                    <w:sz w:val="24"/>
                    <w:szCs w:val="24"/>
                  </w:rPr>
                  <m:t>H</m:t>
                </m:r>
              </m:e>
              <m:sub>
                <m:r>
                  <w:rPr>
                    <w:rFonts w:ascii="Cambria Math" w:hAnsi="Cambria Math"/>
                    <w:sz w:val="24"/>
                    <w:szCs w:val="24"/>
                  </w:rPr>
                  <m:t>t</m:t>
                </m:r>
              </m:sub>
              <m:sup>
                <m:r>
                  <w:rPr>
                    <w:rFonts w:ascii="Cambria Math" w:hAnsi="Cambria Math"/>
                    <w:sz w:val="24"/>
                    <w:szCs w:val="24"/>
                  </w:rPr>
                  <m:t>-1</m:t>
                </m:r>
              </m:sup>
            </m:sSubSup>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t</m:t>
                </m:r>
              </m:sub>
              <m:sup>
                <m:r>
                  <w:rPr>
                    <w:rFonts w:ascii="Cambria Math" w:hAnsi="Cambria Math"/>
                    <w:sz w:val="24"/>
                    <w:szCs w:val="24"/>
                  </w:rPr>
                  <m:t>/</m:t>
                </m:r>
              </m:sup>
            </m:sSubSup>
            <m:d>
              <m:dPr>
                <m:ctrlPr>
                  <w:rPr>
                    <w:rFonts w:ascii="Cambria Math" w:hAnsi="Cambria Math"/>
                    <w:i/>
                    <w:sz w:val="24"/>
                    <w:szCs w:val="24"/>
                  </w:rPr>
                </m:ctrlPr>
              </m:dPr>
              <m:e>
                <m:r>
                  <m:rPr>
                    <m:sty m:val="p"/>
                  </m:rPr>
                  <w:rPr>
                    <w:rFonts w:ascii="Cambria Math" w:hAnsi="Cambria Math"/>
                    <w:sz w:val="24"/>
                    <w:szCs w:val="24"/>
                  </w:rPr>
                  <m:t>Ɵ</m:t>
                </m:r>
              </m:e>
            </m:d>
          </m:e>
        </m:d>
      </m:oMath>
      <w:r w:rsidR="00EE1D4F" w:rsidRPr="00E2049E">
        <w:rPr>
          <w:rFonts w:ascii="Times New Roman" w:eastAsia="Times New Roman" w:hAnsi="Times New Roman"/>
          <w:sz w:val="24"/>
          <w:szCs w:val="24"/>
        </w:rPr>
        <w:tab/>
      </w:r>
      <w:r w:rsidR="00EE1D4F">
        <w:rPr>
          <w:rFonts w:ascii="Times New Roman" w:eastAsia="Times New Roman" w:hAnsi="Times New Roman"/>
          <w:sz w:val="24"/>
          <w:szCs w:val="24"/>
        </w:rPr>
        <w:tab/>
      </w:r>
      <w:r w:rsidR="00EE1D4F">
        <w:rPr>
          <w:rFonts w:ascii="Times New Roman" w:eastAsia="Times New Roman" w:hAnsi="Times New Roman"/>
          <w:sz w:val="24"/>
          <w:szCs w:val="24"/>
        </w:rPr>
        <w:tab/>
      </w:r>
      <w:r w:rsidR="00EE1D4F" w:rsidRPr="00E2049E">
        <w:rPr>
          <w:rFonts w:ascii="Times New Roman" w:eastAsia="Times New Roman" w:hAnsi="Times New Roman"/>
          <w:b/>
          <w:bCs/>
          <w:sz w:val="24"/>
          <w:szCs w:val="24"/>
        </w:rPr>
        <w:t>3.1</w:t>
      </w:r>
      <w:r w:rsidR="00EE1D4F">
        <w:rPr>
          <w:rFonts w:ascii="Times New Roman" w:eastAsia="Times New Roman" w:hAnsi="Times New Roman"/>
          <w:b/>
          <w:bCs/>
          <w:sz w:val="24"/>
          <w:szCs w:val="24"/>
        </w:rPr>
        <w:t>2</w:t>
      </w:r>
    </w:p>
    <w:p w14:paraId="5794F2C6" w14:textId="77777777"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Where N is the size of the return series, and Ɵ is the parameter set of the model estimated. The Quasi</w:t>
      </w:r>
      <w:r>
        <w:rPr>
          <w:rFonts w:ascii="Times New Roman" w:hAnsi="Times New Roman"/>
          <w:sz w:val="24"/>
          <w:szCs w:val="24"/>
        </w:rPr>
        <w:t>-</w:t>
      </w:r>
      <w:r w:rsidRPr="00E2049E">
        <w:rPr>
          <w:rFonts w:ascii="Times New Roman" w:hAnsi="Times New Roman"/>
          <w:sz w:val="24"/>
          <w:szCs w:val="24"/>
        </w:rPr>
        <w:t xml:space="preserve">maximum likelihood estimation function </w:t>
      </w:r>
      <w:r>
        <w:rPr>
          <w:rFonts w:ascii="Times New Roman" w:hAnsi="Times New Roman"/>
          <w:sz w:val="24"/>
          <w:szCs w:val="24"/>
        </w:rPr>
        <w:t>is</w:t>
      </w:r>
      <w:r w:rsidRPr="00E2049E">
        <w:rPr>
          <w:rFonts w:ascii="Times New Roman" w:hAnsi="Times New Roman"/>
          <w:sz w:val="24"/>
          <w:szCs w:val="24"/>
        </w:rPr>
        <w:t xml:space="preserve"> therefore optimized and implemented using RATS 10.2 </w:t>
      </w:r>
      <w:r>
        <w:rPr>
          <w:rFonts w:ascii="Times New Roman" w:hAnsi="Times New Roman"/>
          <w:sz w:val="24"/>
          <w:szCs w:val="24"/>
        </w:rPr>
        <w:t xml:space="preserve">and </w:t>
      </w:r>
      <w:proofErr w:type="spellStart"/>
      <w:r>
        <w:rPr>
          <w:rFonts w:ascii="Times New Roman" w:hAnsi="Times New Roman"/>
          <w:sz w:val="24"/>
          <w:szCs w:val="24"/>
        </w:rPr>
        <w:t>Oxmetrics</w:t>
      </w:r>
      <w:proofErr w:type="spellEnd"/>
      <w:r>
        <w:rPr>
          <w:rFonts w:ascii="Times New Roman" w:hAnsi="Times New Roman"/>
          <w:sz w:val="24"/>
          <w:szCs w:val="24"/>
        </w:rPr>
        <w:t xml:space="preserve"> 8.0 </w:t>
      </w:r>
      <w:proofErr w:type="spellStart"/>
      <w:r w:rsidRPr="00E2049E">
        <w:rPr>
          <w:rFonts w:ascii="Times New Roman" w:hAnsi="Times New Roman"/>
          <w:sz w:val="24"/>
          <w:szCs w:val="24"/>
        </w:rPr>
        <w:t>software</w:t>
      </w:r>
      <w:r>
        <w:rPr>
          <w:rFonts w:ascii="Times New Roman" w:hAnsi="Times New Roman"/>
          <w:sz w:val="24"/>
          <w:szCs w:val="24"/>
        </w:rPr>
        <w:t>s</w:t>
      </w:r>
      <w:proofErr w:type="spellEnd"/>
      <w:r w:rsidRPr="00E2049E">
        <w:rPr>
          <w:rFonts w:ascii="Times New Roman" w:hAnsi="Times New Roman"/>
          <w:sz w:val="24"/>
          <w:szCs w:val="24"/>
        </w:rPr>
        <w:t>.</w:t>
      </w:r>
    </w:p>
    <w:p w14:paraId="083285CD" w14:textId="1F426689"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 xml:space="preserve">Post Estimation/Diagnostics </w:t>
      </w:r>
    </w:p>
    <w:p w14:paraId="1543C438" w14:textId="37547FF6" w:rsidR="00EE1D4F" w:rsidRPr="00E2049E" w:rsidRDefault="00EE1D4F" w:rsidP="00085DAE">
      <w:pPr>
        <w:spacing w:line="240" w:lineRule="auto"/>
        <w:rPr>
          <w:rFonts w:ascii="Times New Roman" w:hAnsi="Times New Roman"/>
          <w:sz w:val="24"/>
          <w:szCs w:val="24"/>
        </w:rPr>
      </w:pPr>
      <w:r w:rsidRPr="00E2049E">
        <w:rPr>
          <w:rFonts w:ascii="Times New Roman" w:hAnsi="Times New Roman"/>
          <w:sz w:val="24"/>
          <w:szCs w:val="24"/>
        </w:rPr>
        <w:t xml:space="preserve">Post estimation and diagnostics tests </w:t>
      </w:r>
      <w:r>
        <w:rPr>
          <w:rFonts w:ascii="Times New Roman" w:hAnsi="Times New Roman"/>
          <w:sz w:val="24"/>
          <w:szCs w:val="24"/>
        </w:rPr>
        <w:t>was</w:t>
      </w:r>
      <w:r w:rsidRPr="00E2049E">
        <w:rPr>
          <w:rFonts w:ascii="Times New Roman" w:hAnsi="Times New Roman"/>
          <w:sz w:val="24"/>
          <w:szCs w:val="24"/>
        </w:rPr>
        <w:t xml:space="preserve"> also conducted to determine the adequacy or otherwise of the models</w:t>
      </w:r>
      <w:r>
        <w:rPr>
          <w:rFonts w:ascii="Times New Roman" w:hAnsi="Times New Roman"/>
          <w:sz w:val="24"/>
          <w:szCs w:val="24"/>
        </w:rPr>
        <w:t xml:space="preserve">. </w:t>
      </w:r>
      <w:r w:rsidRPr="00E2049E">
        <w:rPr>
          <w:rFonts w:ascii="Times New Roman" w:hAnsi="Times New Roman"/>
          <w:sz w:val="24"/>
          <w:szCs w:val="24"/>
        </w:rPr>
        <w:t>Two</w:t>
      </w:r>
      <w:r w:rsidR="00E67561">
        <w:rPr>
          <w:rFonts w:ascii="Times New Roman" w:hAnsi="Times New Roman"/>
          <w:sz w:val="24"/>
          <w:szCs w:val="24"/>
        </w:rPr>
        <w:t xml:space="preserve"> </w:t>
      </w:r>
      <w:r w:rsidRPr="00E2049E">
        <w:rPr>
          <w:rFonts w:ascii="Times New Roman" w:hAnsi="Times New Roman"/>
          <w:sz w:val="24"/>
          <w:szCs w:val="24"/>
        </w:rPr>
        <w:t xml:space="preserve">prominent tests </w:t>
      </w:r>
      <w:r>
        <w:rPr>
          <w:rFonts w:ascii="Times New Roman" w:hAnsi="Times New Roman"/>
          <w:sz w:val="24"/>
          <w:szCs w:val="24"/>
        </w:rPr>
        <w:t>were conducted as follows:</w:t>
      </w:r>
    </w:p>
    <w:p w14:paraId="63CB5B67" w14:textId="74E2AEB0"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 xml:space="preserve">Serial Correlations </w:t>
      </w:r>
    </w:p>
    <w:p w14:paraId="0B7E6E11" w14:textId="77777777" w:rsidR="00EE1D4F" w:rsidRPr="00E2049E" w:rsidRDefault="00EE1D4F" w:rsidP="00085DAE">
      <w:pPr>
        <w:spacing w:line="240" w:lineRule="auto"/>
        <w:rPr>
          <w:rFonts w:ascii="Times New Roman" w:hAnsi="Times New Roman"/>
          <w:sz w:val="24"/>
          <w:szCs w:val="24"/>
        </w:rPr>
      </w:pPr>
      <w:r>
        <w:rPr>
          <w:rFonts w:ascii="Times New Roman" w:hAnsi="Times New Roman"/>
          <w:sz w:val="24"/>
          <w:szCs w:val="24"/>
        </w:rPr>
        <w:t xml:space="preserve">For this, </w:t>
      </w:r>
      <w:proofErr w:type="spellStart"/>
      <w:r w:rsidRPr="00E2049E">
        <w:rPr>
          <w:rFonts w:ascii="Times New Roman" w:hAnsi="Times New Roman"/>
          <w:sz w:val="24"/>
          <w:szCs w:val="24"/>
        </w:rPr>
        <w:t>Ljung</w:t>
      </w:r>
      <w:proofErr w:type="spellEnd"/>
      <w:r w:rsidRPr="00E2049E">
        <w:rPr>
          <w:rFonts w:ascii="Times New Roman" w:hAnsi="Times New Roman"/>
          <w:sz w:val="24"/>
          <w:szCs w:val="24"/>
        </w:rPr>
        <w:t xml:space="preserve"> Box test for serial correlation </w:t>
      </w:r>
      <w:r>
        <w:rPr>
          <w:rFonts w:ascii="Times New Roman" w:hAnsi="Times New Roman"/>
          <w:sz w:val="24"/>
          <w:szCs w:val="24"/>
        </w:rPr>
        <w:t>was</w:t>
      </w:r>
      <w:r w:rsidRPr="00E2049E">
        <w:rPr>
          <w:rFonts w:ascii="Times New Roman" w:hAnsi="Times New Roman"/>
          <w:sz w:val="24"/>
          <w:szCs w:val="24"/>
        </w:rPr>
        <w:t xml:space="preserve"> carried out to determine if the estimated model is free for serial correlation. </w:t>
      </w:r>
    </w:p>
    <w:p w14:paraId="0C512805" w14:textId="647570D6" w:rsidR="00EE1D4F" w:rsidRPr="009A2413" w:rsidRDefault="00EE1D4F" w:rsidP="009A2413">
      <w:pPr>
        <w:pStyle w:val="ListParagraph"/>
        <w:numPr>
          <w:ilvl w:val="0"/>
          <w:numId w:val="21"/>
        </w:numPr>
        <w:spacing w:after="0" w:line="240" w:lineRule="auto"/>
        <w:rPr>
          <w:rFonts w:ascii="Times New Roman" w:hAnsi="Times New Roman"/>
          <w:b/>
          <w:bCs/>
          <w:sz w:val="24"/>
          <w:szCs w:val="24"/>
        </w:rPr>
      </w:pPr>
      <w:r w:rsidRPr="009A2413">
        <w:rPr>
          <w:rFonts w:ascii="Times New Roman" w:hAnsi="Times New Roman"/>
          <w:b/>
          <w:bCs/>
          <w:sz w:val="24"/>
          <w:szCs w:val="24"/>
        </w:rPr>
        <w:t>ARCH Effects.</w:t>
      </w:r>
    </w:p>
    <w:p w14:paraId="2078F0E1" w14:textId="77777777" w:rsidR="00EE1D4F" w:rsidRDefault="00EE1D4F" w:rsidP="00085DAE">
      <w:pPr>
        <w:spacing w:after="0" w:line="240" w:lineRule="auto"/>
        <w:rPr>
          <w:rFonts w:ascii="Times New Roman" w:hAnsi="Times New Roman"/>
          <w:sz w:val="24"/>
          <w:szCs w:val="24"/>
        </w:rPr>
      </w:pPr>
      <w:r w:rsidRPr="00E2049E">
        <w:rPr>
          <w:rFonts w:ascii="Times New Roman" w:hAnsi="Times New Roman"/>
          <w:sz w:val="24"/>
          <w:szCs w:val="24"/>
        </w:rPr>
        <w:t xml:space="preserve">To determine </w:t>
      </w:r>
      <w:r>
        <w:rPr>
          <w:rFonts w:ascii="Times New Roman" w:hAnsi="Times New Roman"/>
          <w:sz w:val="24"/>
          <w:szCs w:val="24"/>
        </w:rPr>
        <w:t>the existence of</w:t>
      </w:r>
      <w:r w:rsidRPr="00E2049E">
        <w:rPr>
          <w:rFonts w:ascii="Times New Roman" w:hAnsi="Times New Roman"/>
          <w:sz w:val="24"/>
          <w:szCs w:val="24"/>
        </w:rPr>
        <w:t xml:space="preserve"> remaining ARCH effects in the model, the study conduct</w:t>
      </w:r>
      <w:r>
        <w:rPr>
          <w:rFonts w:ascii="Times New Roman" w:hAnsi="Times New Roman"/>
          <w:sz w:val="24"/>
          <w:szCs w:val="24"/>
        </w:rPr>
        <w:t xml:space="preserve">ed </w:t>
      </w:r>
      <w:r w:rsidRPr="00E2049E">
        <w:rPr>
          <w:rFonts w:ascii="Times New Roman" w:hAnsi="Times New Roman"/>
          <w:sz w:val="24"/>
          <w:szCs w:val="24"/>
        </w:rPr>
        <w:t xml:space="preserve">ARCH LM serial correlation test and the McLeod – Li test. </w:t>
      </w:r>
    </w:p>
    <w:p w14:paraId="5ABDAFE5" w14:textId="77777777" w:rsidR="00594F51" w:rsidRPr="00594F51" w:rsidRDefault="00594F51" w:rsidP="00085DAE">
      <w:pPr>
        <w:spacing w:after="0" w:line="480" w:lineRule="auto"/>
        <w:rPr>
          <w:rFonts w:ascii="Times New Roman" w:hAnsi="Times New Roman"/>
          <w:sz w:val="8"/>
          <w:szCs w:val="24"/>
        </w:rPr>
      </w:pPr>
    </w:p>
    <w:p w14:paraId="3A11BAF6" w14:textId="71B34869" w:rsidR="00047399" w:rsidRDefault="009C28B8" w:rsidP="00085DAE">
      <w:pPr>
        <w:spacing w:after="0" w:line="240" w:lineRule="auto"/>
        <w:rPr>
          <w:rFonts w:ascii="Times New Roman" w:hAnsi="Times New Roman"/>
          <w:b/>
          <w:sz w:val="24"/>
          <w:szCs w:val="24"/>
        </w:rPr>
      </w:pPr>
      <w:r>
        <w:rPr>
          <w:rFonts w:ascii="Times New Roman" w:hAnsi="Times New Roman"/>
          <w:b/>
          <w:sz w:val="24"/>
          <w:szCs w:val="24"/>
        </w:rPr>
        <w:t xml:space="preserve">FINDINGS </w:t>
      </w:r>
      <w:r w:rsidR="00047399">
        <w:rPr>
          <w:rFonts w:ascii="Times New Roman" w:hAnsi="Times New Roman"/>
          <w:b/>
          <w:sz w:val="24"/>
          <w:szCs w:val="24"/>
        </w:rPr>
        <w:t xml:space="preserve">AND </w:t>
      </w:r>
      <w:r w:rsidR="005464FC">
        <w:rPr>
          <w:rFonts w:ascii="Times New Roman" w:hAnsi="Times New Roman"/>
          <w:b/>
          <w:sz w:val="24"/>
          <w:szCs w:val="24"/>
        </w:rPr>
        <w:t>INTERPRETATIONS</w:t>
      </w:r>
    </w:p>
    <w:p w14:paraId="553E2FE1" w14:textId="77777777" w:rsidR="00047399" w:rsidRPr="00594F51" w:rsidRDefault="00047399" w:rsidP="00085DAE">
      <w:pPr>
        <w:spacing w:after="0" w:line="240" w:lineRule="auto"/>
        <w:rPr>
          <w:rFonts w:ascii="Times New Roman" w:hAnsi="Times New Roman"/>
          <w:b/>
          <w:color w:val="000000"/>
          <w:sz w:val="8"/>
          <w:szCs w:val="24"/>
        </w:rPr>
      </w:pPr>
    </w:p>
    <w:p w14:paraId="4DBFB3A3" w14:textId="05CAAE6B" w:rsidR="00047399" w:rsidRPr="00AE4EA1" w:rsidRDefault="00047399" w:rsidP="00085DAE">
      <w:pPr>
        <w:spacing w:after="0" w:line="240" w:lineRule="auto"/>
        <w:rPr>
          <w:rFonts w:ascii="Times New Roman" w:hAnsi="Times New Roman"/>
          <w:b/>
          <w:color w:val="000000"/>
          <w:sz w:val="24"/>
          <w:szCs w:val="24"/>
        </w:rPr>
      </w:pPr>
      <w:r w:rsidRPr="00AE4EA1">
        <w:rPr>
          <w:rFonts w:ascii="Times New Roman" w:hAnsi="Times New Roman"/>
          <w:b/>
          <w:color w:val="000000"/>
          <w:sz w:val="24"/>
          <w:szCs w:val="24"/>
        </w:rPr>
        <w:t xml:space="preserve">Stationarity Tests </w:t>
      </w:r>
    </w:p>
    <w:p w14:paraId="4E5B5971" w14:textId="783169EB" w:rsidR="00047399" w:rsidRDefault="00047399" w:rsidP="00085DAE">
      <w:pPr>
        <w:spacing w:line="240" w:lineRule="auto"/>
        <w:rPr>
          <w:rFonts w:ascii="Times New Roman" w:hAnsi="Times New Roman"/>
          <w:color w:val="000000"/>
          <w:sz w:val="24"/>
          <w:szCs w:val="24"/>
        </w:rPr>
      </w:pPr>
      <w:r w:rsidRPr="00AE4EA1">
        <w:rPr>
          <w:rFonts w:ascii="Times New Roman" w:hAnsi="Times New Roman"/>
          <w:color w:val="000000"/>
          <w:sz w:val="24"/>
          <w:szCs w:val="24"/>
        </w:rPr>
        <w:lastRenderedPageBreak/>
        <w:t>Though the study uses return series, which are a</w:t>
      </w:r>
      <w:r>
        <w:rPr>
          <w:rFonts w:ascii="Times New Roman" w:hAnsi="Times New Roman"/>
          <w:color w:val="000000"/>
          <w:sz w:val="24"/>
          <w:szCs w:val="24"/>
        </w:rPr>
        <w:t xml:space="preserve">lready stationary nonetheless, stationarity </w:t>
      </w:r>
      <w:r w:rsidRPr="00AE4EA1">
        <w:rPr>
          <w:rFonts w:ascii="Times New Roman" w:hAnsi="Times New Roman"/>
          <w:color w:val="000000"/>
          <w:sz w:val="24"/>
          <w:szCs w:val="24"/>
        </w:rPr>
        <w:t>tests are conducted on the</w:t>
      </w:r>
      <w:r w:rsidR="009C28B8">
        <w:rPr>
          <w:rFonts w:ascii="Times New Roman" w:hAnsi="Times New Roman"/>
          <w:color w:val="000000"/>
          <w:sz w:val="24"/>
          <w:szCs w:val="24"/>
        </w:rPr>
        <w:t xml:space="preserve"> </w:t>
      </w:r>
      <w:r w:rsidRPr="00AE4EA1">
        <w:rPr>
          <w:rFonts w:ascii="Times New Roman" w:hAnsi="Times New Roman"/>
          <w:color w:val="000000"/>
          <w:sz w:val="24"/>
          <w:szCs w:val="24"/>
        </w:rPr>
        <w:t>price data just for confirmatory reasons. The result is</w:t>
      </w:r>
      <w:r>
        <w:rPr>
          <w:rFonts w:ascii="Times New Roman" w:hAnsi="Times New Roman"/>
          <w:color w:val="000000"/>
          <w:sz w:val="24"/>
          <w:szCs w:val="24"/>
        </w:rPr>
        <w:t xml:space="preserve"> reported as follows: </w:t>
      </w:r>
    </w:p>
    <w:p w14:paraId="1AB94C51" w14:textId="51B18149" w:rsidR="00961467" w:rsidRDefault="00961467" w:rsidP="00085DAE">
      <w:pPr>
        <w:spacing w:line="240" w:lineRule="auto"/>
        <w:rPr>
          <w:rFonts w:ascii="Times New Roman" w:hAnsi="Times New Roman"/>
          <w:color w:val="000000"/>
          <w:sz w:val="24"/>
          <w:szCs w:val="24"/>
        </w:rPr>
      </w:pPr>
    </w:p>
    <w:p w14:paraId="21B9C0C3" w14:textId="6E24BA40" w:rsidR="00961467" w:rsidRDefault="00961467" w:rsidP="00085DAE">
      <w:pPr>
        <w:spacing w:line="240" w:lineRule="auto"/>
        <w:rPr>
          <w:rFonts w:ascii="Times New Roman" w:hAnsi="Times New Roman"/>
          <w:color w:val="000000"/>
          <w:sz w:val="24"/>
          <w:szCs w:val="24"/>
        </w:rPr>
      </w:pPr>
    </w:p>
    <w:p w14:paraId="120A190C" w14:textId="286F9523" w:rsidR="00961467" w:rsidRDefault="00961467" w:rsidP="00085DAE">
      <w:pPr>
        <w:spacing w:line="240" w:lineRule="auto"/>
        <w:rPr>
          <w:rFonts w:ascii="Times New Roman" w:hAnsi="Times New Roman"/>
          <w:color w:val="000000"/>
          <w:sz w:val="24"/>
          <w:szCs w:val="24"/>
        </w:rPr>
      </w:pPr>
    </w:p>
    <w:p w14:paraId="5BB926E5" w14:textId="69160E75" w:rsidR="00961467" w:rsidRDefault="00961467" w:rsidP="00085DAE">
      <w:pPr>
        <w:spacing w:line="240" w:lineRule="auto"/>
        <w:rPr>
          <w:rFonts w:ascii="Times New Roman" w:hAnsi="Times New Roman"/>
          <w:color w:val="000000"/>
          <w:sz w:val="24"/>
          <w:szCs w:val="24"/>
        </w:rPr>
      </w:pPr>
    </w:p>
    <w:p w14:paraId="0E359498" w14:textId="77777777" w:rsidR="00961467" w:rsidRDefault="00961467" w:rsidP="00085DAE">
      <w:pPr>
        <w:spacing w:line="240" w:lineRule="auto"/>
        <w:rPr>
          <w:rFonts w:ascii="Times New Roman" w:hAnsi="Times New Roman"/>
          <w:color w:val="000000"/>
          <w:sz w:val="24"/>
          <w:szCs w:val="24"/>
        </w:rPr>
      </w:pPr>
    </w:p>
    <w:p w14:paraId="6C1D2229" w14:textId="77777777" w:rsidR="009A2413" w:rsidRDefault="009A2413" w:rsidP="008252D5">
      <w:pPr>
        <w:spacing w:after="0" w:line="240" w:lineRule="auto"/>
        <w:jc w:val="both"/>
        <w:rPr>
          <w:rFonts w:ascii="Times New Roman" w:hAnsi="Times New Roman"/>
          <w:b/>
          <w:color w:val="000000"/>
          <w:sz w:val="24"/>
          <w:szCs w:val="24"/>
        </w:rPr>
        <w:sectPr w:rsidR="009A2413" w:rsidSect="00961467">
          <w:type w:val="continuous"/>
          <w:pgSz w:w="12240" w:h="15840"/>
          <w:pgMar w:top="709" w:right="1440" w:bottom="1440" w:left="1440" w:header="720" w:footer="720" w:gutter="0"/>
          <w:cols w:num="2" w:space="720"/>
          <w:docGrid w:linePitch="360"/>
        </w:sectPr>
      </w:pPr>
    </w:p>
    <w:p w14:paraId="21832D1A" w14:textId="4A9C6FF2" w:rsidR="00047399" w:rsidRPr="00AE4EA1" w:rsidRDefault="008322DD" w:rsidP="008252D5">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Table 1</w:t>
      </w:r>
      <w:r w:rsidR="00047399" w:rsidRPr="00AE4EA1">
        <w:rPr>
          <w:rFonts w:ascii="Times New Roman" w:hAnsi="Times New Roman"/>
          <w:b/>
          <w:color w:val="000000"/>
          <w:sz w:val="24"/>
          <w:szCs w:val="24"/>
        </w:rPr>
        <w:t xml:space="preserve"> Unit Root </w:t>
      </w:r>
      <w:r w:rsidR="00047399">
        <w:rPr>
          <w:rFonts w:ascii="Times New Roman" w:hAnsi="Times New Roman"/>
          <w:b/>
          <w:color w:val="000000"/>
          <w:sz w:val="24"/>
          <w:szCs w:val="24"/>
        </w:rPr>
        <w:t>Tests Results</w:t>
      </w:r>
    </w:p>
    <w:tbl>
      <w:tblPr>
        <w:tblW w:w="9235" w:type="dxa"/>
        <w:tblLook w:val="04A0" w:firstRow="1" w:lastRow="0" w:firstColumn="1" w:lastColumn="0" w:noHBand="0" w:noVBand="1"/>
      </w:tblPr>
      <w:tblGrid>
        <w:gridCol w:w="2358"/>
        <w:gridCol w:w="1258"/>
        <w:gridCol w:w="923"/>
        <w:gridCol w:w="977"/>
        <w:gridCol w:w="1279"/>
        <w:gridCol w:w="1254"/>
        <w:gridCol w:w="1186"/>
      </w:tblGrid>
      <w:tr w:rsidR="00047399" w:rsidRPr="00AE4EA1" w14:paraId="74A729C5" w14:textId="77777777" w:rsidTr="003D640C">
        <w:tc>
          <w:tcPr>
            <w:tcW w:w="2358" w:type="dxa"/>
            <w:tcBorders>
              <w:top w:val="single" w:sz="4" w:space="0" w:color="auto"/>
              <w:bottom w:val="single" w:sz="4" w:space="0" w:color="auto"/>
            </w:tcBorders>
          </w:tcPr>
          <w:p w14:paraId="40660B3F" w14:textId="77777777" w:rsidR="00047399" w:rsidRPr="007D76D2" w:rsidRDefault="00047399" w:rsidP="008252D5">
            <w:pPr>
              <w:spacing w:after="0" w:line="240" w:lineRule="auto"/>
              <w:jc w:val="center"/>
              <w:rPr>
                <w:rFonts w:ascii="Times New Roman" w:hAnsi="Times New Roman"/>
                <w:b/>
                <w:color w:val="000000"/>
                <w:sz w:val="20"/>
                <w:szCs w:val="24"/>
              </w:rPr>
            </w:pPr>
            <w:r w:rsidRPr="007D76D2">
              <w:rPr>
                <w:rFonts w:ascii="Times New Roman" w:hAnsi="Times New Roman"/>
                <w:b/>
                <w:color w:val="000000"/>
                <w:sz w:val="20"/>
                <w:szCs w:val="24"/>
              </w:rPr>
              <w:t>Variable</w:t>
            </w:r>
          </w:p>
        </w:tc>
        <w:tc>
          <w:tcPr>
            <w:tcW w:w="1258" w:type="dxa"/>
            <w:tcBorders>
              <w:top w:val="single" w:sz="4" w:space="0" w:color="auto"/>
              <w:bottom w:val="single" w:sz="4" w:space="0" w:color="auto"/>
            </w:tcBorders>
          </w:tcPr>
          <w:p w14:paraId="25CA50B2" w14:textId="77777777" w:rsidR="00047399" w:rsidRPr="007D76D2" w:rsidRDefault="00047399" w:rsidP="008252D5">
            <w:pPr>
              <w:spacing w:after="0" w:line="240" w:lineRule="auto"/>
              <w:jc w:val="center"/>
              <w:rPr>
                <w:rFonts w:ascii="Times New Roman" w:hAnsi="Times New Roman"/>
                <w:b/>
                <w:color w:val="000000"/>
                <w:sz w:val="20"/>
                <w:szCs w:val="24"/>
              </w:rPr>
            </w:pPr>
            <w:r w:rsidRPr="007D76D2">
              <w:rPr>
                <w:rFonts w:ascii="Times New Roman" w:hAnsi="Times New Roman"/>
                <w:b/>
                <w:color w:val="000000"/>
                <w:sz w:val="20"/>
                <w:szCs w:val="24"/>
              </w:rPr>
              <w:t>ADF Stat</w:t>
            </w:r>
          </w:p>
        </w:tc>
        <w:tc>
          <w:tcPr>
            <w:tcW w:w="923" w:type="dxa"/>
            <w:tcBorders>
              <w:top w:val="single" w:sz="4" w:space="0" w:color="auto"/>
              <w:bottom w:val="single" w:sz="4" w:space="0" w:color="auto"/>
            </w:tcBorders>
          </w:tcPr>
          <w:p w14:paraId="5D868A37" w14:textId="77777777" w:rsidR="00047399" w:rsidRPr="007D76D2" w:rsidRDefault="00047399" w:rsidP="008252D5">
            <w:pPr>
              <w:spacing w:after="0" w:line="240" w:lineRule="auto"/>
              <w:jc w:val="center"/>
              <w:rPr>
                <w:rFonts w:ascii="Times New Roman" w:hAnsi="Times New Roman"/>
                <w:b/>
                <w:color w:val="000000"/>
                <w:sz w:val="20"/>
                <w:szCs w:val="24"/>
              </w:rPr>
            </w:pPr>
            <w:r w:rsidRPr="007D76D2">
              <w:rPr>
                <w:rFonts w:ascii="Times New Roman" w:hAnsi="Times New Roman"/>
                <w:b/>
                <w:color w:val="000000"/>
                <w:sz w:val="20"/>
                <w:szCs w:val="24"/>
              </w:rPr>
              <w:t>P</w:t>
            </w:r>
            <w:r>
              <w:rPr>
                <w:rFonts w:ascii="Times New Roman" w:hAnsi="Times New Roman"/>
                <w:b/>
                <w:color w:val="000000"/>
                <w:sz w:val="20"/>
                <w:szCs w:val="24"/>
              </w:rPr>
              <w:t>V</w:t>
            </w:r>
          </w:p>
        </w:tc>
        <w:tc>
          <w:tcPr>
            <w:tcW w:w="977" w:type="dxa"/>
            <w:tcBorders>
              <w:top w:val="single" w:sz="4" w:space="0" w:color="auto"/>
              <w:bottom w:val="single" w:sz="4" w:space="0" w:color="auto"/>
            </w:tcBorders>
          </w:tcPr>
          <w:p w14:paraId="0D7139BF" w14:textId="77777777" w:rsidR="00047399" w:rsidRPr="007D76D2" w:rsidRDefault="00047399" w:rsidP="008252D5">
            <w:pPr>
              <w:spacing w:after="0" w:line="240" w:lineRule="auto"/>
              <w:jc w:val="center"/>
              <w:rPr>
                <w:rFonts w:ascii="Times New Roman" w:hAnsi="Times New Roman"/>
                <w:b/>
                <w:color w:val="000000"/>
                <w:sz w:val="20"/>
                <w:szCs w:val="24"/>
              </w:rPr>
            </w:pPr>
            <w:r w:rsidRPr="007D76D2">
              <w:rPr>
                <w:rFonts w:ascii="Times New Roman" w:hAnsi="Times New Roman"/>
                <w:b/>
                <w:color w:val="000000"/>
                <w:sz w:val="20"/>
                <w:szCs w:val="24"/>
              </w:rPr>
              <w:t>Decision</w:t>
            </w:r>
          </w:p>
        </w:tc>
        <w:tc>
          <w:tcPr>
            <w:tcW w:w="1279" w:type="dxa"/>
            <w:tcBorders>
              <w:top w:val="single" w:sz="4" w:space="0" w:color="auto"/>
              <w:bottom w:val="single" w:sz="4" w:space="0" w:color="auto"/>
            </w:tcBorders>
          </w:tcPr>
          <w:p w14:paraId="4BC11F17" w14:textId="77777777" w:rsidR="00047399" w:rsidRPr="007D76D2" w:rsidRDefault="00047399" w:rsidP="008252D5">
            <w:pPr>
              <w:spacing w:after="0" w:line="240" w:lineRule="auto"/>
              <w:jc w:val="center"/>
              <w:rPr>
                <w:rFonts w:ascii="Times New Roman" w:hAnsi="Times New Roman"/>
                <w:b/>
                <w:color w:val="000000"/>
                <w:sz w:val="20"/>
                <w:szCs w:val="24"/>
              </w:rPr>
            </w:pPr>
            <w:r>
              <w:rPr>
                <w:rFonts w:ascii="Times New Roman" w:hAnsi="Times New Roman"/>
                <w:b/>
                <w:color w:val="000000"/>
                <w:sz w:val="20"/>
                <w:szCs w:val="24"/>
              </w:rPr>
              <w:t>PP stat.</w:t>
            </w:r>
          </w:p>
        </w:tc>
        <w:tc>
          <w:tcPr>
            <w:tcW w:w="1254" w:type="dxa"/>
            <w:tcBorders>
              <w:top w:val="single" w:sz="4" w:space="0" w:color="auto"/>
              <w:bottom w:val="single" w:sz="4" w:space="0" w:color="auto"/>
            </w:tcBorders>
          </w:tcPr>
          <w:p w14:paraId="4AD292DE" w14:textId="77777777" w:rsidR="00047399" w:rsidRDefault="00047399" w:rsidP="008252D5">
            <w:pPr>
              <w:spacing w:after="0" w:line="240" w:lineRule="auto"/>
              <w:rPr>
                <w:rFonts w:ascii="Times New Roman" w:hAnsi="Times New Roman"/>
                <w:b/>
                <w:color w:val="000000"/>
                <w:sz w:val="20"/>
                <w:szCs w:val="24"/>
              </w:rPr>
            </w:pPr>
            <w:r>
              <w:rPr>
                <w:rFonts w:ascii="Times New Roman" w:hAnsi="Times New Roman"/>
                <w:b/>
                <w:color w:val="000000"/>
                <w:sz w:val="20"/>
                <w:szCs w:val="24"/>
              </w:rPr>
              <w:t>PV</w:t>
            </w:r>
          </w:p>
        </w:tc>
        <w:tc>
          <w:tcPr>
            <w:tcW w:w="1186" w:type="dxa"/>
            <w:tcBorders>
              <w:top w:val="single" w:sz="4" w:space="0" w:color="auto"/>
              <w:bottom w:val="single" w:sz="4" w:space="0" w:color="auto"/>
            </w:tcBorders>
          </w:tcPr>
          <w:p w14:paraId="0B591C81" w14:textId="77777777" w:rsidR="00047399" w:rsidRDefault="00047399" w:rsidP="008252D5">
            <w:pPr>
              <w:spacing w:after="0" w:line="240" w:lineRule="auto"/>
              <w:rPr>
                <w:rFonts w:ascii="Times New Roman" w:hAnsi="Times New Roman"/>
                <w:b/>
                <w:color w:val="000000"/>
                <w:sz w:val="20"/>
                <w:szCs w:val="24"/>
              </w:rPr>
            </w:pPr>
            <w:r>
              <w:rPr>
                <w:rFonts w:ascii="Times New Roman" w:hAnsi="Times New Roman"/>
                <w:b/>
                <w:color w:val="000000"/>
                <w:sz w:val="20"/>
                <w:szCs w:val="24"/>
              </w:rPr>
              <w:t>Decision</w:t>
            </w:r>
          </w:p>
        </w:tc>
      </w:tr>
      <w:tr w:rsidR="00047399" w:rsidRPr="00AE4EA1" w14:paraId="2A8825AC" w14:textId="77777777" w:rsidTr="003D640C">
        <w:tc>
          <w:tcPr>
            <w:tcW w:w="2358" w:type="dxa"/>
            <w:tcBorders>
              <w:top w:val="single" w:sz="4" w:space="0" w:color="auto"/>
            </w:tcBorders>
          </w:tcPr>
          <w:p w14:paraId="4BFA7183"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Oil Price </w:t>
            </w:r>
          </w:p>
        </w:tc>
        <w:tc>
          <w:tcPr>
            <w:tcW w:w="1258" w:type="dxa"/>
            <w:tcBorders>
              <w:top w:val="single" w:sz="4" w:space="0" w:color="auto"/>
            </w:tcBorders>
          </w:tcPr>
          <w:p w14:paraId="61E18DAC"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63.59203</w:t>
            </w:r>
          </w:p>
        </w:tc>
        <w:tc>
          <w:tcPr>
            <w:tcW w:w="923" w:type="dxa"/>
            <w:tcBorders>
              <w:top w:val="single" w:sz="4" w:space="0" w:color="auto"/>
            </w:tcBorders>
          </w:tcPr>
          <w:p w14:paraId="2504EC95"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Borders>
              <w:top w:val="single" w:sz="4" w:space="0" w:color="auto"/>
            </w:tcBorders>
          </w:tcPr>
          <w:p w14:paraId="48F4D596"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Borders>
              <w:top w:val="single" w:sz="4" w:space="0" w:color="auto"/>
            </w:tcBorders>
          </w:tcPr>
          <w:p w14:paraId="73B2C3F0"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61.2311</w:t>
            </w:r>
          </w:p>
        </w:tc>
        <w:tc>
          <w:tcPr>
            <w:tcW w:w="1254" w:type="dxa"/>
            <w:tcBorders>
              <w:top w:val="single" w:sz="4" w:space="0" w:color="auto"/>
            </w:tcBorders>
          </w:tcPr>
          <w:p w14:paraId="2C13D655"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Borders>
              <w:top w:val="single" w:sz="4" w:space="0" w:color="auto"/>
            </w:tcBorders>
          </w:tcPr>
          <w:p w14:paraId="1012565F"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242A84FB" w14:textId="77777777" w:rsidTr="003D640C">
        <w:tc>
          <w:tcPr>
            <w:tcW w:w="2358" w:type="dxa"/>
          </w:tcPr>
          <w:p w14:paraId="441A02F0"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Agriculture </w:t>
            </w:r>
          </w:p>
        </w:tc>
        <w:tc>
          <w:tcPr>
            <w:tcW w:w="1258" w:type="dxa"/>
          </w:tcPr>
          <w:p w14:paraId="34EF87A8"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47.24475</w:t>
            </w:r>
          </w:p>
        </w:tc>
        <w:tc>
          <w:tcPr>
            <w:tcW w:w="923" w:type="dxa"/>
          </w:tcPr>
          <w:p w14:paraId="64340308"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3A65434A"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59D3519C"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28.1000</w:t>
            </w:r>
          </w:p>
        </w:tc>
        <w:tc>
          <w:tcPr>
            <w:tcW w:w="1254" w:type="dxa"/>
          </w:tcPr>
          <w:p w14:paraId="1AEEC4CF"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0.0001</w:t>
            </w:r>
          </w:p>
        </w:tc>
        <w:tc>
          <w:tcPr>
            <w:tcW w:w="1186" w:type="dxa"/>
          </w:tcPr>
          <w:p w14:paraId="55010BB2"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6BBC49F7" w14:textId="77777777" w:rsidTr="003D640C">
        <w:tc>
          <w:tcPr>
            <w:tcW w:w="2358" w:type="dxa"/>
          </w:tcPr>
          <w:p w14:paraId="0E3C5872"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Conglomerates</w:t>
            </w:r>
          </w:p>
        </w:tc>
        <w:tc>
          <w:tcPr>
            <w:tcW w:w="1258" w:type="dxa"/>
          </w:tcPr>
          <w:p w14:paraId="3C19B6ED"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46.85522</w:t>
            </w:r>
          </w:p>
        </w:tc>
        <w:tc>
          <w:tcPr>
            <w:tcW w:w="923" w:type="dxa"/>
          </w:tcPr>
          <w:p w14:paraId="418B6DB3"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1CFC506F"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16A67517"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36.1007</w:t>
            </w:r>
          </w:p>
        </w:tc>
        <w:tc>
          <w:tcPr>
            <w:tcW w:w="1254" w:type="dxa"/>
          </w:tcPr>
          <w:p w14:paraId="0AE6A0C4"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Pr>
          <w:p w14:paraId="4CB23587"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38292C98" w14:textId="77777777" w:rsidTr="003D640C">
        <w:tc>
          <w:tcPr>
            <w:tcW w:w="2358" w:type="dxa"/>
          </w:tcPr>
          <w:p w14:paraId="316E8556"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Consumer goods </w:t>
            </w:r>
          </w:p>
        </w:tc>
        <w:tc>
          <w:tcPr>
            <w:tcW w:w="1258" w:type="dxa"/>
          </w:tcPr>
          <w:p w14:paraId="77FE10C7"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47.14081</w:t>
            </w:r>
          </w:p>
        </w:tc>
        <w:tc>
          <w:tcPr>
            <w:tcW w:w="923" w:type="dxa"/>
          </w:tcPr>
          <w:p w14:paraId="68D688A5"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09450094"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3733F10D"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50.0611</w:t>
            </w:r>
          </w:p>
        </w:tc>
        <w:tc>
          <w:tcPr>
            <w:tcW w:w="1254" w:type="dxa"/>
          </w:tcPr>
          <w:p w14:paraId="5EB35DE8"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Pr>
          <w:p w14:paraId="2226737C"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7158E141" w14:textId="77777777" w:rsidTr="003D640C">
        <w:tc>
          <w:tcPr>
            <w:tcW w:w="2358" w:type="dxa"/>
          </w:tcPr>
          <w:p w14:paraId="1EA0A72D"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Construction/Real Estate</w:t>
            </w:r>
          </w:p>
        </w:tc>
        <w:tc>
          <w:tcPr>
            <w:tcW w:w="1258" w:type="dxa"/>
          </w:tcPr>
          <w:p w14:paraId="143A28AA"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50.17499</w:t>
            </w:r>
          </w:p>
        </w:tc>
        <w:tc>
          <w:tcPr>
            <w:tcW w:w="923" w:type="dxa"/>
          </w:tcPr>
          <w:p w14:paraId="1636C7E5"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4E9F5044"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50D723C2"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51.3171</w:t>
            </w:r>
          </w:p>
        </w:tc>
        <w:tc>
          <w:tcPr>
            <w:tcW w:w="1254" w:type="dxa"/>
          </w:tcPr>
          <w:p w14:paraId="6883A842"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Pr>
          <w:p w14:paraId="1DDAE391"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678BDFAE" w14:textId="77777777" w:rsidTr="003D640C">
        <w:tc>
          <w:tcPr>
            <w:tcW w:w="2358" w:type="dxa"/>
          </w:tcPr>
          <w:p w14:paraId="79C66190"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ICT</w:t>
            </w:r>
          </w:p>
        </w:tc>
        <w:tc>
          <w:tcPr>
            <w:tcW w:w="1258" w:type="dxa"/>
          </w:tcPr>
          <w:p w14:paraId="4A99C154"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39.03502</w:t>
            </w:r>
          </w:p>
        </w:tc>
        <w:tc>
          <w:tcPr>
            <w:tcW w:w="923" w:type="dxa"/>
          </w:tcPr>
          <w:p w14:paraId="079AA2A3"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0.0000</w:t>
            </w:r>
          </w:p>
        </w:tc>
        <w:tc>
          <w:tcPr>
            <w:tcW w:w="977" w:type="dxa"/>
          </w:tcPr>
          <w:p w14:paraId="525E0900"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7C8C3145"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-36.0179</w:t>
            </w:r>
          </w:p>
        </w:tc>
        <w:tc>
          <w:tcPr>
            <w:tcW w:w="1254" w:type="dxa"/>
          </w:tcPr>
          <w:p w14:paraId="294B0FF7"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0.0001</w:t>
            </w:r>
          </w:p>
        </w:tc>
        <w:tc>
          <w:tcPr>
            <w:tcW w:w="1186" w:type="dxa"/>
          </w:tcPr>
          <w:p w14:paraId="3FB03FC9"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7C7F718B" w14:textId="77777777" w:rsidTr="003D640C">
        <w:tc>
          <w:tcPr>
            <w:tcW w:w="2358" w:type="dxa"/>
          </w:tcPr>
          <w:p w14:paraId="7C10F1FF"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Industrial Goods</w:t>
            </w:r>
          </w:p>
        </w:tc>
        <w:tc>
          <w:tcPr>
            <w:tcW w:w="1258" w:type="dxa"/>
          </w:tcPr>
          <w:p w14:paraId="3120B109"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-50.27804</w:t>
            </w:r>
          </w:p>
        </w:tc>
        <w:tc>
          <w:tcPr>
            <w:tcW w:w="923" w:type="dxa"/>
          </w:tcPr>
          <w:p w14:paraId="4E34613D"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4A833920"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273363E8"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-39.1311</w:t>
            </w:r>
          </w:p>
        </w:tc>
        <w:tc>
          <w:tcPr>
            <w:tcW w:w="1254" w:type="dxa"/>
          </w:tcPr>
          <w:p w14:paraId="798C889B"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0.0001</w:t>
            </w:r>
          </w:p>
        </w:tc>
        <w:tc>
          <w:tcPr>
            <w:tcW w:w="1186" w:type="dxa"/>
          </w:tcPr>
          <w:p w14:paraId="1F618D89"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584837A2" w14:textId="77777777" w:rsidTr="003D640C">
        <w:tc>
          <w:tcPr>
            <w:tcW w:w="2358" w:type="dxa"/>
          </w:tcPr>
          <w:p w14:paraId="4033EB37"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Health care </w:t>
            </w:r>
          </w:p>
        </w:tc>
        <w:tc>
          <w:tcPr>
            <w:tcW w:w="1258" w:type="dxa"/>
          </w:tcPr>
          <w:p w14:paraId="22D3716D"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-32.60718</w:t>
            </w:r>
          </w:p>
        </w:tc>
        <w:tc>
          <w:tcPr>
            <w:tcW w:w="923" w:type="dxa"/>
          </w:tcPr>
          <w:p w14:paraId="24B33146"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0.0000</w:t>
            </w:r>
          </w:p>
        </w:tc>
        <w:tc>
          <w:tcPr>
            <w:tcW w:w="977" w:type="dxa"/>
          </w:tcPr>
          <w:p w14:paraId="097619A2"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12C20F1B"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-48.2910</w:t>
            </w:r>
          </w:p>
        </w:tc>
        <w:tc>
          <w:tcPr>
            <w:tcW w:w="1254" w:type="dxa"/>
          </w:tcPr>
          <w:p w14:paraId="39CA3B93"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Pr>
          <w:p w14:paraId="1E5C5C28"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0584528B" w14:textId="77777777" w:rsidTr="003D640C">
        <w:tc>
          <w:tcPr>
            <w:tcW w:w="2358" w:type="dxa"/>
          </w:tcPr>
          <w:p w14:paraId="658B182B"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Natural Resources </w:t>
            </w:r>
          </w:p>
        </w:tc>
        <w:tc>
          <w:tcPr>
            <w:tcW w:w="1258" w:type="dxa"/>
          </w:tcPr>
          <w:p w14:paraId="242B0D0E"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-33.31252</w:t>
            </w:r>
          </w:p>
        </w:tc>
        <w:tc>
          <w:tcPr>
            <w:tcW w:w="923" w:type="dxa"/>
          </w:tcPr>
          <w:p w14:paraId="22A086FD"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0.0000</w:t>
            </w:r>
          </w:p>
        </w:tc>
        <w:tc>
          <w:tcPr>
            <w:tcW w:w="977" w:type="dxa"/>
          </w:tcPr>
          <w:p w14:paraId="03675488"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2E2296DC"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-46.0017</w:t>
            </w:r>
          </w:p>
        </w:tc>
        <w:tc>
          <w:tcPr>
            <w:tcW w:w="1254" w:type="dxa"/>
          </w:tcPr>
          <w:p w14:paraId="00024B45"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Pr>
          <w:p w14:paraId="730E4545"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5E5F3539" w14:textId="77777777" w:rsidTr="003D640C">
        <w:tc>
          <w:tcPr>
            <w:tcW w:w="2358" w:type="dxa"/>
          </w:tcPr>
          <w:p w14:paraId="405F641B"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Oil and Gas </w:t>
            </w:r>
          </w:p>
        </w:tc>
        <w:tc>
          <w:tcPr>
            <w:tcW w:w="1258" w:type="dxa"/>
          </w:tcPr>
          <w:p w14:paraId="26902FD5"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-48.36656</w:t>
            </w:r>
          </w:p>
        </w:tc>
        <w:tc>
          <w:tcPr>
            <w:tcW w:w="923" w:type="dxa"/>
          </w:tcPr>
          <w:p w14:paraId="0487D7EC"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6A732E88"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5FCD0147"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-39.1874</w:t>
            </w:r>
          </w:p>
        </w:tc>
        <w:tc>
          <w:tcPr>
            <w:tcW w:w="1254" w:type="dxa"/>
          </w:tcPr>
          <w:p w14:paraId="56B6F3E2"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0.0001</w:t>
            </w:r>
          </w:p>
        </w:tc>
        <w:tc>
          <w:tcPr>
            <w:tcW w:w="1186" w:type="dxa"/>
          </w:tcPr>
          <w:p w14:paraId="43B6FEF1"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3E914893" w14:textId="77777777" w:rsidTr="003D640C">
        <w:tc>
          <w:tcPr>
            <w:tcW w:w="2358" w:type="dxa"/>
          </w:tcPr>
          <w:p w14:paraId="0589A51A"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Financial Services </w:t>
            </w:r>
          </w:p>
        </w:tc>
        <w:tc>
          <w:tcPr>
            <w:tcW w:w="1258" w:type="dxa"/>
          </w:tcPr>
          <w:p w14:paraId="0C8F7E50"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-45.98963</w:t>
            </w:r>
          </w:p>
        </w:tc>
        <w:tc>
          <w:tcPr>
            <w:tcW w:w="923" w:type="dxa"/>
          </w:tcPr>
          <w:p w14:paraId="77ED6873"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Pr>
          <w:p w14:paraId="69CCF61E"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Pr>
          <w:p w14:paraId="770ABDED"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-34.1217</w:t>
            </w:r>
          </w:p>
        </w:tc>
        <w:tc>
          <w:tcPr>
            <w:tcW w:w="1254" w:type="dxa"/>
          </w:tcPr>
          <w:p w14:paraId="722535EA"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Pr>
          <w:p w14:paraId="189245ED"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r w:rsidR="00047399" w:rsidRPr="00AE4EA1" w14:paraId="64C070DF" w14:textId="77777777" w:rsidTr="003D640C">
        <w:tc>
          <w:tcPr>
            <w:tcW w:w="2358" w:type="dxa"/>
            <w:tcBorders>
              <w:bottom w:val="single" w:sz="4" w:space="0" w:color="auto"/>
            </w:tcBorders>
          </w:tcPr>
          <w:p w14:paraId="669A0112"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 xml:space="preserve">Services </w:t>
            </w:r>
          </w:p>
        </w:tc>
        <w:tc>
          <w:tcPr>
            <w:tcW w:w="1258" w:type="dxa"/>
            <w:tcBorders>
              <w:bottom w:val="single" w:sz="4" w:space="0" w:color="auto"/>
            </w:tcBorders>
          </w:tcPr>
          <w:p w14:paraId="3D280F4B"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-49.47295</w:t>
            </w:r>
          </w:p>
        </w:tc>
        <w:tc>
          <w:tcPr>
            <w:tcW w:w="923" w:type="dxa"/>
            <w:tcBorders>
              <w:bottom w:val="single" w:sz="4" w:space="0" w:color="auto"/>
            </w:tcBorders>
          </w:tcPr>
          <w:p w14:paraId="44DF7E79"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0.0001</w:t>
            </w:r>
          </w:p>
        </w:tc>
        <w:tc>
          <w:tcPr>
            <w:tcW w:w="977" w:type="dxa"/>
            <w:tcBorders>
              <w:bottom w:val="single" w:sz="4" w:space="0" w:color="auto"/>
            </w:tcBorders>
          </w:tcPr>
          <w:p w14:paraId="4D03B3B6"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c>
          <w:tcPr>
            <w:tcW w:w="1279" w:type="dxa"/>
            <w:tcBorders>
              <w:bottom w:val="single" w:sz="4" w:space="0" w:color="auto"/>
            </w:tcBorders>
          </w:tcPr>
          <w:p w14:paraId="22121919"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58.8181</w:t>
            </w:r>
          </w:p>
        </w:tc>
        <w:tc>
          <w:tcPr>
            <w:tcW w:w="1254" w:type="dxa"/>
            <w:tcBorders>
              <w:bottom w:val="single" w:sz="4" w:space="0" w:color="auto"/>
            </w:tcBorders>
          </w:tcPr>
          <w:p w14:paraId="2B598E9A" w14:textId="77777777" w:rsidR="00047399" w:rsidRPr="007D76D2" w:rsidRDefault="00047399" w:rsidP="008252D5">
            <w:pPr>
              <w:spacing w:after="0" w:line="240" w:lineRule="auto"/>
              <w:rPr>
                <w:rFonts w:ascii="Times New Roman" w:hAnsi="Times New Roman"/>
                <w:color w:val="000000"/>
                <w:sz w:val="20"/>
                <w:szCs w:val="24"/>
              </w:rPr>
            </w:pPr>
            <w:r>
              <w:rPr>
                <w:rFonts w:ascii="Times New Roman" w:hAnsi="Times New Roman"/>
                <w:color w:val="000000"/>
                <w:sz w:val="20"/>
                <w:szCs w:val="24"/>
              </w:rPr>
              <w:t>0.0000</w:t>
            </w:r>
          </w:p>
        </w:tc>
        <w:tc>
          <w:tcPr>
            <w:tcW w:w="1186" w:type="dxa"/>
            <w:tcBorders>
              <w:bottom w:val="single" w:sz="4" w:space="0" w:color="auto"/>
            </w:tcBorders>
          </w:tcPr>
          <w:p w14:paraId="25C07E77" w14:textId="77777777" w:rsidR="00047399" w:rsidRPr="007D76D2" w:rsidRDefault="00047399" w:rsidP="008252D5">
            <w:pPr>
              <w:spacing w:after="0" w:line="240" w:lineRule="auto"/>
              <w:rPr>
                <w:rFonts w:ascii="Times New Roman" w:hAnsi="Times New Roman"/>
                <w:color w:val="000000"/>
                <w:sz w:val="20"/>
                <w:szCs w:val="24"/>
              </w:rPr>
            </w:pPr>
            <w:r w:rsidRPr="007D76D2">
              <w:rPr>
                <w:rFonts w:ascii="Times New Roman" w:hAnsi="Times New Roman"/>
                <w:color w:val="000000"/>
                <w:sz w:val="20"/>
                <w:szCs w:val="24"/>
              </w:rPr>
              <w:t>1(1)</w:t>
            </w:r>
          </w:p>
        </w:tc>
      </w:tr>
    </w:tbl>
    <w:p w14:paraId="3E7C0413" w14:textId="77777777" w:rsidR="009C28B8" w:rsidRDefault="009C28B8" w:rsidP="00594F51">
      <w:pPr>
        <w:spacing w:line="240" w:lineRule="auto"/>
        <w:jc w:val="both"/>
        <w:rPr>
          <w:rFonts w:ascii="Times New Roman" w:hAnsi="Times New Roman"/>
          <w:color w:val="000000"/>
          <w:sz w:val="24"/>
          <w:szCs w:val="24"/>
        </w:rPr>
      </w:pPr>
    </w:p>
    <w:p w14:paraId="1679E820" w14:textId="77777777" w:rsidR="00961467" w:rsidRDefault="00961467" w:rsidP="00085DAE">
      <w:pPr>
        <w:spacing w:line="240" w:lineRule="auto"/>
        <w:rPr>
          <w:rFonts w:ascii="Times New Roman" w:hAnsi="Times New Roman"/>
          <w:color w:val="000000"/>
          <w:sz w:val="24"/>
          <w:szCs w:val="24"/>
        </w:rPr>
        <w:sectPr w:rsidR="00961467" w:rsidSect="00961467">
          <w:type w:val="continuous"/>
          <w:pgSz w:w="12240" w:h="15840"/>
          <w:pgMar w:top="851" w:right="1440" w:bottom="1440" w:left="1440" w:header="720" w:footer="720" w:gutter="0"/>
          <w:cols w:space="720"/>
          <w:docGrid w:linePitch="360"/>
        </w:sectPr>
      </w:pPr>
    </w:p>
    <w:p w14:paraId="45B70C74" w14:textId="4124DE96" w:rsidR="00047399" w:rsidRPr="00594F51" w:rsidRDefault="00047399" w:rsidP="00085DAE">
      <w:pPr>
        <w:spacing w:line="240" w:lineRule="auto"/>
        <w:rPr>
          <w:rFonts w:ascii="Times New Roman" w:hAnsi="Times New Roman"/>
          <w:color w:val="000000"/>
          <w:sz w:val="24"/>
          <w:szCs w:val="24"/>
        </w:rPr>
      </w:pPr>
      <w:r w:rsidRPr="00AE4EA1">
        <w:rPr>
          <w:rFonts w:ascii="Times New Roman" w:hAnsi="Times New Roman"/>
          <w:color w:val="000000"/>
          <w:sz w:val="24"/>
          <w:szCs w:val="24"/>
        </w:rPr>
        <w:t xml:space="preserve">As we can see from the </w:t>
      </w:r>
      <w:r>
        <w:rPr>
          <w:rFonts w:ascii="Times New Roman" w:hAnsi="Times New Roman"/>
          <w:color w:val="000000"/>
          <w:sz w:val="24"/>
          <w:szCs w:val="24"/>
        </w:rPr>
        <w:t xml:space="preserve">ADF and Philip Peron (PP) stationarity </w:t>
      </w:r>
      <w:r w:rsidRPr="00AE4EA1">
        <w:rPr>
          <w:rFonts w:ascii="Times New Roman" w:hAnsi="Times New Roman"/>
          <w:color w:val="000000"/>
          <w:sz w:val="24"/>
          <w:szCs w:val="24"/>
        </w:rPr>
        <w:t xml:space="preserve">test above, all the series are stationary after been differenced once. Consequently, the series are adequate for analysis using appropriate volatility models. </w:t>
      </w:r>
    </w:p>
    <w:p w14:paraId="1A659822" w14:textId="5B00322F" w:rsidR="00047399" w:rsidRPr="00AE4EA1" w:rsidRDefault="00047399" w:rsidP="00085DAE">
      <w:pPr>
        <w:spacing w:after="0" w:line="240" w:lineRule="auto"/>
        <w:rPr>
          <w:rFonts w:ascii="Times New Roman" w:hAnsi="Times New Roman"/>
          <w:b/>
          <w:color w:val="000000"/>
          <w:sz w:val="24"/>
          <w:szCs w:val="24"/>
        </w:rPr>
      </w:pPr>
      <w:r w:rsidRPr="00AE4EA1">
        <w:rPr>
          <w:rFonts w:ascii="Times New Roman" w:hAnsi="Times New Roman"/>
          <w:b/>
          <w:color w:val="000000"/>
          <w:sz w:val="24"/>
          <w:szCs w:val="24"/>
        </w:rPr>
        <w:t xml:space="preserve">Time Plots for Return Series </w:t>
      </w:r>
    </w:p>
    <w:p w14:paraId="468A0999" w14:textId="0EF70331" w:rsidR="00047399" w:rsidRPr="00AE4EA1" w:rsidRDefault="00047399" w:rsidP="00085DAE">
      <w:pPr>
        <w:spacing w:after="0" w:line="240" w:lineRule="auto"/>
        <w:rPr>
          <w:rFonts w:ascii="Times New Roman" w:hAnsi="Times New Roman"/>
          <w:color w:val="000000"/>
          <w:sz w:val="24"/>
          <w:szCs w:val="24"/>
        </w:rPr>
      </w:pPr>
      <w:r w:rsidRPr="00AE4EA1">
        <w:rPr>
          <w:rFonts w:ascii="Times New Roman" w:hAnsi="Times New Roman"/>
          <w:color w:val="000000"/>
          <w:sz w:val="24"/>
          <w:szCs w:val="24"/>
        </w:rPr>
        <w:t xml:space="preserve">The time plots of the return series are presented on figure </w:t>
      </w:r>
      <w:r w:rsidR="005464FC">
        <w:rPr>
          <w:rFonts w:ascii="Times New Roman" w:hAnsi="Times New Roman"/>
          <w:color w:val="000000"/>
          <w:sz w:val="24"/>
          <w:szCs w:val="24"/>
        </w:rPr>
        <w:t>1</w:t>
      </w:r>
      <w:r>
        <w:rPr>
          <w:rFonts w:ascii="Times New Roman" w:hAnsi="Times New Roman"/>
          <w:color w:val="000000"/>
          <w:sz w:val="24"/>
          <w:szCs w:val="24"/>
        </w:rPr>
        <w:t>.</w:t>
      </w:r>
    </w:p>
    <w:p w14:paraId="33F56C5F" w14:textId="77777777" w:rsidR="003E4724" w:rsidRDefault="003E4724" w:rsidP="00594F51">
      <w:pPr>
        <w:spacing w:line="240" w:lineRule="auto"/>
        <w:jc w:val="both"/>
        <w:rPr>
          <w:rFonts w:ascii="Times New Roman" w:hAnsi="Times New Roman"/>
          <w:b/>
          <w:color w:val="000000"/>
          <w:sz w:val="24"/>
          <w:szCs w:val="24"/>
        </w:rPr>
      </w:pPr>
    </w:p>
    <w:p w14:paraId="5DCAC29B" w14:textId="77777777" w:rsidR="00961467" w:rsidRDefault="00961467" w:rsidP="00594F51">
      <w:pPr>
        <w:spacing w:line="240" w:lineRule="auto"/>
        <w:jc w:val="both"/>
        <w:rPr>
          <w:rFonts w:ascii="Times New Roman" w:hAnsi="Times New Roman"/>
          <w:b/>
          <w:color w:val="000000"/>
          <w:sz w:val="24"/>
          <w:szCs w:val="24"/>
        </w:rPr>
        <w:sectPr w:rsidR="00961467" w:rsidSect="00961467">
          <w:type w:val="continuous"/>
          <w:pgSz w:w="12240" w:h="15840"/>
          <w:pgMar w:top="851" w:right="1440" w:bottom="1440" w:left="1440" w:header="720" w:footer="720" w:gutter="0"/>
          <w:cols w:num="2" w:space="720"/>
          <w:docGrid w:linePitch="360"/>
        </w:sectPr>
      </w:pPr>
    </w:p>
    <w:p w14:paraId="389F03BB" w14:textId="19375632" w:rsidR="00047399" w:rsidRPr="00AE4EA1" w:rsidRDefault="00047399" w:rsidP="00594F51">
      <w:pPr>
        <w:spacing w:line="240" w:lineRule="auto"/>
        <w:jc w:val="both"/>
        <w:rPr>
          <w:rFonts w:ascii="Times New Roman" w:hAnsi="Times New Roman"/>
          <w:b/>
          <w:color w:val="000000"/>
          <w:sz w:val="24"/>
          <w:szCs w:val="24"/>
        </w:rPr>
      </w:pPr>
      <w:r w:rsidRPr="00AE4EA1">
        <w:rPr>
          <w:rFonts w:ascii="Times New Roman" w:hAnsi="Times New Roman"/>
          <w:b/>
          <w:color w:val="000000"/>
          <w:sz w:val="24"/>
          <w:szCs w:val="24"/>
        </w:rPr>
        <w:t xml:space="preserve">Figure </w:t>
      </w:r>
      <w:r>
        <w:rPr>
          <w:rFonts w:ascii="Times New Roman" w:hAnsi="Times New Roman"/>
          <w:b/>
          <w:color w:val="000000"/>
          <w:sz w:val="24"/>
          <w:szCs w:val="24"/>
        </w:rPr>
        <w:t>1</w:t>
      </w:r>
      <w:r w:rsidRPr="00AE4EA1">
        <w:rPr>
          <w:rFonts w:ascii="Times New Roman" w:hAnsi="Times New Roman"/>
          <w:b/>
          <w:color w:val="000000"/>
          <w:sz w:val="24"/>
          <w:szCs w:val="24"/>
        </w:rPr>
        <w:t xml:space="preserve">: Time plot for return series </w:t>
      </w:r>
    </w:p>
    <w:p w14:paraId="475EEBE8" w14:textId="77777777" w:rsidR="00047399" w:rsidRPr="00AE4EA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55" w:dyaOrig="5131" w14:anchorId="366675E9">
          <v:shape id="_x0000_i1027" type="#_x0000_t75" style="width:358.5pt;height:117.75pt" o:ole="">
            <v:imagedata r:id="rId11" o:title=""/>
          </v:shape>
          <o:OLEObject Type="Embed" ProgID="EViews.Workfile.2" ShapeID="_x0000_i1027" DrawAspect="Content" ObjectID="_1817947884" r:id="rId12"/>
        </w:object>
      </w:r>
    </w:p>
    <w:p w14:paraId="1F8D0E5B" w14:textId="77777777" w:rsidR="00047399" w:rsidRPr="00AE4EA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55" w:dyaOrig="5131" w14:anchorId="13C63501">
          <v:shape id="_x0000_i1028" type="#_x0000_t75" style="width:390pt;height:132.75pt" o:ole="">
            <v:imagedata r:id="rId13" o:title=""/>
          </v:shape>
          <o:OLEObject Type="Embed" ProgID="EViews.Workfile.2" ShapeID="_x0000_i1028" DrawAspect="Content" ObjectID="_1817947885" r:id="rId14"/>
        </w:object>
      </w:r>
    </w:p>
    <w:p w14:paraId="016C8231" w14:textId="77777777" w:rsidR="00047399" w:rsidRPr="00AE4EA1" w:rsidRDefault="00047399" w:rsidP="00594F51">
      <w:pPr>
        <w:pStyle w:val="Title"/>
        <w:rPr>
          <w:rFonts w:ascii="Times New Roman" w:hAnsi="Times New Roman"/>
          <w:color w:val="000000"/>
          <w:sz w:val="24"/>
          <w:szCs w:val="24"/>
        </w:rPr>
      </w:pPr>
    </w:p>
    <w:p w14:paraId="3ACB5011" w14:textId="77777777" w:rsidR="00047399" w:rsidRPr="00AE4EA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86" w:dyaOrig="5371" w14:anchorId="35EC142C">
          <v:shape id="_x0000_i1029" type="#_x0000_t75" style="width:391.5pt;height:138.75pt" o:ole="">
            <v:imagedata r:id="rId15" o:title=""/>
          </v:shape>
          <o:OLEObject Type="Embed" ProgID="EViews.Workfile.2" ShapeID="_x0000_i1029" DrawAspect="Content" ObjectID="_1817947886" r:id="rId16"/>
        </w:object>
      </w:r>
    </w:p>
    <w:p w14:paraId="24CB73D8" w14:textId="77777777" w:rsidR="00047399" w:rsidRPr="00AE4EA1" w:rsidRDefault="00047399" w:rsidP="00594F51">
      <w:pPr>
        <w:pStyle w:val="Title"/>
        <w:rPr>
          <w:rFonts w:ascii="Times New Roman" w:hAnsi="Times New Roman"/>
          <w:color w:val="000000"/>
          <w:sz w:val="24"/>
          <w:szCs w:val="24"/>
        </w:rPr>
      </w:pPr>
    </w:p>
    <w:p w14:paraId="2C27F857" w14:textId="77777777" w:rsidR="00047399" w:rsidRPr="00AE4EA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55" w:dyaOrig="5131" w14:anchorId="3CCEA74A">
          <v:shape id="_x0000_i1030" type="#_x0000_t75" style="width:390pt;height:144.75pt" o:ole="">
            <v:imagedata r:id="rId17" o:title=""/>
          </v:shape>
          <o:OLEObject Type="Embed" ProgID="EViews.Workfile.2" ShapeID="_x0000_i1030" DrawAspect="Content" ObjectID="_1817947887" r:id="rId18"/>
        </w:object>
      </w:r>
    </w:p>
    <w:p w14:paraId="146EF767" w14:textId="77777777" w:rsidR="00047399" w:rsidRPr="00AE4EA1" w:rsidRDefault="00047399" w:rsidP="00594F51">
      <w:pPr>
        <w:pStyle w:val="Title"/>
        <w:rPr>
          <w:rFonts w:ascii="Times New Roman" w:hAnsi="Times New Roman"/>
          <w:color w:val="000000"/>
          <w:sz w:val="24"/>
          <w:szCs w:val="24"/>
        </w:rPr>
      </w:pPr>
    </w:p>
    <w:p w14:paraId="0015DD13" w14:textId="77777777" w:rsidR="00594F51" w:rsidRPr="00594F5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86" w:dyaOrig="5371" w14:anchorId="5EF48A69">
          <v:shape id="_x0000_i1031" type="#_x0000_t75" style="width:391.5pt;height:214.5pt" o:ole="">
            <v:imagedata r:id="rId19" o:title=""/>
          </v:shape>
          <o:OLEObject Type="Embed" ProgID="EViews.Workfile.2" ShapeID="_x0000_i1031" DrawAspect="Content" ObjectID="_1817947888" r:id="rId20"/>
        </w:object>
      </w:r>
    </w:p>
    <w:p w14:paraId="61CECD49" w14:textId="77777777" w:rsidR="00047399" w:rsidRPr="00AE4EA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860" w:dyaOrig="5131" w14:anchorId="666ED7C0">
          <v:shape id="_x0000_i1032" type="#_x0000_t75" style="width:392.25pt;height:156.75pt" o:ole="">
            <v:imagedata r:id="rId21" o:title=""/>
          </v:shape>
          <o:OLEObject Type="Embed" ProgID="EViews.Workfile.2" ShapeID="_x0000_i1032" DrawAspect="Content" ObjectID="_1817947889" r:id="rId22"/>
        </w:object>
      </w:r>
    </w:p>
    <w:p w14:paraId="55A649E1" w14:textId="77777777" w:rsidR="00047399" w:rsidRPr="00AE4EA1" w:rsidRDefault="00047399" w:rsidP="00594F51">
      <w:pPr>
        <w:pStyle w:val="Title"/>
        <w:rPr>
          <w:rFonts w:ascii="Times New Roman" w:hAnsi="Times New Roman"/>
          <w:color w:val="000000"/>
          <w:sz w:val="24"/>
          <w:szCs w:val="24"/>
        </w:rPr>
      </w:pPr>
    </w:p>
    <w:p w14:paraId="676D147A" w14:textId="77777777" w:rsidR="00047399"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55" w:dyaOrig="5131" w14:anchorId="4557D962">
          <v:shape id="_x0000_i1033" type="#_x0000_t75" style="width:390pt;height:113.25pt" o:ole="">
            <v:imagedata r:id="rId23" o:title=""/>
          </v:shape>
          <o:OLEObject Type="Embed" ProgID="EViews.Workfile.2" ShapeID="_x0000_i1033" DrawAspect="Content" ObjectID="_1817947890" r:id="rId24"/>
        </w:object>
      </w:r>
    </w:p>
    <w:p w14:paraId="5EB7810F" w14:textId="77777777" w:rsidR="00DB5ABE" w:rsidRPr="00DB5ABE" w:rsidRDefault="00DB5ABE" w:rsidP="00DB5ABE">
      <w:pPr>
        <w:rPr>
          <w:sz w:val="2"/>
          <w:lang w:val="en-GB"/>
        </w:rPr>
      </w:pPr>
    </w:p>
    <w:p w14:paraId="40DEF623" w14:textId="77777777" w:rsidR="00047399" w:rsidRPr="00AE4EA1" w:rsidRDefault="00DB5ABE"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55" w:dyaOrig="5131" w14:anchorId="563B6F60">
          <v:shape id="_x0000_i1034" type="#_x0000_t75" style="width:390pt;height:138pt" o:ole="">
            <v:imagedata r:id="rId25" o:title=""/>
          </v:shape>
          <o:OLEObject Type="Embed" ProgID="EViews.Workfile.2" ShapeID="_x0000_i1034" DrawAspect="Content" ObjectID="_1817947891" r:id="rId26"/>
        </w:object>
      </w:r>
    </w:p>
    <w:p w14:paraId="449586D0" w14:textId="660A9084" w:rsidR="00047399" w:rsidRPr="00AE4EA1" w:rsidRDefault="00961467"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665" w:dyaOrig="5131" w14:anchorId="412C897F">
          <v:shape id="_x0000_i1035" type="#_x0000_t75" style="width:384.75pt;height:166.5pt" o:ole="">
            <v:imagedata r:id="rId27" o:title=""/>
          </v:shape>
          <o:OLEObject Type="Embed" ProgID="EViews.Workfile.2" ShapeID="_x0000_i1035" DrawAspect="Content" ObjectID="_1817947892" r:id="rId28"/>
        </w:object>
      </w:r>
    </w:p>
    <w:p w14:paraId="3761BB32" w14:textId="77777777" w:rsidR="00047399" w:rsidRPr="00AE4EA1" w:rsidRDefault="00047399" w:rsidP="00594F51">
      <w:pPr>
        <w:pStyle w:val="Title"/>
        <w:rPr>
          <w:rFonts w:ascii="Times New Roman" w:hAnsi="Times New Roman"/>
          <w:color w:val="000000"/>
          <w:sz w:val="24"/>
          <w:szCs w:val="24"/>
        </w:rPr>
      </w:pPr>
    </w:p>
    <w:p w14:paraId="3B573AA4" w14:textId="1B89D6CA" w:rsidR="00047399" w:rsidRPr="00AE4EA1" w:rsidRDefault="00961467" w:rsidP="00594F51">
      <w:pPr>
        <w:pStyle w:val="Title"/>
        <w:rPr>
          <w:rFonts w:ascii="Times New Roman" w:hAnsi="Times New Roman"/>
          <w:color w:val="000000"/>
          <w:sz w:val="24"/>
          <w:szCs w:val="24"/>
        </w:rPr>
      </w:pPr>
      <w:r w:rsidRPr="00AE4EA1">
        <w:rPr>
          <w:rFonts w:ascii="Times New Roman" w:hAnsi="Times New Roman"/>
          <w:color w:val="000000"/>
          <w:sz w:val="24"/>
          <w:szCs w:val="24"/>
        </w:rPr>
        <w:object w:dxaOrig="7755" w:dyaOrig="5131" w14:anchorId="64A39BE2">
          <v:shape id="_x0000_i1036" type="#_x0000_t75" style="width:390pt;height:120pt" o:ole="">
            <v:imagedata r:id="rId29" o:title=""/>
          </v:shape>
          <o:OLEObject Type="Embed" ProgID="EViews.Workfile.2" ShapeID="_x0000_i1036" DrawAspect="Content" ObjectID="_1817947893" r:id="rId30"/>
        </w:object>
      </w:r>
    </w:p>
    <w:p w14:paraId="53021434" w14:textId="77777777" w:rsidR="00961467" w:rsidRDefault="00961467" w:rsidP="00085DAE">
      <w:pPr>
        <w:spacing w:line="240" w:lineRule="auto"/>
        <w:rPr>
          <w:rFonts w:ascii="Times New Roman" w:hAnsi="Times New Roman"/>
          <w:sz w:val="24"/>
          <w:szCs w:val="24"/>
        </w:rPr>
        <w:sectPr w:rsidR="00961467" w:rsidSect="00961467">
          <w:type w:val="continuous"/>
          <w:pgSz w:w="12240" w:h="15840"/>
          <w:pgMar w:top="851" w:right="1440" w:bottom="1440" w:left="1440" w:header="720" w:footer="720" w:gutter="0"/>
          <w:cols w:space="720"/>
          <w:docGrid w:linePitch="360"/>
        </w:sectPr>
      </w:pPr>
    </w:p>
    <w:p w14:paraId="1C717860" w14:textId="3E570127" w:rsidR="00047399" w:rsidRPr="00085DAE" w:rsidRDefault="00047399" w:rsidP="00085DAE">
      <w:pPr>
        <w:spacing w:line="240" w:lineRule="auto"/>
        <w:rPr>
          <w:rFonts w:ascii="Times New Roman" w:hAnsi="Times New Roman"/>
          <w:sz w:val="24"/>
          <w:szCs w:val="24"/>
        </w:rPr>
      </w:pPr>
      <w:r w:rsidRPr="00085DAE">
        <w:rPr>
          <w:rFonts w:ascii="Times New Roman" w:hAnsi="Times New Roman"/>
          <w:sz w:val="24"/>
          <w:szCs w:val="24"/>
        </w:rPr>
        <w:t>The time plots of oil and the eleven sectoral indices are as presented above. For the agriculture sector we observe</w:t>
      </w:r>
      <w:r w:rsidR="009C28B8" w:rsidRPr="00085DAE">
        <w:rPr>
          <w:rFonts w:ascii="Times New Roman" w:hAnsi="Times New Roman"/>
          <w:sz w:val="24"/>
          <w:szCs w:val="24"/>
        </w:rPr>
        <w:t>d</w:t>
      </w:r>
      <w:r w:rsidRPr="00085DAE">
        <w:rPr>
          <w:rFonts w:ascii="Times New Roman" w:hAnsi="Times New Roman"/>
          <w:sz w:val="24"/>
          <w:szCs w:val="24"/>
        </w:rPr>
        <w:t xml:space="preserve"> spikes in oil return around late 2012, while return on agriculture sector was stable from 2011 to 2014. However, as observed by 2020, there was a sharp spike in returns perhaps due to the COVID 19 Pandemic. We can also</w:t>
      </w:r>
      <w:r w:rsidR="00085DAE">
        <w:rPr>
          <w:rFonts w:ascii="Times New Roman" w:hAnsi="Times New Roman"/>
          <w:sz w:val="24"/>
          <w:szCs w:val="24"/>
        </w:rPr>
        <w:t xml:space="preserve"> </w:t>
      </w:r>
      <w:r w:rsidRPr="00085DAE">
        <w:rPr>
          <w:rFonts w:ascii="Times New Roman" w:hAnsi="Times New Roman"/>
          <w:sz w:val="24"/>
          <w:szCs w:val="24"/>
        </w:rPr>
        <w:t>observe that all the return series exhibit</w:t>
      </w:r>
      <w:r w:rsidR="009C28B8" w:rsidRPr="00085DAE">
        <w:rPr>
          <w:rFonts w:ascii="Times New Roman" w:hAnsi="Times New Roman"/>
          <w:sz w:val="24"/>
          <w:szCs w:val="24"/>
        </w:rPr>
        <w:t>ed</w:t>
      </w:r>
      <w:r w:rsidRPr="00085DAE">
        <w:rPr>
          <w:rFonts w:ascii="Times New Roman" w:hAnsi="Times New Roman"/>
          <w:sz w:val="24"/>
          <w:szCs w:val="24"/>
        </w:rPr>
        <w:t xml:space="preserve"> volatility clustering </w:t>
      </w:r>
      <w:r w:rsidR="009C28B8" w:rsidRPr="00085DAE">
        <w:rPr>
          <w:rFonts w:ascii="Times New Roman" w:hAnsi="Times New Roman"/>
          <w:sz w:val="24"/>
          <w:szCs w:val="24"/>
        </w:rPr>
        <w:t xml:space="preserve">which </w:t>
      </w:r>
      <w:r w:rsidRPr="00085DAE">
        <w:rPr>
          <w:rFonts w:ascii="Times New Roman" w:hAnsi="Times New Roman"/>
          <w:sz w:val="24"/>
          <w:szCs w:val="24"/>
        </w:rPr>
        <w:t>g</w:t>
      </w:r>
      <w:r w:rsidR="009C28B8" w:rsidRPr="00085DAE">
        <w:rPr>
          <w:rFonts w:ascii="Times New Roman" w:hAnsi="Times New Roman"/>
          <w:sz w:val="24"/>
          <w:szCs w:val="24"/>
        </w:rPr>
        <w:t>a</w:t>
      </w:r>
      <w:r w:rsidRPr="00085DAE">
        <w:rPr>
          <w:rFonts w:ascii="Times New Roman" w:hAnsi="Times New Roman"/>
          <w:sz w:val="24"/>
          <w:szCs w:val="24"/>
        </w:rPr>
        <w:t>ve rise to excess kurtosis with very high values as evidence</w:t>
      </w:r>
      <w:r w:rsidR="009C28B8" w:rsidRPr="00085DAE">
        <w:rPr>
          <w:rFonts w:ascii="Times New Roman" w:hAnsi="Times New Roman"/>
          <w:sz w:val="24"/>
          <w:szCs w:val="24"/>
        </w:rPr>
        <w:t>d</w:t>
      </w:r>
      <w:r w:rsidRPr="00085DAE">
        <w:rPr>
          <w:rFonts w:ascii="Times New Roman" w:hAnsi="Times New Roman"/>
          <w:sz w:val="24"/>
          <w:szCs w:val="24"/>
        </w:rPr>
        <w:t xml:space="preserve"> in the table</w:t>
      </w:r>
      <w:r w:rsidR="009C28B8" w:rsidRPr="00085DAE">
        <w:rPr>
          <w:rFonts w:ascii="Times New Roman" w:hAnsi="Times New Roman"/>
          <w:sz w:val="24"/>
          <w:szCs w:val="24"/>
        </w:rPr>
        <w:t xml:space="preserve"> </w:t>
      </w:r>
      <w:r w:rsidRPr="00085DAE">
        <w:rPr>
          <w:rFonts w:ascii="Times New Roman" w:hAnsi="Times New Roman"/>
          <w:sz w:val="24"/>
          <w:szCs w:val="24"/>
        </w:rPr>
        <w:t>1 on descriptive statistics. Volatility clustering indicates that large positive changes in volatility are likely to be followed by negative changes in volatility. Thus</w:t>
      </w:r>
      <w:r w:rsidR="009C28B8" w:rsidRPr="00085DAE">
        <w:rPr>
          <w:rFonts w:ascii="Times New Roman" w:hAnsi="Times New Roman"/>
          <w:sz w:val="24"/>
          <w:szCs w:val="24"/>
        </w:rPr>
        <w:t>, the</w:t>
      </w:r>
      <w:r w:rsidRPr="00085DAE">
        <w:rPr>
          <w:rFonts w:ascii="Times New Roman" w:hAnsi="Times New Roman"/>
          <w:sz w:val="24"/>
          <w:szCs w:val="24"/>
        </w:rPr>
        <w:t xml:space="preserve"> scenario suggest</w:t>
      </w:r>
      <w:r w:rsidR="009C28B8" w:rsidRPr="00085DAE">
        <w:rPr>
          <w:rFonts w:ascii="Times New Roman" w:hAnsi="Times New Roman"/>
          <w:sz w:val="24"/>
          <w:szCs w:val="24"/>
        </w:rPr>
        <w:t>ed</w:t>
      </w:r>
      <w:r w:rsidRPr="00085DAE">
        <w:rPr>
          <w:rFonts w:ascii="Times New Roman" w:hAnsi="Times New Roman"/>
          <w:sz w:val="24"/>
          <w:szCs w:val="24"/>
        </w:rPr>
        <w:t xml:space="preserve"> the positivity of return and volatility spillover </w:t>
      </w:r>
      <w:r w:rsidRPr="00085DAE">
        <w:rPr>
          <w:rFonts w:ascii="Times New Roman" w:hAnsi="Times New Roman"/>
          <w:sz w:val="24"/>
          <w:szCs w:val="24"/>
        </w:rPr>
        <w:t>effects between the series which makes GARCH based models ideal for estimation</w:t>
      </w:r>
      <w:r w:rsidR="009C28B8" w:rsidRPr="00085DAE">
        <w:rPr>
          <w:rFonts w:ascii="Times New Roman" w:hAnsi="Times New Roman"/>
          <w:sz w:val="24"/>
          <w:szCs w:val="24"/>
        </w:rPr>
        <w:t xml:space="preserve"> as indicated by</w:t>
      </w:r>
      <w:r w:rsidRPr="00085DAE">
        <w:rPr>
          <w:rFonts w:ascii="Times New Roman" w:hAnsi="Times New Roman"/>
          <w:sz w:val="24"/>
          <w:szCs w:val="24"/>
        </w:rPr>
        <w:t xml:space="preserve"> </w:t>
      </w:r>
      <w:proofErr w:type="spellStart"/>
      <w:r w:rsidRPr="00085DAE">
        <w:rPr>
          <w:rFonts w:ascii="Times New Roman" w:hAnsi="Times New Roman"/>
          <w:sz w:val="24"/>
          <w:szCs w:val="24"/>
        </w:rPr>
        <w:t>Fracq</w:t>
      </w:r>
      <w:proofErr w:type="spellEnd"/>
      <w:r w:rsidRPr="00085DAE">
        <w:rPr>
          <w:rFonts w:ascii="Times New Roman" w:hAnsi="Times New Roman"/>
          <w:sz w:val="24"/>
          <w:szCs w:val="24"/>
        </w:rPr>
        <w:t xml:space="preserve"> and </w:t>
      </w:r>
      <w:proofErr w:type="spellStart"/>
      <w:r w:rsidRPr="00085DAE">
        <w:rPr>
          <w:rFonts w:ascii="Times New Roman" w:hAnsi="Times New Roman"/>
          <w:sz w:val="24"/>
          <w:szCs w:val="24"/>
        </w:rPr>
        <w:t>Zakoian</w:t>
      </w:r>
      <w:proofErr w:type="spellEnd"/>
      <w:r w:rsidRPr="00085DAE">
        <w:rPr>
          <w:rFonts w:ascii="Times New Roman" w:hAnsi="Times New Roman"/>
          <w:sz w:val="24"/>
          <w:szCs w:val="24"/>
        </w:rPr>
        <w:t xml:space="preserve"> (2010), </w:t>
      </w:r>
      <w:r w:rsidR="009C28B8" w:rsidRPr="00085DAE">
        <w:rPr>
          <w:rFonts w:ascii="Times New Roman" w:hAnsi="Times New Roman"/>
          <w:sz w:val="24"/>
          <w:szCs w:val="24"/>
        </w:rPr>
        <w:t xml:space="preserve">and </w:t>
      </w:r>
      <w:r w:rsidRPr="00085DAE">
        <w:rPr>
          <w:rFonts w:ascii="Times New Roman" w:hAnsi="Times New Roman"/>
          <w:sz w:val="24"/>
          <w:szCs w:val="24"/>
        </w:rPr>
        <w:t>cited by Abdala (2014).</w:t>
      </w:r>
    </w:p>
    <w:p w14:paraId="4823C9B3" w14:textId="50113F10" w:rsidR="00047399" w:rsidRPr="00961467" w:rsidRDefault="00047399" w:rsidP="00961467">
      <w:pPr>
        <w:pStyle w:val="ListParagraph"/>
        <w:numPr>
          <w:ilvl w:val="0"/>
          <w:numId w:val="21"/>
        </w:numPr>
        <w:spacing w:after="0" w:line="240" w:lineRule="auto"/>
        <w:rPr>
          <w:rFonts w:ascii="Times New Roman" w:hAnsi="Times New Roman"/>
          <w:b/>
          <w:sz w:val="24"/>
          <w:szCs w:val="24"/>
        </w:rPr>
      </w:pPr>
      <w:r w:rsidRPr="00961467">
        <w:rPr>
          <w:rFonts w:ascii="Times New Roman" w:hAnsi="Times New Roman"/>
          <w:b/>
          <w:sz w:val="24"/>
          <w:szCs w:val="24"/>
        </w:rPr>
        <w:t xml:space="preserve">ARCH and Serial Correlation Tests </w:t>
      </w:r>
    </w:p>
    <w:p w14:paraId="1FFDB52A" w14:textId="55F170DA" w:rsidR="00047399" w:rsidRPr="00085DAE" w:rsidRDefault="00047399" w:rsidP="00085DAE">
      <w:pPr>
        <w:spacing w:line="240" w:lineRule="auto"/>
        <w:rPr>
          <w:rFonts w:ascii="Times New Roman" w:hAnsi="Times New Roman"/>
          <w:sz w:val="24"/>
          <w:szCs w:val="24"/>
        </w:rPr>
      </w:pPr>
      <w:r w:rsidRPr="00085DAE">
        <w:rPr>
          <w:rFonts w:ascii="Times New Roman" w:hAnsi="Times New Roman"/>
          <w:sz w:val="24"/>
          <w:szCs w:val="24"/>
        </w:rPr>
        <w:t>Evidence from the stationarity</w:t>
      </w:r>
      <w:r w:rsidR="009C28B8" w:rsidRPr="00085DAE">
        <w:rPr>
          <w:rFonts w:ascii="Times New Roman" w:hAnsi="Times New Roman"/>
          <w:sz w:val="24"/>
          <w:szCs w:val="24"/>
        </w:rPr>
        <w:t xml:space="preserve"> </w:t>
      </w:r>
      <w:r w:rsidRPr="00085DAE">
        <w:rPr>
          <w:rFonts w:ascii="Times New Roman" w:hAnsi="Times New Roman"/>
          <w:sz w:val="24"/>
          <w:szCs w:val="24"/>
        </w:rPr>
        <w:t>tests, Jarque-</w:t>
      </w:r>
      <w:proofErr w:type="spellStart"/>
      <w:r w:rsidRPr="00085DAE">
        <w:rPr>
          <w:rFonts w:ascii="Times New Roman" w:hAnsi="Times New Roman"/>
          <w:sz w:val="24"/>
          <w:szCs w:val="24"/>
        </w:rPr>
        <w:t>Bera</w:t>
      </w:r>
      <w:proofErr w:type="spellEnd"/>
      <w:r w:rsidRPr="00085DAE">
        <w:rPr>
          <w:rFonts w:ascii="Times New Roman" w:hAnsi="Times New Roman"/>
          <w:sz w:val="24"/>
          <w:szCs w:val="24"/>
        </w:rPr>
        <w:t xml:space="preserve"> and </w:t>
      </w:r>
      <w:proofErr w:type="spellStart"/>
      <w:r w:rsidRPr="00085DAE">
        <w:rPr>
          <w:rFonts w:ascii="Times New Roman" w:hAnsi="Times New Roman"/>
          <w:sz w:val="24"/>
          <w:szCs w:val="24"/>
        </w:rPr>
        <w:t>Kurtasis</w:t>
      </w:r>
      <w:proofErr w:type="spellEnd"/>
      <w:r w:rsidRPr="00085DAE">
        <w:rPr>
          <w:rFonts w:ascii="Times New Roman" w:hAnsi="Times New Roman"/>
          <w:sz w:val="24"/>
          <w:szCs w:val="24"/>
        </w:rPr>
        <w:t xml:space="preserve"> support</w:t>
      </w:r>
      <w:r w:rsidR="009C28B8" w:rsidRPr="00085DAE">
        <w:rPr>
          <w:rFonts w:ascii="Times New Roman" w:hAnsi="Times New Roman"/>
          <w:sz w:val="24"/>
          <w:szCs w:val="24"/>
        </w:rPr>
        <w:t>ed</w:t>
      </w:r>
      <w:r w:rsidRPr="00085DAE">
        <w:rPr>
          <w:rFonts w:ascii="Times New Roman" w:hAnsi="Times New Roman"/>
          <w:sz w:val="24"/>
          <w:szCs w:val="24"/>
        </w:rPr>
        <w:t xml:space="preserve"> the adoption of GARCH model</w:t>
      </w:r>
      <w:r w:rsidR="009C28B8" w:rsidRPr="00085DAE">
        <w:rPr>
          <w:rFonts w:ascii="Times New Roman" w:hAnsi="Times New Roman"/>
          <w:sz w:val="24"/>
          <w:szCs w:val="24"/>
        </w:rPr>
        <w:t>,</w:t>
      </w:r>
      <w:r w:rsidRPr="00085DAE">
        <w:rPr>
          <w:rFonts w:ascii="Times New Roman" w:hAnsi="Times New Roman"/>
          <w:sz w:val="24"/>
          <w:szCs w:val="24"/>
        </w:rPr>
        <w:t xml:space="preserve"> however, the ARCH test serial correlation test </w:t>
      </w:r>
      <w:r w:rsidR="009C28B8" w:rsidRPr="00085DAE">
        <w:rPr>
          <w:rFonts w:ascii="Times New Roman" w:hAnsi="Times New Roman"/>
          <w:sz w:val="24"/>
          <w:szCs w:val="24"/>
        </w:rPr>
        <w:t>was</w:t>
      </w:r>
      <w:r w:rsidRPr="00085DAE">
        <w:rPr>
          <w:rFonts w:ascii="Times New Roman" w:hAnsi="Times New Roman"/>
          <w:sz w:val="24"/>
          <w:szCs w:val="24"/>
        </w:rPr>
        <w:t xml:space="preserve"> conducted. The Engle (1982) ARCH tests were conducted where results reveal existence of ARCH effects and serial correlation in the series. This is reported on table </w:t>
      </w:r>
      <w:r w:rsidR="00961467">
        <w:rPr>
          <w:rFonts w:ascii="Times New Roman" w:hAnsi="Times New Roman"/>
          <w:sz w:val="24"/>
          <w:szCs w:val="24"/>
        </w:rPr>
        <w:t>2</w:t>
      </w:r>
      <w:r w:rsidRPr="00085DAE">
        <w:rPr>
          <w:rFonts w:ascii="Times New Roman" w:hAnsi="Times New Roman"/>
          <w:sz w:val="24"/>
          <w:szCs w:val="24"/>
        </w:rPr>
        <w:t>.</w:t>
      </w:r>
    </w:p>
    <w:p w14:paraId="2ABE86C0" w14:textId="77777777" w:rsidR="005464FC" w:rsidRDefault="005464FC" w:rsidP="00085DAE">
      <w:pPr>
        <w:spacing w:after="0" w:line="240" w:lineRule="auto"/>
        <w:rPr>
          <w:rFonts w:ascii="Times New Roman" w:hAnsi="Times New Roman"/>
          <w:b/>
          <w:color w:val="000000"/>
          <w:sz w:val="24"/>
          <w:szCs w:val="24"/>
        </w:rPr>
      </w:pPr>
    </w:p>
    <w:p w14:paraId="11CDF446" w14:textId="77777777" w:rsidR="00961467" w:rsidRDefault="00961467" w:rsidP="00085DAE">
      <w:pPr>
        <w:spacing w:after="0" w:line="240" w:lineRule="auto"/>
        <w:rPr>
          <w:rFonts w:ascii="Times New Roman" w:hAnsi="Times New Roman"/>
          <w:b/>
          <w:color w:val="000000"/>
          <w:sz w:val="24"/>
          <w:szCs w:val="24"/>
        </w:rPr>
        <w:sectPr w:rsidR="00961467" w:rsidSect="00961467">
          <w:type w:val="continuous"/>
          <w:pgSz w:w="12240" w:h="15840"/>
          <w:pgMar w:top="851" w:right="1440" w:bottom="1440" w:left="1440" w:header="720" w:footer="720" w:gutter="0"/>
          <w:cols w:num="2" w:space="720"/>
          <w:docGrid w:linePitch="360"/>
        </w:sectPr>
      </w:pPr>
    </w:p>
    <w:p w14:paraId="55DDB401" w14:textId="77777777" w:rsidR="005464FC" w:rsidRDefault="005464FC" w:rsidP="00085DAE">
      <w:pPr>
        <w:spacing w:after="0" w:line="240" w:lineRule="auto"/>
        <w:rPr>
          <w:rFonts w:ascii="Times New Roman" w:hAnsi="Times New Roman"/>
          <w:b/>
          <w:color w:val="000000"/>
          <w:sz w:val="24"/>
          <w:szCs w:val="24"/>
        </w:rPr>
      </w:pPr>
    </w:p>
    <w:p w14:paraId="631BDDA1" w14:textId="5D6101AB" w:rsidR="00047399" w:rsidRPr="00AE4EA1" w:rsidRDefault="00047399" w:rsidP="00DB5ABE">
      <w:pPr>
        <w:spacing w:after="0" w:line="240" w:lineRule="auto"/>
        <w:jc w:val="both"/>
        <w:rPr>
          <w:rFonts w:ascii="Times New Roman" w:hAnsi="Times New Roman"/>
          <w:b/>
          <w:color w:val="000000"/>
          <w:sz w:val="24"/>
          <w:szCs w:val="24"/>
        </w:rPr>
      </w:pPr>
      <w:r w:rsidRPr="00AE4EA1">
        <w:rPr>
          <w:rFonts w:ascii="Times New Roman" w:hAnsi="Times New Roman"/>
          <w:b/>
          <w:color w:val="000000"/>
          <w:sz w:val="24"/>
          <w:szCs w:val="24"/>
        </w:rPr>
        <w:t xml:space="preserve">Table </w:t>
      </w:r>
      <w:r w:rsidR="005464FC">
        <w:rPr>
          <w:rFonts w:ascii="Times New Roman" w:hAnsi="Times New Roman"/>
          <w:b/>
          <w:color w:val="000000"/>
          <w:sz w:val="24"/>
          <w:szCs w:val="24"/>
        </w:rPr>
        <w:t>2</w:t>
      </w:r>
      <w:r>
        <w:rPr>
          <w:rFonts w:ascii="Times New Roman" w:hAnsi="Times New Roman"/>
          <w:b/>
          <w:color w:val="000000"/>
          <w:sz w:val="24"/>
          <w:szCs w:val="24"/>
        </w:rPr>
        <w:t xml:space="preserve">: </w:t>
      </w:r>
      <w:r w:rsidRPr="00AE4EA1">
        <w:rPr>
          <w:rFonts w:ascii="Times New Roman" w:hAnsi="Times New Roman"/>
          <w:b/>
          <w:color w:val="000000"/>
          <w:sz w:val="24"/>
          <w:szCs w:val="24"/>
        </w:rPr>
        <w:t>ARCH Test</w:t>
      </w:r>
      <w:r>
        <w:rPr>
          <w:rFonts w:ascii="Times New Roman" w:hAnsi="Times New Roman"/>
          <w:b/>
          <w:color w:val="000000"/>
          <w:sz w:val="24"/>
          <w:szCs w:val="24"/>
        </w:rPr>
        <w:t xml:space="preserve"> Result</w:t>
      </w:r>
      <w:r w:rsidRPr="00AE4EA1">
        <w:rPr>
          <w:rFonts w:ascii="Times New Roman" w:hAnsi="Times New Roman"/>
          <w:b/>
          <w:color w:val="000000"/>
          <w:sz w:val="24"/>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2"/>
        <w:gridCol w:w="4602"/>
      </w:tblGrid>
      <w:tr w:rsidR="00047399" w:rsidRPr="00AE4EA1" w14:paraId="6F67DB2C" w14:textId="77777777" w:rsidTr="00961467">
        <w:trPr>
          <w:trHeight w:val="328"/>
        </w:trPr>
        <w:tc>
          <w:tcPr>
            <w:tcW w:w="4792" w:type="dxa"/>
          </w:tcPr>
          <w:p w14:paraId="3F124D5E"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 xml:space="preserve">Variable </w:t>
            </w:r>
          </w:p>
        </w:tc>
        <w:tc>
          <w:tcPr>
            <w:tcW w:w="4602" w:type="dxa"/>
          </w:tcPr>
          <w:p w14:paraId="3C2EEDDC"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ARCH LM</w:t>
            </w:r>
          </w:p>
        </w:tc>
      </w:tr>
      <w:tr w:rsidR="00047399" w:rsidRPr="00AE4EA1" w14:paraId="275ABF0D" w14:textId="77777777" w:rsidTr="00961467">
        <w:trPr>
          <w:trHeight w:val="328"/>
        </w:trPr>
        <w:tc>
          <w:tcPr>
            <w:tcW w:w="4792" w:type="dxa"/>
          </w:tcPr>
          <w:p w14:paraId="7E502768"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Oil Price </w:t>
            </w:r>
          </w:p>
        </w:tc>
        <w:tc>
          <w:tcPr>
            <w:tcW w:w="4602" w:type="dxa"/>
          </w:tcPr>
          <w:p w14:paraId="6404CDDF"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6.7606</w:t>
            </w:r>
          </w:p>
        </w:tc>
      </w:tr>
      <w:tr w:rsidR="00047399" w:rsidRPr="00AE4EA1" w14:paraId="66B8441A" w14:textId="77777777" w:rsidTr="00961467">
        <w:trPr>
          <w:trHeight w:val="328"/>
        </w:trPr>
        <w:tc>
          <w:tcPr>
            <w:tcW w:w="4792" w:type="dxa"/>
          </w:tcPr>
          <w:p w14:paraId="5F6023CC"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Agriculture </w:t>
            </w:r>
          </w:p>
        </w:tc>
        <w:tc>
          <w:tcPr>
            <w:tcW w:w="4602" w:type="dxa"/>
          </w:tcPr>
          <w:p w14:paraId="064A2D4B"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3.646</w:t>
            </w:r>
          </w:p>
        </w:tc>
      </w:tr>
      <w:tr w:rsidR="00047399" w:rsidRPr="00AE4EA1" w14:paraId="497EB501" w14:textId="77777777" w:rsidTr="00961467">
        <w:trPr>
          <w:trHeight w:val="328"/>
        </w:trPr>
        <w:tc>
          <w:tcPr>
            <w:tcW w:w="4792" w:type="dxa"/>
          </w:tcPr>
          <w:p w14:paraId="4619799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Conglomerates</w:t>
            </w:r>
          </w:p>
        </w:tc>
        <w:tc>
          <w:tcPr>
            <w:tcW w:w="4602" w:type="dxa"/>
          </w:tcPr>
          <w:p w14:paraId="5A59FE54"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4.3863</w:t>
            </w:r>
          </w:p>
        </w:tc>
      </w:tr>
      <w:tr w:rsidR="00047399" w:rsidRPr="00AE4EA1" w14:paraId="19C13FBB" w14:textId="77777777" w:rsidTr="00961467">
        <w:trPr>
          <w:trHeight w:val="328"/>
        </w:trPr>
        <w:tc>
          <w:tcPr>
            <w:tcW w:w="4792" w:type="dxa"/>
          </w:tcPr>
          <w:p w14:paraId="1CF2D510"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Consumer goods </w:t>
            </w:r>
          </w:p>
        </w:tc>
        <w:tc>
          <w:tcPr>
            <w:tcW w:w="4602" w:type="dxa"/>
          </w:tcPr>
          <w:p w14:paraId="2AE4774B"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2.8613</w:t>
            </w:r>
          </w:p>
        </w:tc>
      </w:tr>
      <w:tr w:rsidR="00047399" w:rsidRPr="00AE4EA1" w14:paraId="672E445A" w14:textId="77777777" w:rsidTr="00961467">
        <w:trPr>
          <w:trHeight w:val="328"/>
        </w:trPr>
        <w:tc>
          <w:tcPr>
            <w:tcW w:w="4792" w:type="dxa"/>
          </w:tcPr>
          <w:p w14:paraId="25B6A75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Construction/Real Estate</w:t>
            </w:r>
          </w:p>
        </w:tc>
        <w:tc>
          <w:tcPr>
            <w:tcW w:w="4602" w:type="dxa"/>
          </w:tcPr>
          <w:p w14:paraId="6B3EE6EF"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32.5634</w:t>
            </w:r>
          </w:p>
        </w:tc>
      </w:tr>
      <w:tr w:rsidR="00047399" w:rsidRPr="00AE4EA1" w14:paraId="133E7098" w14:textId="77777777" w:rsidTr="00961467">
        <w:trPr>
          <w:trHeight w:val="328"/>
        </w:trPr>
        <w:tc>
          <w:tcPr>
            <w:tcW w:w="4792" w:type="dxa"/>
          </w:tcPr>
          <w:p w14:paraId="75010F5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ICT</w:t>
            </w:r>
          </w:p>
        </w:tc>
        <w:tc>
          <w:tcPr>
            <w:tcW w:w="4602" w:type="dxa"/>
          </w:tcPr>
          <w:p w14:paraId="44B5F32A"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590.3996</w:t>
            </w:r>
          </w:p>
        </w:tc>
      </w:tr>
      <w:tr w:rsidR="00047399" w:rsidRPr="00AE4EA1" w14:paraId="0556AC42" w14:textId="77777777" w:rsidTr="00961467">
        <w:trPr>
          <w:trHeight w:val="347"/>
        </w:trPr>
        <w:tc>
          <w:tcPr>
            <w:tcW w:w="4792" w:type="dxa"/>
          </w:tcPr>
          <w:p w14:paraId="5D7244F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Industrial Goods</w:t>
            </w:r>
          </w:p>
        </w:tc>
        <w:tc>
          <w:tcPr>
            <w:tcW w:w="4602" w:type="dxa"/>
          </w:tcPr>
          <w:p w14:paraId="03CDB2F2"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19.6183</w:t>
            </w:r>
          </w:p>
        </w:tc>
      </w:tr>
      <w:tr w:rsidR="00047399" w:rsidRPr="00AE4EA1" w14:paraId="3299EFF5" w14:textId="77777777" w:rsidTr="00961467">
        <w:trPr>
          <w:trHeight w:val="328"/>
        </w:trPr>
        <w:tc>
          <w:tcPr>
            <w:tcW w:w="4792" w:type="dxa"/>
          </w:tcPr>
          <w:p w14:paraId="691B183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Health care </w:t>
            </w:r>
          </w:p>
        </w:tc>
        <w:tc>
          <w:tcPr>
            <w:tcW w:w="4602" w:type="dxa"/>
          </w:tcPr>
          <w:p w14:paraId="4F7E1289"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2.7309</w:t>
            </w:r>
          </w:p>
        </w:tc>
      </w:tr>
      <w:tr w:rsidR="00047399" w:rsidRPr="00AE4EA1" w14:paraId="541EE168" w14:textId="77777777" w:rsidTr="00961467">
        <w:trPr>
          <w:trHeight w:val="328"/>
        </w:trPr>
        <w:tc>
          <w:tcPr>
            <w:tcW w:w="4792" w:type="dxa"/>
          </w:tcPr>
          <w:p w14:paraId="569749D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Natural Resources </w:t>
            </w:r>
          </w:p>
        </w:tc>
        <w:tc>
          <w:tcPr>
            <w:tcW w:w="4602" w:type="dxa"/>
          </w:tcPr>
          <w:p w14:paraId="04F8B405"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28.559</w:t>
            </w:r>
          </w:p>
        </w:tc>
      </w:tr>
      <w:tr w:rsidR="00047399" w:rsidRPr="00AE4EA1" w14:paraId="47095370" w14:textId="77777777" w:rsidTr="00961467">
        <w:trPr>
          <w:trHeight w:val="328"/>
        </w:trPr>
        <w:tc>
          <w:tcPr>
            <w:tcW w:w="4792" w:type="dxa"/>
          </w:tcPr>
          <w:p w14:paraId="3FBA387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Oil and Gas </w:t>
            </w:r>
          </w:p>
        </w:tc>
        <w:tc>
          <w:tcPr>
            <w:tcW w:w="4602" w:type="dxa"/>
          </w:tcPr>
          <w:p w14:paraId="6614CD00"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3.9690</w:t>
            </w:r>
          </w:p>
        </w:tc>
      </w:tr>
      <w:tr w:rsidR="00047399" w:rsidRPr="00AE4EA1" w14:paraId="77AB536B" w14:textId="77777777" w:rsidTr="00961467">
        <w:trPr>
          <w:trHeight w:val="328"/>
        </w:trPr>
        <w:tc>
          <w:tcPr>
            <w:tcW w:w="4792" w:type="dxa"/>
          </w:tcPr>
          <w:p w14:paraId="4BD2D2B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Financial Services </w:t>
            </w:r>
          </w:p>
        </w:tc>
        <w:tc>
          <w:tcPr>
            <w:tcW w:w="4602" w:type="dxa"/>
          </w:tcPr>
          <w:p w14:paraId="71EBA1CE"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6.0223</w:t>
            </w:r>
          </w:p>
        </w:tc>
      </w:tr>
      <w:tr w:rsidR="00047399" w:rsidRPr="00AE4EA1" w14:paraId="6566B059" w14:textId="77777777" w:rsidTr="00961467">
        <w:trPr>
          <w:trHeight w:val="328"/>
        </w:trPr>
        <w:tc>
          <w:tcPr>
            <w:tcW w:w="4792" w:type="dxa"/>
          </w:tcPr>
          <w:p w14:paraId="02AC2C2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Services </w:t>
            </w:r>
          </w:p>
        </w:tc>
        <w:tc>
          <w:tcPr>
            <w:tcW w:w="4602" w:type="dxa"/>
          </w:tcPr>
          <w:p w14:paraId="2227A160"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2.4601</w:t>
            </w:r>
          </w:p>
        </w:tc>
      </w:tr>
    </w:tbl>
    <w:p w14:paraId="2F883A53" w14:textId="77777777" w:rsidR="00047399" w:rsidRPr="00AE4EA1" w:rsidRDefault="00047399" w:rsidP="00DB5ABE">
      <w:pPr>
        <w:spacing w:after="0" w:line="240" w:lineRule="auto"/>
        <w:jc w:val="both"/>
        <w:rPr>
          <w:rFonts w:ascii="Times New Roman" w:hAnsi="Times New Roman"/>
          <w:b/>
          <w:color w:val="000000"/>
          <w:sz w:val="24"/>
          <w:szCs w:val="24"/>
        </w:rPr>
      </w:pPr>
      <w:r w:rsidRPr="00AE4EA1">
        <w:rPr>
          <w:rFonts w:ascii="Times New Roman" w:hAnsi="Times New Roman"/>
          <w:b/>
          <w:color w:val="000000"/>
          <w:sz w:val="24"/>
          <w:szCs w:val="24"/>
        </w:rPr>
        <w:t>Significant figures in bold.</w:t>
      </w:r>
    </w:p>
    <w:p w14:paraId="62B9B5EF" w14:textId="77777777" w:rsidR="009C28B8" w:rsidRDefault="009C28B8" w:rsidP="00DB5ABE">
      <w:pPr>
        <w:spacing w:after="0" w:line="240" w:lineRule="auto"/>
        <w:jc w:val="both"/>
        <w:rPr>
          <w:rFonts w:ascii="Times New Roman" w:eastAsia="Times New Roman" w:hAnsi="Times New Roman"/>
          <w:b/>
          <w:color w:val="000000"/>
          <w:sz w:val="24"/>
          <w:szCs w:val="24"/>
        </w:rPr>
      </w:pPr>
    </w:p>
    <w:p w14:paraId="763309DB" w14:textId="77777777" w:rsidR="00961467" w:rsidRDefault="00961467" w:rsidP="00DB5ABE">
      <w:pPr>
        <w:spacing w:after="0" w:line="240" w:lineRule="auto"/>
        <w:jc w:val="both"/>
        <w:rPr>
          <w:rFonts w:ascii="Times New Roman" w:eastAsia="Times New Roman" w:hAnsi="Times New Roman"/>
          <w:b/>
          <w:bCs/>
          <w:color w:val="000000"/>
          <w:sz w:val="24"/>
          <w:szCs w:val="24"/>
        </w:rPr>
      </w:pPr>
    </w:p>
    <w:p w14:paraId="7BB41B56" w14:textId="77777777" w:rsidR="00961467" w:rsidRDefault="00961467" w:rsidP="00DB5ABE">
      <w:pPr>
        <w:spacing w:after="0" w:line="240" w:lineRule="auto"/>
        <w:jc w:val="both"/>
        <w:rPr>
          <w:rFonts w:ascii="Times New Roman" w:eastAsia="Times New Roman" w:hAnsi="Times New Roman"/>
          <w:b/>
          <w:bCs/>
          <w:color w:val="000000"/>
          <w:sz w:val="24"/>
          <w:szCs w:val="24"/>
        </w:rPr>
      </w:pPr>
    </w:p>
    <w:p w14:paraId="59AC6CE4" w14:textId="77777777" w:rsidR="00961467" w:rsidRDefault="00961467" w:rsidP="00961467">
      <w:pPr>
        <w:pStyle w:val="ListParagraph"/>
        <w:numPr>
          <w:ilvl w:val="0"/>
          <w:numId w:val="21"/>
        </w:numPr>
        <w:spacing w:after="0" w:line="240" w:lineRule="auto"/>
        <w:jc w:val="both"/>
        <w:rPr>
          <w:rFonts w:ascii="Times New Roman" w:eastAsia="Times New Roman" w:hAnsi="Times New Roman"/>
          <w:b/>
          <w:bCs/>
          <w:color w:val="000000"/>
          <w:sz w:val="24"/>
          <w:szCs w:val="24"/>
        </w:rPr>
        <w:sectPr w:rsidR="00961467" w:rsidSect="00961467">
          <w:type w:val="continuous"/>
          <w:pgSz w:w="12240" w:h="15840"/>
          <w:pgMar w:top="851" w:right="1440" w:bottom="1440" w:left="1440" w:header="720" w:footer="720" w:gutter="0"/>
          <w:cols w:space="720"/>
          <w:docGrid w:linePitch="360"/>
        </w:sectPr>
      </w:pPr>
    </w:p>
    <w:p w14:paraId="18323C86" w14:textId="1F0E1E7B" w:rsidR="00047399" w:rsidRPr="00961467" w:rsidRDefault="00047399" w:rsidP="00961467">
      <w:pPr>
        <w:pStyle w:val="ListParagraph"/>
        <w:numPr>
          <w:ilvl w:val="0"/>
          <w:numId w:val="21"/>
        </w:numPr>
        <w:spacing w:after="0" w:line="240" w:lineRule="auto"/>
        <w:jc w:val="both"/>
        <w:rPr>
          <w:rFonts w:ascii="Times New Roman" w:eastAsia="Times New Roman" w:hAnsi="Times New Roman"/>
          <w:b/>
          <w:bCs/>
          <w:color w:val="000000"/>
          <w:sz w:val="24"/>
          <w:szCs w:val="24"/>
        </w:rPr>
      </w:pPr>
      <w:r w:rsidRPr="00961467">
        <w:rPr>
          <w:rFonts w:ascii="Times New Roman" w:eastAsia="Times New Roman" w:hAnsi="Times New Roman"/>
          <w:b/>
          <w:bCs/>
          <w:color w:val="000000"/>
          <w:sz w:val="24"/>
          <w:szCs w:val="24"/>
        </w:rPr>
        <w:lastRenderedPageBreak/>
        <w:t xml:space="preserve">Asymmetry Sign and Size Biased/Engle-Sheppard CCC </w:t>
      </w:r>
      <w:r w:rsidRPr="00961467">
        <w:rPr>
          <w:rFonts w:ascii="Times New Roman" w:eastAsia="Times New Roman" w:hAnsi="Times New Roman"/>
          <w:b/>
          <w:color w:val="000000"/>
          <w:sz w:val="24"/>
          <w:szCs w:val="24"/>
        </w:rPr>
        <w:t>X</w:t>
      </w:r>
      <w:r w:rsidRPr="00961467">
        <w:rPr>
          <w:rFonts w:ascii="Times New Roman" w:eastAsia="Times New Roman" w:hAnsi="Times New Roman"/>
          <w:b/>
          <w:color w:val="000000"/>
          <w:sz w:val="24"/>
          <w:szCs w:val="24"/>
          <w:vertAlign w:val="superscript"/>
        </w:rPr>
        <w:t>2</w:t>
      </w:r>
      <w:r w:rsidRPr="00961467">
        <w:rPr>
          <w:rFonts w:ascii="Times New Roman" w:eastAsia="Times New Roman" w:hAnsi="Times New Roman"/>
          <w:b/>
          <w:bCs/>
          <w:color w:val="000000"/>
          <w:sz w:val="24"/>
          <w:szCs w:val="24"/>
        </w:rPr>
        <w:t xml:space="preserve"> Tests</w:t>
      </w:r>
    </w:p>
    <w:p w14:paraId="5A48A743" w14:textId="2E0B3EA9" w:rsidR="00047399" w:rsidRPr="00AE4EA1" w:rsidRDefault="00047399" w:rsidP="00594F51">
      <w:pPr>
        <w:spacing w:line="240" w:lineRule="auto"/>
        <w:jc w:val="both"/>
        <w:rPr>
          <w:rFonts w:ascii="Times New Roman" w:eastAsia="Times New Roman" w:hAnsi="Times New Roman"/>
          <w:color w:val="000000"/>
          <w:sz w:val="24"/>
          <w:szCs w:val="24"/>
        </w:rPr>
      </w:pPr>
      <w:r w:rsidRPr="00AE4EA1">
        <w:rPr>
          <w:rFonts w:ascii="Times New Roman" w:eastAsia="Times New Roman" w:hAnsi="Times New Roman"/>
          <w:color w:val="000000"/>
          <w:sz w:val="24"/>
          <w:szCs w:val="24"/>
        </w:rPr>
        <w:t xml:space="preserve">The results of the sign </w:t>
      </w:r>
      <w:r>
        <w:rPr>
          <w:rFonts w:ascii="Times New Roman" w:eastAsia="Times New Roman" w:hAnsi="Times New Roman"/>
          <w:color w:val="000000"/>
          <w:sz w:val="24"/>
          <w:szCs w:val="24"/>
        </w:rPr>
        <w:t>biased</w:t>
      </w:r>
      <w:r w:rsidRPr="00AE4EA1">
        <w:rPr>
          <w:rFonts w:ascii="Times New Roman" w:eastAsia="Times New Roman" w:hAnsi="Times New Roman"/>
          <w:color w:val="000000"/>
          <w:sz w:val="24"/>
          <w:szCs w:val="24"/>
        </w:rPr>
        <w:t xml:space="preserve"> and the E</w:t>
      </w:r>
      <w:r>
        <w:rPr>
          <w:rFonts w:ascii="Times New Roman" w:eastAsia="Times New Roman" w:hAnsi="Times New Roman"/>
          <w:color w:val="000000"/>
          <w:sz w:val="24"/>
          <w:szCs w:val="24"/>
        </w:rPr>
        <w:t>n</w:t>
      </w:r>
      <w:r w:rsidRPr="00AE4EA1">
        <w:rPr>
          <w:rFonts w:ascii="Times New Roman" w:eastAsia="Times New Roman" w:hAnsi="Times New Roman"/>
          <w:color w:val="000000"/>
          <w:sz w:val="24"/>
          <w:szCs w:val="24"/>
        </w:rPr>
        <w:t>gle-Sheppard CCC X</w:t>
      </w:r>
      <w:r w:rsidRPr="00AE4EA1">
        <w:rPr>
          <w:rFonts w:ascii="Times New Roman" w:eastAsia="Times New Roman" w:hAnsi="Times New Roman"/>
          <w:color w:val="000000"/>
          <w:sz w:val="24"/>
          <w:szCs w:val="24"/>
          <w:vertAlign w:val="superscript"/>
        </w:rPr>
        <w:t>2</w:t>
      </w:r>
      <w:r w:rsidRPr="00AE4EA1">
        <w:rPr>
          <w:rFonts w:ascii="Times New Roman" w:eastAsia="Times New Roman" w:hAnsi="Times New Roman"/>
          <w:color w:val="000000"/>
          <w:sz w:val="24"/>
          <w:szCs w:val="24"/>
        </w:rPr>
        <w:t xml:space="preserve"> test</w:t>
      </w:r>
      <w:r>
        <w:rPr>
          <w:rFonts w:ascii="Times New Roman" w:eastAsia="Times New Roman" w:hAnsi="Times New Roman"/>
          <w:color w:val="000000"/>
          <w:sz w:val="24"/>
          <w:szCs w:val="24"/>
        </w:rPr>
        <w:t>s</w:t>
      </w:r>
      <w:r w:rsidRPr="00AE4EA1">
        <w:rPr>
          <w:rFonts w:ascii="Times New Roman" w:eastAsia="Times New Roman" w:hAnsi="Times New Roman"/>
          <w:color w:val="000000"/>
          <w:sz w:val="24"/>
          <w:szCs w:val="24"/>
        </w:rPr>
        <w:t xml:space="preserve"> are presented </w:t>
      </w:r>
      <w:r>
        <w:rPr>
          <w:rFonts w:ascii="Times New Roman" w:eastAsia="Times New Roman" w:hAnsi="Times New Roman"/>
          <w:color w:val="000000"/>
          <w:sz w:val="24"/>
          <w:szCs w:val="24"/>
        </w:rPr>
        <w:t xml:space="preserve">on table </w:t>
      </w:r>
      <w:r w:rsidR="005464FC">
        <w:rPr>
          <w:rFonts w:ascii="Times New Roman" w:eastAsia="Times New Roman" w:hAnsi="Times New Roman"/>
          <w:color w:val="000000"/>
          <w:sz w:val="24"/>
          <w:szCs w:val="24"/>
        </w:rPr>
        <w:t>3</w:t>
      </w:r>
      <w:r>
        <w:rPr>
          <w:rFonts w:ascii="Times New Roman" w:eastAsia="Times New Roman" w:hAnsi="Times New Roman"/>
          <w:color w:val="000000"/>
          <w:sz w:val="24"/>
          <w:szCs w:val="24"/>
        </w:rPr>
        <w:t>.</w:t>
      </w:r>
    </w:p>
    <w:p w14:paraId="46DA4AB5" w14:textId="77777777" w:rsidR="00961467" w:rsidRDefault="00961467" w:rsidP="00DB5ABE">
      <w:pPr>
        <w:spacing w:after="0" w:line="240" w:lineRule="auto"/>
        <w:jc w:val="both"/>
        <w:rPr>
          <w:rFonts w:ascii="Times New Roman" w:eastAsia="Times New Roman" w:hAnsi="Times New Roman"/>
          <w:b/>
          <w:color w:val="000000"/>
          <w:sz w:val="24"/>
          <w:szCs w:val="24"/>
        </w:rPr>
        <w:sectPr w:rsidR="00961467" w:rsidSect="00961467">
          <w:type w:val="continuous"/>
          <w:pgSz w:w="12240" w:h="15840"/>
          <w:pgMar w:top="851" w:right="1440" w:bottom="1440" w:left="1440" w:header="720" w:footer="720" w:gutter="0"/>
          <w:cols w:num="2" w:space="720"/>
          <w:docGrid w:linePitch="360"/>
        </w:sectPr>
      </w:pPr>
    </w:p>
    <w:p w14:paraId="3045933A" w14:textId="406BCF34" w:rsidR="00047399" w:rsidRPr="00406ECD" w:rsidRDefault="00047399" w:rsidP="00DB5ABE">
      <w:pPr>
        <w:spacing w:after="0" w:line="240" w:lineRule="auto"/>
        <w:jc w:val="both"/>
        <w:rPr>
          <w:rFonts w:ascii="Times New Roman" w:eastAsia="Times New Roman" w:hAnsi="Times New Roman"/>
          <w:b/>
          <w:color w:val="000000"/>
          <w:sz w:val="24"/>
          <w:szCs w:val="24"/>
        </w:rPr>
      </w:pPr>
      <w:r w:rsidRPr="00406ECD">
        <w:rPr>
          <w:rFonts w:ascii="Times New Roman" w:eastAsia="Times New Roman" w:hAnsi="Times New Roman"/>
          <w:b/>
          <w:color w:val="000000"/>
          <w:sz w:val="24"/>
          <w:szCs w:val="24"/>
        </w:rPr>
        <w:t xml:space="preserve">Table </w:t>
      </w:r>
      <w:r w:rsidR="005464FC">
        <w:rPr>
          <w:rFonts w:ascii="Times New Roman" w:eastAsia="Times New Roman" w:hAnsi="Times New Roman"/>
          <w:b/>
          <w:color w:val="000000"/>
          <w:sz w:val="24"/>
          <w:szCs w:val="24"/>
        </w:rPr>
        <w:t>3</w:t>
      </w:r>
      <w:r w:rsidRPr="00406ECD">
        <w:rPr>
          <w:rFonts w:ascii="Times New Roman" w:eastAsia="Times New Roman" w:hAnsi="Times New Roman"/>
          <w:b/>
          <w:color w:val="000000"/>
          <w:sz w:val="24"/>
          <w:szCs w:val="24"/>
        </w:rPr>
        <w:t xml:space="preserve">: </w:t>
      </w:r>
      <w:r w:rsidRPr="00406ECD">
        <w:rPr>
          <w:rFonts w:ascii="Times New Roman" w:eastAsia="Times New Roman" w:hAnsi="Times New Roman"/>
          <w:b/>
          <w:bCs/>
          <w:color w:val="000000"/>
          <w:sz w:val="24"/>
          <w:szCs w:val="24"/>
        </w:rPr>
        <w:t xml:space="preserve">Asymmetry Sign and Size Biased/Engle-Sheppard CCC </w:t>
      </w:r>
      <w:r w:rsidRPr="00406ECD">
        <w:rPr>
          <w:rFonts w:ascii="Times New Roman" w:eastAsia="Times New Roman" w:hAnsi="Times New Roman"/>
          <w:b/>
          <w:color w:val="000000"/>
          <w:sz w:val="24"/>
          <w:szCs w:val="24"/>
        </w:rPr>
        <w:t>X</w:t>
      </w:r>
      <w:r w:rsidRPr="00406ECD">
        <w:rPr>
          <w:rFonts w:ascii="Times New Roman" w:eastAsia="Times New Roman" w:hAnsi="Times New Roman"/>
          <w:b/>
          <w:color w:val="000000"/>
          <w:sz w:val="24"/>
          <w:szCs w:val="24"/>
          <w:vertAlign w:val="superscript"/>
        </w:rPr>
        <w:t>2</w:t>
      </w:r>
      <w:r w:rsidRPr="00406ECD">
        <w:rPr>
          <w:rFonts w:ascii="Times New Roman" w:eastAsia="Times New Roman" w:hAnsi="Times New Roman"/>
          <w:b/>
          <w:bCs/>
          <w:color w:val="000000"/>
          <w:sz w:val="24"/>
          <w:szCs w:val="24"/>
        </w:rPr>
        <w:t xml:space="preserve"> Tests</w:t>
      </w:r>
    </w:p>
    <w:tbl>
      <w:tblPr>
        <w:tblW w:w="9472" w:type="dxa"/>
        <w:tblInd w:w="198" w:type="dxa"/>
        <w:tblLook w:val="04A0" w:firstRow="1" w:lastRow="0" w:firstColumn="1" w:lastColumn="0" w:noHBand="0" w:noVBand="1"/>
      </w:tblPr>
      <w:tblGrid>
        <w:gridCol w:w="1670"/>
        <w:gridCol w:w="1657"/>
        <w:gridCol w:w="1528"/>
        <w:gridCol w:w="1693"/>
        <w:gridCol w:w="1528"/>
        <w:gridCol w:w="1396"/>
      </w:tblGrid>
      <w:tr w:rsidR="00047399" w:rsidRPr="00AE4EA1" w14:paraId="7450432D" w14:textId="77777777" w:rsidTr="003D640C">
        <w:tc>
          <w:tcPr>
            <w:tcW w:w="1670" w:type="dxa"/>
            <w:tcBorders>
              <w:top w:val="single" w:sz="4" w:space="0" w:color="auto"/>
              <w:bottom w:val="single" w:sz="4" w:space="0" w:color="auto"/>
            </w:tcBorders>
          </w:tcPr>
          <w:p w14:paraId="782DE265"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 xml:space="preserve">Variable </w:t>
            </w:r>
          </w:p>
        </w:tc>
        <w:tc>
          <w:tcPr>
            <w:tcW w:w="1701" w:type="dxa"/>
            <w:tcBorders>
              <w:top w:val="single" w:sz="4" w:space="0" w:color="auto"/>
              <w:bottom w:val="single" w:sz="4" w:space="0" w:color="auto"/>
            </w:tcBorders>
          </w:tcPr>
          <w:p w14:paraId="13534417"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 xml:space="preserve">Sign Bias Test </w:t>
            </w:r>
          </w:p>
        </w:tc>
        <w:tc>
          <w:tcPr>
            <w:tcW w:w="1556" w:type="dxa"/>
            <w:tcBorders>
              <w:top w:val="single" w:sz="4" w:space="0" w:color="auto"/>
              <w:bottom w:val="single" w:sz="4" w:space="0" w:color="auto"/>
            </w:tcBorders>
          </w:tcPr>
          <w:p w14:paraId="7C67E285"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w:t>
            </w:r>
            <w:proofErr w:type="spellStart"/>
            <w:r w:rsidRPr="007D76D2">
              <w:rPr>
                <w:rFonts w:ascii="Times New Roman" w:hAnsi="Times New Roman"/>
                <w:b/>
                <w:color w:val="000000"/>
                <w:sz w:val="24"/>
                <w:szCs w:val="24"/>
              </w:rPr>
              <w:t>ve</w:t>
            </w:r>
            <w:proofErr w:type="spellEnd"/>
            <w:r w:rsidRPr="007D76D2">
              <w:rPr>
                <w:rFonts w:ascii="Times New Roman" w:hAnsi="Times New Roman"/>
                <w:b/>
                <w:color w:val="000000"/>
                <w:sz w:val="24"/>
                <w:szCs w:val="24"/>
              </w:rPr>
              <w:t xml:space="preserve"> size bias test </w:t>
            </w:r>
          </w:p>
        </w:tc>
        <w:tc>
          <w:tcPr>
            <w:tcW w:w="1753" w:type="dxa"/>
            <w:tcBorders>
              <w:top w:val="single" w:sz="4" w:space="0" w:color="auto"/>
              <w:bottom w:val="single" w:sz="4" w:space="0" w:color="auto"/>
            </w:tcBorders>
          </w:tcPr>
          <w:p w14:paraId="386A030D"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w:t>
            </w:r>
            <w:proofErr w:type="spellStart"/>
            <w:r w:rsidRPr="007D76D2">
              <w:rPr>
                <w:rFonts w:ascii="Times New Roman" w:hAnsi="Times New Roman"/>
                <w:b/>
                <w:color w:val="000000"/>
                <w:sz w:val="24"/>
                <w:szCs w:val="24"/>
              </w:rPr>
              <w:t>ve</w:t>
            </w:r>
            <w:proofErr w:type="spellEnd"/>
            <w:r w:rsidRPr="007D76D2">
              <w:rPr>
                <w:rFonts w:ascii="Times New Roman" w:hAnsi="Times New Roman"/>
                <w:b/>
                <w:color w:val="000000"/>
                <w:sz w:val="24"/>
                <w:szCs w:val="24"/>
              </w:rPr>
              <w:t xml:space="preserve"> size bias test </w:t>
            </w:r>
          </w:p>
        </w:tc>
        <w:tc>
          <w:tcPr>
            <w:tcW w:w="1556" w:type="dxa"/>
            <w:tcBorders>
              <w:top w:val="single" w:sz="4" w:space="0" w:color="auto"/>
              <w:bottom w:val="single" w:sz="4" w:space="0" w:color="auto"/>
            </w:tcBorders>
          </w:tcPr>
          <w:p w14:paraId="5603D194"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 xml:space="preserve">Joint bias test </w:t>
            </w:r>
          </w:p>
        </w:tc>
        <w:tc>
          <w:tcPr>
            <w:tcW w:w="1236" w:type="dxa"/>
            <w:tcBorders>
              <w:top w:val="single" w:sz="4" w:space="0" w:color="auto"/>
              <w:bottom w:val="single" w:sz="4" w:space="0" w:color="auto"/>
            </w:tcBorders>
          </w:tcPr>
          <w:p w14:paraId="6B8BFC05" w14:textId="77777777" w:rsidR="00047399" w:rsidRPr="007D76D2" w:rsidRDefault="00047399" w:rsidP="00DB5ABE">
            <w:pPr>
              <w:spacing w:after="0" w:line="240" w:lineRule="auto"/>
              <w:rPr>
                <w:rFonts w:ascii="Times New Roman" w:hAnsi="Times New Roman"/>
                <w:b/>
                <w:color w:val="000000"/>
                <w:sz w:val="24"/>
                <w:szCs w:val="24"/>
              </w:rPr>
            </w:pPr>
            <w:r w:rsidRPr="007D76D2">
              <w:rPr>
                <w:rFonts w:ascii="Times New Roman" w:hAnsi="Times New Roman"/>
                <w:b/>
                <w:color w:val="000000"/>
                <w:sz w:val="24"/>
                <w:szCs w:val="24"/>
              </w:rPr>
              <w:t>Eagle-Sheppard CCC X</w:t>
            </w:r>
            <w:r w:rsidRPr="007D76D2">
              <w:rPr>
                <w:rFonts w:ascii="Times New Roman" w:hAnsi="Times New Roman"/>
                <w:b/>
                <w:color w:val="000000"/>
                <w:sz w:val="24"/>
                <w:szCs w:val="24"/>
                <w:vertAlign w:val="superscript"/>
              </w:rPr>
              <w:t>2</w:t>
            </w:r>
            <w:r w:rsidRPr="007D76D2">
              <w:rPr>
                <w:rFonts w:ascii="Times New Roman" w:hAnsi="Times New Roman"/>
                <w:b/>
                <w:color w:val="000000"/>
                <w:sz w:val="24"/>
                <w:szCs w:val="24"/>
              </w:rPr>
              <w:t xml:space="preserve"> test </w:t>
            </w:r>
          </w:p>
        </w:tc>
      </w:tr>
      <w:tr w:rsidR="00047399" w:rsidRPr="00AE4EA1" w14:paraId="1662091F" w14:textId="77777777" w:rsidTr="003D640C">
        <w:tc>
          <w:tcPr>
            <w:tcW w:w="1670" w:type="dxa"/>
            <w:tcBorders>
              <w:top w:val="single" w:sz="4" w:space="0" w:color="auto"/>
            </w:tcBorders>
          </w:tcPr>
          <w:p w14:paraId="462DFCD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Agriculture </w:t>
            </w:r>
          </w:p>
        </w:tc>
        <w:tc>
          <w:tcPr>
            <w:tcW w:w="1701" w:type="dxa"/>
            <w:tcBorders>
              <w:top w:val="single" w:sz="4" w:space="0" w:color="auto"/>
            </w:tcBorders>
          </w:tcPr>
          <w:p w14:paraId="6D48FEA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1.1869</w:t>
            </w:r>
          </w:p>
          <w:p w14:paraId="245DF18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(0.235368)</w:t>
            </w:r>
          </w:p>
        </w:tc>
        <w:tc>
          <w:tcPr>
            <w:tcW w:w="1556" w:type="dxa"/>
            <w:tcBorders>
              <w:top w:val="single" w:sz="4" w:space="0" w:color="auto"/>
            </w:tcBorders>
          </w:tcPr>
          <w:p w14:paraId="4307D65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2.1448</w:t>
            </w:r>
          </w:p>
          <w:p w14:paraId="1EB6523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(0.032060)</w:t>
            </w:r>
          </w:p>
        </w:tc>
        <w:tc>
          <w:tcPr>
            <w:tcW w:w="1753" w:type="dxa"/>
            <w:tcBorders>
              <w:top w:val="single" w:sz="4" w:space="0" w:color="auto"/>
            </w:tcBorders>
          </w:tcPr>
          <w:p w14:paraId="537E0CC8"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0.3301</w:t>
            </w:r>
          </w:p>
          <w:p w14:paraId="25BD42F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(0.74133)</w:t>
            </w:r>
          </w:p>
        </w:tc>
        <w:tc>
          <w:tcPr>
            <w:tcW w:w="1556" w:type="dxa"/>
            <w:tcBorders>
              <w:top w:val="single" w:sz="4" w:space="0" w:color="auto"/>
            </w:tcBorders>
          </w:tcPr>
          <w:p w14:paraId="68BE4C80"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13.9861</w:t>
            </w:r>
          </w:p>
          <w:p w14:paraId="6789BDBD"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(0.002924)</w:t>
            </w:r>
          </w:p>
        </w:tc>
        <w:tc>
          <w:tcPr>
            <w:tcW w:w="1236" w:type="dxa"/>
            <w:tcBorders>
              <w:top w:val="single" w:sz="4" w:space="0" w:color="auto"/>
            </w:tcBorders>
          </w:tcPr>
          <w:p w14:paraId="2A40E370"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1.530652 (0.465182)</w:t>
            </w:r>
          </w:p>
        </w:tc>
      </w:tr>
      <w:tr w:rsidR="00047399" w:rsidRPr="00AE4EA1" w14:paraId="7A47C887" w14:textId="77777777" w:rsidTr="003D640C">
        <w:tc>
          <w:tcPr>
            <w:tcW w:w="1670" w:type="dxa"/>
          </w:tcPr>
          <w:p w14:paraId="4A049E0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Conglomerates </w:t>
            </w:r>
          </w:p>
        </w:tc>
        <w:tc>
          <w:tcPr>
            <w:tcW w:w="1701" w:type="dxa"/>
          </w:tcPr>
          <w:p w14:paraId="2E2FACD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0.08428</w:t>
            </w:r>
          </w:p>
          <w:p w14:paraId="760596D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(0.9328)</w:t>
            </w:r>
          </w:p>
        </w:tc>
        <w:tc>
          <w:tcPr>
            <w:tcW w:w="1556" w:type="dxa"/>
          </w:tcPr>
          <w:p w14:paraId="4F78391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0.58831</w:t>
            </w:r>
          </w:p>
          <w:p w14:paraId="52337E7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(0.5564)</w:t>
            </w:r>
          </w:p>
        </w:tc>
        <w:tc>
          <w:tcPr>
            <w:tcW w:w="1753" w:type="dxa"/>
          </w:tcPr>
          <w:p w14:paraId="1C87D49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1.36576</w:t>
            </w:r>
          </w:p>
          <w:p w14:paraId="21F4005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(0.1721)</w:t>
            </w:r>
          </w:p>
        </w:tc>
        <w:tc>
          <w:tcPr>
            <w:tcW w:w="1556" w:type="dxa"/>
          </w:tcPr>
          <w:p w14:paraId="28BD249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3.52104</w:t>
            </w:r>
          </w:p>
          <w:p w14:paraId="7B32077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(0.3188)</w:t>
            </w:r>
          </w:p>
        </w:tc>
        <w:tc>
          <w:tcPr>
            <w:tcW w:w="1236" w:type="dxa"/>
          </w:tcPr>
          <w:p w14:paraId="4955C3DD"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1.453491 (0.48348)</w:t>
            </w:r>
          </w:p>
        </w:tc>
      </w:tr>
      <w:tr w:rsidR="00047399" w:rsidRPr="00AE4EA1" w14:paraId="115D31E7" w14:textId="77777777" w:rsidTr="003D640C">
        <w:tc>
          <w:tcPr>
            <w:tcW w:w="1670" w:type="dxa"/>
          </w:tcPr>
          <w:p w14:paraId="2EE4DBA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Construction and Real Estate</w:t>
            </w:r>
          </w:p>
        </w:tc>
        <w:tc>
          <w:tcPr>
            <w:tcW w:w="1701" w:type="dxa"/>
          </w:tcPr>
          <w:p w14:paraId="1CCC66C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1.699</w:t>
            </w:r>
          </w:p>
          <w:p w14:paraId="688F751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(0.0596)</w:t>
            </w:r>
          </w:p>
        </w:tc>
        <w:tc>
          <w:tcPr>
            <w:tcW w:w="1556" w:type="dxa"/>
          </w:tcPr>
          <w:p w14:paraId="628D132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1.489</w:t>
            </w:r>
          </w:p>
          <w:p w14:paraId="5923D64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(0.36682)</w:t>
            </w:r>
          </w:p>
        </w:tc>
        <w:tc>
          <w:tcPr>
            <w:tcW w:w="1753" w:type="dxa"/>
          </w:tcPr>
          <w:p w14:paraId="4EDFE38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2.659</w:t>
            </w:r>
          </w:p>
          <w:p w14:paraId="7E281F9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(0.00688)</w:t>
            </w:r>
          </w:p>
        </w:tc>
        <w:tc>
          <w:tcPr>
            <w:tcW w:w="1556" w:type="dxa"/>
          </w:tcPr>
          <w:p w14:paraId="645189A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15.603</w:t>
            </w:r>
          </w:p>
          <w:p w14:paraId="271A876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(0.00136)</w:t>
            </w:r>
          </w:p>
        </w:tc>
        <w:tc>
          <w:tcPr>
            <w:tcW w:w="1236" w:type="dxa"/>
          </w:tcPr>
          <w:p w14:paraId="3FC8B1E3"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2.293520 (0.029352)</w:t>
            </w:r>
          </w:p>
        </w:tc>
      </w:tr>
      <w:tr w:rsidR="00047399" w:rsidRPr="00AE4EA1" w14:paraId="7FF5CDF8" w14:textId="77777777" w:rsidTr="003D640C">
        <w:tc>
          <w:tcPr>
            <w:tcW w:w="1670" w:type="dxa"/>
          </w:tcPr>
          <w:p w14:paraId="3F5015A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Consumer Goods </w:t>
            </w:r>
          </w:p>
        </w:tc>
        <w:tc>
          <w:tcPr>
            <w:tcW w:w="1701" w:type="dxa"/>
          </w:tcPr>
          <w:p w14:paraId="7E5A897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1.70426</w:t>
            </w:r>
          </w:p>
          <w:p w14:paraId="725995F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(0.08833)</w:t>
            </w:r>
          </w:p>
        </w:tc>
        <w:tc>
          <w:tcPr>
            <w:tcW w:w="1556" w:type="dxa"/>
          </w:tcPr>
          <w:p w14:paraId="71DB13D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0.76213</w:t>
            </w:r>
          </w:p>
          <w:p w14:paraId="7C95540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(0.44598)</w:t>
            </w:r>
          </w:p>
        </w:tc>
        <w:tc>
          <w:tcPr>
            <w:tcW w:w="1753" w:type="dxa"/>
          </w:tcPr>
          <w:p w14:paraId="07C69068"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1.25435</w:t>
            </w:r>
          </w:p>
          <w:p w14:paraId="679E87D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(0.20972)</w:t>
            </w:r>
          </w:p>
        </w:tc>
        <w:tc>
          <w:tcPr>
            <w:tcW w:w="1556" w:type="dxa"/>
          </w:tcPr>
          <w:p w14:paraId="47CF68A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7.58415</w:t>
            </w:r>
          </w:p>
          <w:p w14:paraId="7AEEA50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(0.07544)</w:t>
            </w:r>
          </w:p>
        </w:tc>
        <w:tc>
          <w:tcPr>
            <w:tcW w:w="1236" w:type="dxa"/>
          </w:tcPr>
          <w:p w14:paraId="303F1AD9"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0.87052</w:t>
            </w:r>
            <w:proofErr w:type="gramStart"/>
            <w:r w:rsidRPr="007D76D2">
              <w:rPr>
                <w:rFonts w:ascii="Times New Roman" w:hAnsi="Times New Roman"/>
                <w:color w:val="000000"/>
                <w:sz w:val="24"/>
                <w:szCs w:val="20"/>
              </w:rPr>
              <w:t xml:space="preserve">   (</w:t>
            </w:r>
            <w:proofErr w:type="gramEnd"/>
            <w:r w:rsidRPr="007D76D2">
              <w:rPr>
                <w:rFonts w:ascii="Times New Roman" w:hAnsi="Times New Roman"/>
                <w:color w:val="000000"/>
                <w:sz w:val="24"/>
                <w:szCs w:val="20"/>
              </w:rPr>
              <w:t>0.64709)</w:t>
            </w:r>
          </w:p>
        </w:tc>
      </w:tr>
      <w:tr w:rsidR="00047399" w:rsidRPr="00AE4EA1" w14:paraId="7B162CDF" w14:textId="77777777" w:rsidTr="003D640C">
        <w:tc>
          <w:tcPr>
            <w:tcW w:w="1670" w:type="dxa"/>
          </w:tcPr>
          <w:p w14:paraId="13EBACD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Fin. Services </w:t>
            </w:r>
          </w:p>
        </w:tc>
        <w:tc>
          <w:tcPr>
            <w:tcW w:w="1701" w:type="dxa"/>
          </w:tcPr>
          <w:p w14:paraId="53517C0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0.78937</w:t>
            </w:r>
          </w:p>
          <w:p w14:paraId="780F276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(0.42989)</w:t>
            </w:r>
          </w:p>
        </w:tc>
        <w:tc>
          <w:tcPr>
            <w:tcW w:w="1556" w:type="dxa"/>
          </w:tcPr>
          <w:p w14:paraId="7867699D"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0.07919</w:t>
            </w:r>
          </w:p>
          <w:p w14:paraId="324BAC1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(0.93668)</w:t>
            </w:r>
          </w:p>
        </w:tc>
        <w:tc>
          <w:tcPr>
            <w:tcW w:w="1753" w:type="dxa"/>
          </w:tcPr>
          <w:p w14:paraId="1C15B22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0.20487</w:t>
            </w:r>
          </w:p>
          <w:p w14:paraId="0760DDDD"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(0.93608)</w:t>
            </w:r>
          </w:p>
        </w:tc>
        <w:tc>
          <w:tcPr>
            <w:tcW w:w="1556" w:type="dxa"/>
          </w:tcPr>
          <w:p w14:paraId="2A2C0A4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0.77341</w:t>
            </w:r>
          </w:p>
          <w:p w14:paraId="769318F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(0.85582)</w:t>
            </w:r>
          </w:p>
        </w:tc>
        <w:tc>
          <w:tcPr>
            <w:tcW w:w="1236" w:type="dxa"/>
          </w:tcPr>
          <w:p w14:paraId="0431870A"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5.993539 (0.05990)</w:t>
            </w:r>
          </w:p>
        </w:tc>
      </w:tr>
      <w:tr w:rsidR="00047399" w:rsidRPr="00AE4EA1" w14:paraId="7B7469CB" w14:textId="77777777" w:rsidTr="003D640C">
        <w:tc>
          <w:tcPr>
            <w:tcW w:w="1670" w:type="dxa"/>
          </w:tcPr>
          <w:p w14:paraId="1CC4679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Health care </w:t>
            </w:r>
          </w:p>
        </w:tc>
        <w:tc>
          <w:tcPr>
            <w:tcW w:w="1701" w:type="dxa"/>
          </w:tcPr>
          <w:p w14:paraId="35C6DA02"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0.83198</w:t>
            </w:r>
          </w:p>
          <w:p w14:paraId="28A6438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(0.4055)</w:t>
            </w:r>
          </w:p>
        </w:tc>
        <w:tc>
          <w:tcPr>
            <w:tcW w:w="1556" w:type="dxa"/>
          </w:tcPr>
          <w:p w14:paraId="0D78C8B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0.02822</w:t>
            </w:r>
          </w:p>
          <w:p w14:paraId="6DB7E87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(0.9775)</w:t>
            </w:r>
          </w:p>
        </w:tc>
        <w:tc>
          <w:tcPr>
            <w:tcW w:w="1753" w:type="dxa"/>
          </w:tcPr>
          <w:p w14:paraId="435D357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0.08515</w:t>
            </w:r>
          </w:p>
          <w:p w14:paraId="69D88D7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(0.9321)</w:t>
            </w:r>
          </w:p>
        </w:tc>
        <w:tc>
          <w:tcPr>
            <w:tcW w:w="1556" w:type="dxa"/>
          </w:tcPr>
          <w:p w14:paraId="33B7DE68"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0.73317</w:t>
            </w:r>
          </w:p>
          <w:p w14:paraId="2FDBFCE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(0.8654)</w:t>
            </w:r>
          </w:p>
        </w:tc>
        <w:tc>
          <w:tcPr>
            <w:tcW w:w="1236" w:type="dxa"/>
          </w:tcPr>
          <w:p w14:paraId="2581B11D"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1.650715 (0.438078)</w:t>
            </w:r>
          </w:p>
        </w:tc>
      </w:tr>
      <w:tr w:rsidR="00047399" w:rsidRPr="00AE4EA1" w14:paraId="540379CD" w14:textId="77777777" w:rsidTr="003D640C">
        <w:tc>
          <w:tcPr>
            <w:tcW w:w="1670" w:type="dxa"/>
          </w:tcPr>
          <w:p w14:paraId="3C0B7CC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ICT</w:t>
            </w:r>
          </w:p>
        </w:tc>
        <w:tc>
          <w:tcPr>
            <w:tcW w:w="1701" w:type="dxa"/>
          </w:tcPr>
          <w:p w14:paraId="1FBF4EE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1.1863</w:t>
            </w:r>
          </w:p>
          <w:p w14:paraId="09423DD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(0.23568)</w:t>
            </w:r>
          </w:p>
        </w:tc>
        <w:tc>
          <w:tcPr>
            <w:tcW w:w="1556" w:type="dxa"/>
          </w:tcPr>
          <w:p w14:paraId="4D4A759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0.3833</w:t>
            </w:r>
          </w:p>
          <w:p w14:paraId="3C8DBC3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(0.70152)</w:t>
            </w:r>
          </w:p>
        </w:tc>
        <w:tc>
          <w:tcPr>
            <w:tcW w:w="1753" w:type="dxa"/>
          </w:tcPr>
          <w:p w14:paraId="247AFAE0"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2.0564</w:t>
            </w:r>
          </w:p>
          <w:p w14:paraId="1CF73C3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(0.03984)</w:t>
            </w:r>
          </w:p>
        </w:tc>
        <w:tc>
          <w:tcPr>
            <w:tcW w:w="1556" w:type="dxa"/>
          </w:tcPr>
          <w:p w14:paraId="53CEDA5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8.4404</w:t>
            </w:r>
          </w:p>
          <w:p w14:paraId="419AD77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(0.03773)</w:t>
            </w:r>
          </w:p>
        </w:tc>
        <w:tc>
          <w:tcPr>
            <w:tcW w:w="1236" w:type="dxa"/>
          </w:tcPr>
          <w:p w14:paraId="6C495309"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0.029403 (0.998648)</w:t>
            </w:r>
          </w:p>
        </w:tc>
      </w:tr>
      <w:tr w:rsidR="00047399" w:rsidRPr="00AE4EA1" w14:paraId="06653F86" w14:textId="77777777" w:rsidTr="003D640C">
        <w:tc>
          <w:tcPr>
            <w:tcW w:w="1670" w:type="dxa"/>
          </w:tcPr>
          <w:p w14:paraId="24649F4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Industrial goods </w:t>
            </w:r>
          </w:p>
        </w:tc>
        <w:tc>
          <w:tcPr>
            <w:tcW w:w="1701" w:type="dxa"/>
          </w:tcPr>
          <w:p w14:paraId="433FB05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0.835213</w:t>
            </w:r>
          </w:p>
          <w:p w14:paraId="7D5D37B2"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(0.4037)</w:t>
            </w:r>
          </w:p>
        </w:tc>
        <w:tc>
          <w:tcPr>
            <w:tcW w:w="1556" w:type="dxa"/>
          </w:tcPr>
          <w:p w14:paraId="7C2EA10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0.003808</w:t>
            </w:r>
          </w:p>
          <w:p w14:paraId="23E52D1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(0.9976)</w:t>
            </w:r>
          </w:p>
        </w:tc>
        <w:tc>
          <w:tcPr>
            <w:tcW w:w="1753" w:type="dxa"/>
          </w:tcPr>
          <w:p w14:paraId="29FF9C3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0.087349</w:t>
            </w:r>
          </w:p>
          <w:p w14:paraId="4E18505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(0.9304)</w:t>
            </w:r>
          </w:p>
        </w:tc>
        <w:tc>
          <w:tcPr>
            <w:tcW w:w="1556" w:type="dxa"/>
          </w:tcPr>
          <w:p w14:paraId="15CF884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0.758233</w:t>
            </w:r>
          </w:p>
          <w:p w14:paraId="55AAED3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(0.8594)</w:t>
            </w:r>
          </w:p>
        </w:tc>
        <w:tc>
          <w:tcPr>
            <w:tcW w:w="1236" w:type="dxa"/>
          </w:tcPr>
          <w:p w14:paraId="195C563E"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0.037844 (0.981255)</w:t>
            </w:r>
          </w:p>
        </w:tc>
      </w:tr>
      <w:tr w:rsidR="00047399" w:rsidRPr="00AE4EA1" w14:paraId="607E2D43" w14:textId="77777777" w:rsidTr="003D640C">
        <w:tc>
          <w:tcPr>
            <w:tcW w:w="1670" w:type="dxa"/>
          </w:tcPr>
          <w:p w14:paraId="7542B79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Natural resources </w:t>
            </w:r>
          </w:p>
        </w:tc>
        <w:tc>
          <w:tcPr>
            <w:tcW w:w="1701" w:type="dxa"/>
          </w:tcPr>
          <w:p w14:paraId="1B8A19BD"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0.4332</w:t>
            </w:r>
          </w:p>
          <w:p w14:paraId="1C0A2122"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(6.649e-1)</w:t>
            </w:r>
          </w:p>
        </w:tc>
        <w:tc>
          <w:tcPr>
            <w:tcW w:w="1556" w:type="dxa"/>
          </w:tcPr>
          <w:p w14:paraId="4BA5D50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2.3155</w:t>
            </w:r>
          </w:p>
          <w:p w14:paraId="33EAC99C"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(2.066e-02)</w:t>
            </w:r>
          </w:p>
        </w:tc>
        <w:tc>
          <w:tcPr>
            <w:tcW w:w="1753" w:type="dxa"/>
          </w:tcPr>
          <w:p w14:paraId="51452B8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4.5577</w:t>
            </w:r>
          </w:p>
          <w:p w14:paraId="65A2D8CA"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(5.405e-06)</w:t>
            </w:r>
          </w:p>
        </w:tc>
        <w:tc>
          <w:tcPr>
            <w:tcW w:w="1556" w:type="dxa"/>
          </w:tcPr>
          <w:p w14:paraId="3363B0EC"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26.4730</w:t>
            </w:r>
          </w:p>
          <w:p w14:paraId="12872B0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(7.592e-06)</w:t>
            </w:r>
          </w:p>
        </w:tc>
        <w:tc>
          <w:tcPr>
            <w:tcW w:w="1236" w:type="dxa"/>
          </w:tcPr>
          <w:p w14:paraId="668A3E20" w14:textId="4463DA92"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0.</w:t>
            </w:r>
            <w:r w:rsidR="00961467">
              <w:rPr>
                <w:rFonts w:ascii="Times New Roman" w:hAnsi="Times New Roman"/>
                <w:color w:val="000000"/>
                <w:sz w:val="24"/>
                <w:szCs w:val="20"/>
              </w:rPr>
              <w:t xml:space="preserve"> </w:t>
            </w:r>
            <w:r w:rsidRPr="007D76D2">
              <w:rPr>
                <w:rFonts w:ascii="Times New Roman" w:hAnsi="Times New Roman"/>
                <w:color w:val="000000"/>
                <w:sz w:val="24"/>
                <w:szCs w:val="20"/>
              </w:rPr>
              <w:t>22862 (0.891979)</w:t>
            </w:r>
          </w:p>
        </w:tc>
      </w:tr>
      <w:tr w:rsidR="00047399" w:rsidRPr="00AE4EA1" w14:paraId="306469CE" w14:textId="77777777" w:rsidTr="003D640C">
        <w:tc>
          <w:tcPr>
            <w:tcW w:w="1670" w:type="dxa"/>
          </w:tcPr>
          <w:p w14:paraId="639B42CC"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Oil and Gas</w:t>
            </w:r>
          </w:p>
        </w:tc>
        <w:tc>
          <w:tcPr>
            <w:tcW w:w="1701" w:type="dxa"/>
          </w:tcPr>
          <w:p w14:paraId="565E75A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0.69921</w:t>
            </w:r>
          </w:p>
          <w:p w14:paraId="00D591CC"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(0.4845)</w:t>
            </w:r>
          </w:p>
        </w:tc>
        <w:tc>
          <w:tcPr>
            <w:tcW w:w="1556" w:type="dxa"/>
          </w:tcPr>
          <w:p w14:paraId="1C46DCB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0.07271</w:t>
            </w:r>
          </w:p>
          <w:p w14:paraId="658DDBED"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(0.9420)</w:t>
            </w:r>
          </w:p>
        </w:tc>
        <w:tc>
          <w:tcPr>
            <w:tcW w:w="1753" w:type="dxa"/>
          </w:tcPr>
          <w:p w14:paraId="0E3B0614"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0.19427</w:t>
            </w:r>
          </w:p>
          <w:p w14:paraId="0964E98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(0.8460)</w:t>
            </w:r>
          </w:p>
        </w:tc>
        <w:tc>
          <w:tcPr>
            <w:tcW w:w="1556" w:type="dxa"/>
          </w:tcPr>
          <w:p w14:paraId="7F5EFB90"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0.57841</w:t>
            </w:r>
          </w:p>
          <w:p w14:paraId="79E5AD42"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(0.9014)</w:t>
            </w:r>
          </w:p>
        </w:tc>
        <w:tc>
          <w:tcPr>
            <w:tcW w:w="1236" w:type="dxa"/>
          </w:tcPr>
          <w:p w14:paraId="7B34B72E"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0.088905 (0.956520)</w:t>
            </w:r>
          </w:p>
        </w:tc>
      </w:tr>
      <w:tr w:rsidR="00047399" w:rsidRPr="00AE4EA1" w14:paraId="61316C6D" w14:textId="77777777" w:rsidTr="003D640C">
        <w:tc>
          <w:tcPr>
            <w:tcW w:w="1670" w:type="dxa"/>
          </w:tcPr>
          <w:p w14:paraId="173BD4B0"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Services </w:t>
            </w:r>
          </w:p>
        </w:tc>
        <w:tc>
          <w:tcPr>
            <w:tcW w:w="1701" w:type="dxa"/>
          </w:tcPr>
          <w:p w14:paraId="6D5B170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0.66369</w:t>
            </w:r>
          </w:p>
          <w:p w14:paraId="5A8FAFD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(0.5069)</w:t>
            </w:r>
          </w:p>
        </w:tc>
        <w:tc>
          <w:tcPr>
            <w:tcW w:w="1556" w:type="dxa"/>
          </w:tcPr>
          <w:p w14:paraId="55591FB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0.06218</w:t>
            </w:r>
          </w:p>
          <w:p w14:paraId="5722CF8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(0.9504)</w:t>
            </w:r>
          </w:p>
        </w:tc>
        <w:tc>
          <w:tcPr>
            <w:tcW w:w="1753" w:type="dxa"/>
          </w:tcPr>
          <w:p w14:paraId="6D804748"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1.12457</w:t>
            </w:r>
          </w:p>
          <w:p w14:paraId="6D3B7BCE"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(0.2609)</w:t>
            </w:r>
          </w:p>
        </w:tc>
        <w:tc>
          <w:tcPr>
            <w:tcW w:w="1556" w:type="dxa"/>
          </w:tcPr>
          <w:p w14:paraId="1E09885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2.30726</w:t>
            </w:r>
          </w:p>
          <w:p w14:paraId="6EC07135"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(0.5111)</w:t>
            </w:r>
          </w:p>
        </w:tc>
        <w:tc>
          <w:tcPr>
            <w:tcW w:w="1236" w:type="dxa"/>
          </w:tcPr>
          <w:p w14:paraId="67C3E4E7" w14:textId="77777777" w:rsidR="00047399" w:rsidRPr="007D76D2" w:rsidRDefault="00047399" w:rsidP="00DB5ABE">
            <w:pPr>
              <w:spacing w:after="0" w:line="240" w:lineRule="auto"/>
              <w:rPr>
                <w:rFonts w:ascii="Times New Roman" w:hAnsi="Times New Roman"/>
                <w:color w:val="000000"/>
                <w:sz w:val="24"/>
                <w:szCs w:val="20"/>
              </w:rPr>
            </w:pPr>
            <w:r w:rsidRPr="007D76D2">
              <w:rPr>
                <w:rFonts w:ascii="Times New Roman" w:hAnsi="Times New Roman"/>
                <w:color w:val="000000"/>
                <w:sz w:val="24"/>
                <w:szCs w:val="20"/>
              </w:rPr>
              <w:t>8.369742 (0.0582417)</w:t>
            </w:r>
          </w:p>
        </w:tc>
      </w:tr>
      <w:tr w:rsidR="00047399" w:rsidRPr="00AE4EA1" w14:paraId="41C34A76" w14:textId="77777777" w:rsidTr="003D640C">
        <w:tc>
          <w:tcPr>
            <w:tcW w:w="1670" w:type="dxa"/>
            <w:tcBorders>
              <w:bottom w:val="single" w:sz="4" w:space="0" w:color="auto"/>
            </w:tcBorders>
          </w:tcPr>
          <w:p w14:paraId="40196AC3"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 xml:space="preserve">Oil </w:t>
            </w:r>
          </w:p>
        </w:tc>
        <w:tc>
          <w:tcPr>
            <w:tcW w:w="1701" w:type="dxa"/>
            <w:tcBorders>
              <w:bottom w:val="single" w:sz="4" w:space="0" w:color="auto"/>
            </w:tcBorders>
          </w:tcPr>
          <w:p w14:paraId="2A219A86"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1.1265</w:t>
            </w:r>
          </w:p>
          <w:p w14:paraId="6631DEC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(0.2600)</w:t>
            </w:r>
          </w:p>
        </w:tc>
        <w:tc>
          <w:tcPr>
            <w:tcW w:w="1556" w:type="dxa"/>
            <w:tcBorders>
              <w:bottom w:val="single" w:sz="4" w:space="0" w:color="auto"/>
            </w:tcBorders>
          </w:tcPr>
          <w:p w14:paraId="223D02F7"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0.4485</w:t>
            </w:r>
          </w:p>
          <w:p w14:paraId="19A782D1"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(0.6538)</w:t>
            </w:r>
          </w:p>
        </w:tc>
        <w:tc>
          <w:tcPr>
            <w:tcW w:w="1753" w:type="dxa"/>
            <w:tcBorders>
              <w:bottom w:val="single" w:sz="4" w:space="0" w:color="auto"/>
            </w:tcBorders>
          </w:tcPr>
          <w:p w14:paraId="4A525189"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0.3311</w:t>
            </w:r>
          </w:p>
          <w:p w14:paraId="530EC4CB"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(0.7406)</w:t>
            </w:r>
          </w:p>
        </w:tc>
        <w:tc>
          <w:tcPr>
            <w:tcW w:w="1556" w:type="dxa"/>
            <w:tcBorders>
              <w:bottom w:val="single" w:sz="4" w:space="0" w:color="auto"/>
            </w:tcBorders>
          </w:tcPr>
          <w:p w14:paraId="78A07948"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1.3004</w:t>
            </w:r>
          </w:p>
          <w:p w14:paraId="3F59C1AF" w14:textId="77777777" w:rsidR="00047399" w:rsidRPr="007D76D2" w:rsidRDefault="00047399" w:rsidP="00DB5ABE">
            <w:pPr>
              <w:spacing w:after="0" w:line="240" w:lineRule="auto"/>
              <w:rPr>
                <w:rFonts w:ascii="Times New Roman" w:hAnsi="Times New Roman"/>
                <w:color w:val="000000"/>
                <w:sz w:val="24"/>
                <w:szCs w:val="24"/>
              </w:rPr>
            </w:pPr>
            <w:r w:rsidRPr="007D76D2">
              <w:rPr>
                <w:rFonts w:ascii="Times New Roman" w:hAnsi="Times New Roman"/>
                <w:color w:val="000000"/>
                <w:sz w:val="24"/>
                <w:szCs w:val="24"/>
              </w:rPr>
              <w:t>(6.7290)</w:t>
            </w:r>
          </w:p>
        </w:tc>
        <w:tc>
          <w:tcPr>
            <w:tcW w:w="1236" w:type="dxa"/>
            <w:tcBorders>
              <w:bottom w:val="single" w:sz="4" w:space="0" w:color="auto"/>
            </w:tcBorders>
          </w:tcPr>
          <w:p w14:paraId="71681A3B" w14:textId="77777777" w:rsidR="00047399" w:rsidRPr="007D76D2" w:rsidRDefault="00047399" w:rsidP="00DB5ABE">
            <w:pPr>
              <w:spacing w:after="0" w:line="240" w:lineRule="auto"/>
              <w:rPr>
                <w:rFonts w:ascii="Times New Roman" w:hAnsi="Times New Roman"/>
                <w:color w:val="000000"/>
                <w:sz w:val="24"/>
                <w:szCs w:val="24"/>
              </w:rPr>
            </w:pPr>
          </w:p>
        </w:tc>
      </w:tr>
    </w:tbl>
    <w:p w14:paraId="7C0C629C" w14:textId="77777777" w:rsidR="00047399" w:rsidRPr="00AE4EA1" w:rsidRDefault="00047399" w:rsidP="00DB5ABE">
      <w:pPr>
        <w:spacing w:after="0" w:line="240" w:lineRule="auto"/>
        <w:jc w:val="both"/>
        <w:rPr>
          <w:rFonts w:ascii="Times New Roman" w:eastAsia="Times New Roman" w:hAnsi="Times New Roman"/>
          <w:color w:val="000000"/>
          <w:sz w:val="24"/>
          <w:szCs w:val="24"/>
        </w:rPr>
      </w:pPr>
    </w:p>
    <w:p w14:paraId="11A0828D" w14:textId="77777777" w:rsidR="00961467" w:rsidRDefault="00961467" w:rsidP="00085DAE">
      <w:pPr>
        <w:spacing w:after="0" w:line="240" w:lineRule="auto"/>
        <w:rPr>
          <w:rFonts w:ascii="Times New Roman" w:eastAsia="Times New Roman" w:hAnsi="Times New Roman"/>
          <w:color w:val="000000"/>
          <w:sz w:val="24"/>
          <w:szCs w:val="24"/>
        </w:rPr>
        <w:sectPr w:rsidR="00961467" w:rsidSect="00961467">
          <w:type w:val="continuous"/>
          <w:pgSz w:w="12240" w:h="15840"/>
          <w:pgMar w:top="851" w:right="1440" w:bottom="1440" w:left="1440" w:header="720" w:footer="720" w:gutter="0"/>
          <w:cols w:space="720"/>
          <w:docGrid w:linePitch="360"/>
        </w:sectPr>
      </w:pPr>
    </w:p>
    <w:p w14:paraId="02300166" w14:textId="470C0485" w:rsidR="00047399" w:rsidRPr="00AE4EA1" w:rsidRDefault="00047399" w:rsidP="00085DAE">
      <w:pPr>
        <w:spacing w:after="0" w:line="240" w:lineRule="auto"/>
        <w:rPr>
          <w:rFonts w:ascii="Times New Roman" w:eastAsia="Times New Roman" w:hAnsi="Times New Roman"/>
          <w:color w:val="000000"/>
          <w:sz w:val="24"/>
          <w:szCs w:val="24"/>
        </w:rPr>
      </w:pPr>
      <w:r w:rsidRPr="00AE4EA1">
        <w:rPr>
          <w:rFonts w:ascii="Times New Roman" w:eastAsia="Times New Roman" w:hAnsi="Times New Roman"/>
          <w:color w:val="000000"/>
          <w:sz w:val="24"/>
          <w:szCs w:val="24"/>
        </w:rPr>
        <w:t xml:space="preserve">From the results of </w:t>
      </w:r>
      <w:proofErr w:type="spellStart"/>
      <w:r w:rsidRPr="00AE4EA1">
        <w:rPr>
          <w:rFonts w:ascii="Times New Roman" w:eastAsia="Times New Roman" w:hAnsi="Times New Roman"/>
          <w:color w:val="000000"/>
          <w:sz w:val="24"/>
          <w:szCs w:val="24"/>
        </w:rPr>
        <w:t>Asymetric</w:t>
      </w:r>
      <w:proofErr w:type="spellEnd"/>
      <w:r w:rsidRPr="00AE4EA1">
        <w:rPr>
          <w:rFonts w:ascii="Times New Roman" w:eastAsia="Times New Roman" w:hAnsi="Times New Roman"/>
          <w:color w:val="000000"/>
          <w:sz w:val="24"/>
          <w:szCs w:val="24"/>
        </w:rPr>
        <w:t xml:space="preserve"> and sign bias tests we observe</w:t>
      </w:r>
      <w:r w:rsidR="009C28B8">
        <w:rPr>
          <w:rFonts w:ascii="Times New Roman" w:eastAsia="Times New Roman" w:hAnsi="Times New Roman"/>
          <w:color w:val="000000"/>
          <w:sz w:val="24"/>
          <w:szCs w:val="24"/>
        </w:rPr>
        <w:t>d</w:t>
      </w:r>
      <w:r w:rsidRPr="00AE4EA1">
        <w:rPr>
          <w:rFonts w:ascii="Times New Roman" w:eastAsia="Times New Roman" w:hAnsi="Times New Roman"/>
          <w:color w:val="000000"/>
          <w:sz w:val="24"/>
          <w:szCs w:val="24"/>
        </w:rPr>
        <w:t xml:space="preserve"> that the null </w:t>
      </w:r>
      <w:r>
        <w:rPr>
          <w:rFonts w:ascii="Times New Roman" w:eastAsia="Times New Roman" w:hAnsi="Times New Roman"/>
          <w:color w:val="000000"/>
          <w:sz w:val="24"/>
          <w:szCs w:val="24"/>
        </w:rPr>
        <w:t xml:space="preserve">hypothesis </w:t>
      </w:r>
      <w:r w:rsidRPr="00AE4EA1">
        <w:rPr>
          <w:rFonts w:ascii="Times New Roman" w:eastAsia="Times New Roman" w:hAnsi="Times New Roman"/>
          <w:color w:val="000000"/>
          <w:sz w:val="24"/>
          <w:szCs w:val="24"/>
        </w:rPr>
        <w:t xml:space="preserve">of constant conditional correlation (CCC) cannot be rejected as all the series show probability values greater than 0.05 as evidence in Yaya, </w:t>
      </w:r>
      <w:r w:rsidRPr="00AE4EA1">
        <w:rPr>
          <w:rFonts w:ascii="Times New Roman" w:eastAsia="Times New Roman" w:hAnsi="Times New Roman"/>
          <w:i/>
          <w:color w:val="000000"/>
          <w:sz w:val="24"/>
          <w:szCs w:val="24"/>
        </w:rPr>
        <w:t xml:space="preserve">et al </w:t>
      </w:r>
      <w:r w:rsidRPr="00AE4EA1">
        <w:rPr>
          <w:rFonts w:ascii="Times New Roman" w:eastAsia="Times New Roman" w:hAnsi="Times New Roman"/>
          <w:color w:val="000000"/>
          <w:sz w:val="24"/>
          <w:szCs w:val="24"/>
        </w:rPr>
        <w:t xml:space="preserve">(2016) </w:t>
      </w:r>
      <w:proofErr w:type="spellStart"/>
      <w:r w:rsidRPr="00AE4EA1">
        <w:rPr>
          <w:rFonts w:ascii="Times New Roman" w:eastAsia="Times New Roman" w:hAnsi="Times New Roman"/>
          <w:color w:val="000000"/>
          <w:sz w:val="24"/>
          <w:szCs w:val="24"/>
        </w:rPr>
        <w:t>Uzonwanne</w:t>
      </w:r>
      <w:proofErr w:type="spellEnd"/>
      <w:r w:rsidRPr="00AE4EA1">
        <w:rPr>
          <w:rFonts w:ascii="Times New Roman" w:eastAsia="Times New Roman" w:hAnsi="Times New Roman"/>
          <w:color w:val="000000"/>
          <w:sz w:val="24"/>
          <w:szCs w:val="24"/>
        </w:rPr>
        <w:t xml:space="preserve"> 2021 and Tule </w:t>
      </w:r>
      <w:r w:rsidRPr="00AE4EA1">
        <w:rPr>
          <w:rFonts w:ascii="Times New Roman" w:eastAsia="Times New Roman" w:hAnsi="Times New Roman"/>
          <w:i/>
          <w:color w:val="000000"/>
          <w:sz w:val="24"/>
          <w:szCs w:val="24"/>
        </w:rPr>
        <w:t>et al</w:t>
      </w:r>
      <w:r w:rsidRPr="00AE4EA1">
        <w:rPr>
          <w:rFonts w:ascii="Times New Roman" w:eastAsia="Times New Roman" w:hAnsi="Times New Roman"/>
          <w:color w:val="000000"/>
          <w:sz w:val="24"/>
          <w:szCs w:val="24"/>
        </w:rPr>
        <w:t xml:space="preserve"> 2018. Turning to the bias tests, we observe that the null hypothesis of symmetry was not rejected for the series except, for agriculture, construction/real estate, ICT.</w:t>
      </w:r>
      <w:r>
        <w:rPr>
          <w:rFonts w:ascii="Times New Roman" w:eastAsia="Times New Roman" w:hAnsi="Times New Roman"/>
          <w:color w:val="000000"/>
          <w:sz w:val="24"/>
          <w:szCs w:val="24"/>
        </w:rPr>
        <w:t xml:space="preserve"> This means that negative news (unexpected price increases), has the ability to increase volatility in these sectors than positive news.</w:t>
      </w:r>
    </w:p>
    <w:p w14:paraId="33AF4FBA" w14:textId="77777777" w:rsidR="009878F4" w:rsidRDefault="009878F4" w:rsidP="00085DAE">
      <w:pPr>
        <w:spacing w:after="0" w:line="240" w:lineRule="auto"/>
        <w:rPr>
          <w:rFonts w:ascii="Times New Roman" w:eastAsia="Times New Roman" w:hAnsi="Times New Roman"/>
          <w:b/>
          <w:color w:val="000000"/>
          <w:sz w:val="24"/>
          <w:szCs w:val="24"/>
        </w:rPr>
      </w:pPr>
    </w:p>
    <w:p w14:paraId="06B249F3" w14:textId="002C0458" w:rsidR="00047399" w:rsidRPr="00961467" w:rsidRDefault="00047399" w:rsidP="00961467">
      <w:pPr>
        <w:pStyle w:val="ListParagraph"/>
        <w:numPr>
          <w:ilvl w:val="0"/>
          <w:numId w:val="21"/>
        </w:numPr>
        <w:spacing w:after="0" w:line="240" w:lineRule="auto"/>
        <w:rPr>
          <w:rFonts w:ascii="Times New Roman" w:eastAsia="Times New Roman" w:hAnsi="Times New Roman"/>
          <w:b/>
          <w:color w:val="000000"/>
          <w:sz w:val="24"/>
          <w:szCs w:val="24"/>
        </w:rPr>
      </w:pPr>
      <w:r w:rsidRPr="00961467">
        <w:rPr>
          <w:rFonts w:ascii="Times New Roman" w:eastAsia="Times New Roman" w:hAnsi="Times New Roman"/>
          <w:b/>
          <w:color w:val="000000"/>
          <w:sz w:val="24"/>
          <w:szCs w:val="24"/>
        </w:rPr>
        <w:t xml:space="preserve">CCC VARMA (A) GARCH Results </w:t>
      </w:r>
    </w:p>
    <w:p w14:paraId="00CBA2FC" w14:textId="77777777" w:rsidR="00047399" w:rsidRDefault="00047399" w:rsidP="00085DAE">
      <w:pPr>
        <w:spacing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Overall, forty-four MGARCH models were estimated for oil and the eleven sectors, including CC-VARMA-GARCH, Asymmetric CCC-VARMA-GARCH, DCC-VARMA-GARCH and the Asymmetric DCC-VARMA-GARCH i.e., 4 × 1 pairs (oil with each of the eleven stock sectors totaling 44 models).  </w:t>
      </w:r>
    </w:p>
    <w:p w14:paraId="1F384E65" w14:textId="00A92E6F" w:rsidR="00047399" w:rsidRPr="00AE4EA1" w:rsidRDefault="00047399" w:rsidP="00085DAE">
      <w:pPr>
        <w:spacing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Based on the result</w:t>
      </w:r>
      <w:r w:rsidRPr="00AE4EA1">
        <w:rPr>
          <w:rFonts w:ascii="Times New Roman" w:eastAsia="Times New Roman" w:hAnsi="Times New Roman"/>
          <w:color w:val="000000"/>
          <w:sz w:val="24"/>
          <w:szCs w:val="24"/>
        </w:rPr>
        <w:t xml:space="preserve"> of the E</w:t>
      </w:r>
      <w:r>
        <w:rPr>
          <w:rFonts w:ascii="Times New Roman" w:eastAsia="Times New Roman" w:hAnsi="Times New Roman"/>
          <w:color w:val="000000"/>
          <w:sz w:val="24"/>
          <w:szCs w:val="24"/>
        </w:rPr>
        <w:t>ngle-Shep</w:t>
      </w:r>
      <w:r w:rsidRPr="00AE4EA1">
        <w:rPr>
          <w:rFonts w:ascii="Times New Roman" w:eastAsia="Times New Roman" w:hAnsi="Times New Roman"/>
          <w:color w:val="000000"/>
          <w:sz w:val="24"/>
          <w:szCs w:val="24"/>
        </w:rPr>
        <w:t>p</w:t>
      </w:r>
      <w:r>
        <w:rPr>
          <w:rFonts w:ascii="Times New Roman" w:eastAsia="Times New Roman" w:hAnsi="Times New Roman"/>
          <w:color w:val="000000"/>
          <w:sz w:val="24"/>
          <w:szCs w:val="24"/>
        </w:rPr>
        <w:t>ar</w:t>
      </w:r>
      <w:r w:rsidRPr="00AE4EA1">
        <w:rPr>
          <w:rFonts w:ascii="Times New Roman" w:eastAsia="Times New Roman" w:hAnsi="Times New Roman"/>
          <w:color w:val="000000"/>
          <w:sz w:val="24"/>
          <w:szCs w:val="24"/>
        </w:rPr>
        <w:t xml:space="preserve">d </w:t>
      </w:r>
      <m:oMath>
        <m:sSup>
          <m:sSupPr>
            <m:ctrlPr>
              <w:rPr>
                <w:rFonts w:ascii="Cambria Math" w:eastAsia="Times New Roman" w:hAnsi="Times New Roman"/>
                <w:i/>
                <w:color w:val="000000"/>
                <w:sz w:val="24"/>
                <w:szCs w:val="24"/>
              </w:rPr>
            </m:ctrlPr>
          </m:sSupPr>
          <m:e>
            <m:r>
              <w:rPr>
                <w:rFonts w:ascii="Cambria Math" w:eastAsia="Times New Roman" w:hAnsi="Cambria Math"/>
                <w:color w:val="000000"/>
                <w:sz w:val="24"/>
                <w:szCs w:val="24"/>
              </w:rPr>
              <m:t>χ</m:t>
            </m:r>
          </m:e>
          <m:sup>
            <m:r>
              <w:rPr>
                <w:rFonts w:ascii="Cambria Math" w:eastAsia="Times New Roman" w:hAnsi="Times New Roman"/>
                <w:color w:val="000000"/>
                <w:sz w:val="24"/>
                <w:szCs w:val="24"/>
              </w:rPr>
              <m:t>2</m:t>
            </m:r>
          </m:sup>
        </m:sSup>
      </m:oMath>
      <w:r w:rsidRPr="00AE4EA1">
        <w:rPr>
          <w:rFonts w:ascii="Times New Roman" w:eastAsia="Times New Roman" w:hAnsi="Times New Roman"/>
          <w:color w:val="000000"/>
          <w:sz w:val="24"/>
          <w:szCs w:val="24"/>
        </w:rPr>
        <w:t xml:space="preserve"> and the sign and size b</w:t>
      </w:r>
      <w:proofErr w:type="spellStart"/>
      <w:r>
        <w:rPr>
          <w:rFonts w:ascii="Times New Roman" w:eastAsia="Times New Roman" w:hAnsi="Times New Roman"/>
          <w:color w:val="000000"/>
          <w:sz w:val="24"/>
          <w:szCs w:val="24"/>
        </w:rPr>
        <w:t>iased</w:t>
      </w:r>
      <w:proofErr w:type="spellEnd"/>
      <w:r>
        <w:rPr>
          <w:rFonts w:ascii="Times New Roman" w:eastAsia="Times New Roman" w:hAnsi="Times New Roman"/>
          <w:color w:val="000000"/>
          <w:sz w:val="24"/>
          <w:szCs w:val="24"/>
        </w:rPr>
        <w:t xml:space="preserve"> tests, the </w:t>
      </w:r>
      <w:r>
        <w:rPr>
          <w:rFonts w:ascii="Times New Roman" w:eastAsia="Times New Roman" w:hAnsi="Times New Roman"/>
          <w:color w:val="000000"/>
          <w:sz w:val="24"/>
          <w:szCs w:val="24"/>
        </w:rPr>
        <w:lastRenderedPageBreak/>
        <w:t>CCC- VARMA-A-</w:t>
      </w:r>
      <w:r w:rsidRPr="00AE4EA1">
        <w:rPr>
          <w:rFonts w:ascii="Times New Roman" w:eastAsia="Times New Roman" w:hAnsi="Times New Roman"/>
          <w:color w:val="000000"/>
          <w:sz w:val="24"/>
          <w:szCs w:val="24"/>
        </w:rPr>
        <w:t xml:space="preserve">GARCH model is </w:t>
      </w:r>
      <w:r>
        <w:rPr>
          <w:rFonts w:ascii="Times New Roman" w:eastAsia="Times New Roman" w:hAnsi="Times New Roman"/>
          <w:color w:val="000000"/>
          <w:sz w:val="24"/>
          <w:szCs w:val="24"/>
        </w:rPr>
        <w:t xml:space="preserve">chosen as the best among the estimated models for </w:t>
      </w:r>
      <w:r w:rsidRPr="00AE4EA1">
        <w:rPr>
          <w:rFonts w:ascii="Times New Roman" w:eastAsia="Times New Roman" w:hAnsi="Times New Roman"/>
          <w:color w:val="000000"/>
          <w:sz w:val="24"/>
          <w:szCs w:val="24"/>
        </w:rPr>
        <w:t>oil-agriculture, oil-Construction and Real estate, and Oil-ICT Nexus, while the sy</w:t>
      </w:r>
      <w:r>
        <w:rPr>
          <w:rFonts w:ascii="Times New Roman" w:eastAsia="Times New Roman" w:hAnsi="Times New Roman"/>
          <w:color w:val="000000"/>
          <w:sz w:val="24"/>
          <w:szCs w:val="24"/>
        </w:rPr>
        <w:t>mmetric version, the CCC-VARMA-</w:t>
      </w:r>
      <w:r w:rsidRPr="00AE4EA1">
        <w:rPr>
          <w:rFonts w:ascii="Times New Roman" w:eastAsia="Times New Roman" w:hAnsi="Times New Roman"/>
          <w:color w:val="000000"/>
          <w:sz w:val="24"/>
          <w:szCs w:val="24"/>
        </w:rPr>
        <w:t xml:space="preserve">GARCH is estimated for the remaining pairs </w:t>
      </w:r>
      <w:r w:rsidRPr="00AE4EA1">
        <w:rPr>
          <w:rFonts w:ascii="Times New Roman" w:eastAsia="Times New Roman" w:hAnsi="Times New Roman"/>
          <w:color w:val="000000"/>
          <w:sz w:val="24"/>
          <w:szCs w:val="24"/>
        </w:rPr>
        <w:t>of oil-conglomerates, oil-consumer goods, oil-financial services, oil-health care, oil-industrial goods, oil-natural resources, oil-oil</w:t>
      </w:r>
      <w:r w:rsidR="009878F4">
        <w:rPr>
          <w:rFonts w:ascii="Times New Roman" w:eastAsia="Times New Roman" w:hAnsi="Times New Roman"/>
          <w:color w:val="000000"/>
          <w:sz w:val="24"/>
          <w:szCs w:val="24"/>
        </w:rPr>
        <w:t xml:space="preserve"> </w:t>
      </w:r>
      <w:r w:rsidRPr="00AE4EA1">
        <w:rPr>
          <w:rFonts w:ascii="Times New Roman" w:eastAsia="Times New Roman" w:hAnsi="Times New Roman"/>
          <w:color w:val="000000"/>
          <w:sz w:val="24"/>
          <w:szCs w:val="24"/>
        </w:rPr>
        <w:t xml:space="preserve">and gas and oil-services. The result is presented </w:t>
      </w:r>
      <w:r>
        <w:rPr>
          <w:rFonts w:ascii="Times New Roman" w:eastAsia="Times New Roman" w:hAnsi="Times New Roman"/>
          <w:color w:val="000000"/>
          <w:sz w:val="24"/>
          <w:szCs w:val="24"/>
        </w:rPr>
        <w:t xml:space="preserve">on table </w:t>
      </w:r>
      <w:r w:rsidR="009A3B0B">
        <w:rPr>
          <w:rFonts w:ascii="Times New Roman" w:eastAsia="Times New Roman" w:hAnsi="Times New Roman"/>
          <w:color w:val="000000"/>
          <w:sz w:val="24"/>
          <w:szCs w:val="24"/>
        </w:rPr>
        <w:t>4</w:t>
      </w:r>
      <w:r>
        <w:rPr>
          <w:rFonts w:ascii="Times New Roman" w:eastAsia="Times New Roman" w:hAnsi="Times New Roman"/>
          <w:color w:val="000000"/>
          <w:sz w:val="24"/>
          <w:szCs w:val="24"/>
        </w:rPr>
        <w:t>.</w:t>
      </w:r>
    </w:p>
    <w:p w14:paraId="55BD1E0F" w14:textId="77777777" w:rsidR="00961467" w:rsidRDefault="00961467" w:rsidP="00DB5ABE">
      <w:pPr>
        <w:spacing w:after="0" w:line="240" w:lineRule="auto"/>
        <w:rPr>
          <w:rFonts w:ascii="Times New Roman" w:eastAsia="Times New Roman" w:hAnsi="Times New Roman"/>
          <w:b/>
          <w:color w:val="000000"/>
          <w:sz w:val="24"/>
          <w:szCs w:val="24"/>
        </w:rPr>
        <w:sectPr w:rsidR="00961467" w:rsidSect="00961467">
          <w:type w:val="continuous"/>
          <w:pgSz w:w="12240" w:h="15840"/>
          <w:pgMar w:top="851" w:right="1440" w:bottom="1440" w:left="1440" w:header="720" w:footer="720" w:gutter="0"/>
          <w:cols w:num="2" w:space="720"/>
          <w:docGrid w:linePitch="360"/>
        </w:sectPr>
      </w:pPr>
    </w:p>
    <w:p w14:paraId="0A7968F7" w14:textId="77777777" w:rsidR="009A3B0B" w:rsidRDefault="009A3B0B" w:rsidP="00DB5ABE">
      <w:pPr>
        <w:spacing w:after="0" w:line="240" w:lineRule="auto"/>
        <w:rPr>
          <w:rFonts w:ascii="Times New Roman" w:eastAsia="Times New Roman" w:hAnsi="Times New Roman"/>
          <w:b/>
          <w:color w:val="000000"/>
          <w:sz w:val="24"/>
          <w:szCs w:val="24"/>
        </w:rPr>
      </w:pPr>
    </w:p>
    <w:p w14:paraId="4E242D65" w14:textId="7566F95D" w:rsidR="00047399" w:rsidRPr="00C04962" w:rsidRDefault="00047399" w:rsidP="00DB5ABE">
      <w:pPr>
        <w:spacing w:after="0" w:line="240" w:lineRule="auto"/>
        <w:rPr>
          <w:rFonts w:ascii="Times New Roman" w:eastAsia="Times New Roman" w:hAnsi="Times New Roman"/>
          <w:b/>
          <w:color w:val="000000"/>
          <w:sz w:val="24"/>
          <w:szCs w:val="24"/>
        </w:rPr>
      </w:pPr>
      <w:r w:rsidRPr="00C04962">
        <w:rPr>
          <w:rFonts w:ascii="Times New Roman" w:eastAsia="Times New Roman" w:hAnsi="Times New Roman"/>
          <w:b/>
          <w:color w:val="000000"/>
          <w:sz w:val="24"/>
          <w:szCs w:val="24"/>
        </w:rPr>
        <w:t xml:space="preserve">Table </w:t>
      </w:r>
      <w:r w:rsidR="005464FC">
        <w:rPr>
          <w:rFonts w:ascii="Times New Roman" w:eastAsia="Times New Roman" w:hAnsi="Times New Roman"/>
          <w:b/>
          <w:color w:val="000000"/>
          <w:sz w:val="24"/>
          <w:szCs w:val="24"/>
        </w:rPr>
        <w:t>4</w:t>
      </w:r>
      <w:r w:rsidRPr="00C04962">
        <w:rPr>
          <w:rFonts w:ascii="Times New Roman" w:eastAsia="Times New Roman" w:hAnsi="Times New Roman"/>
          <w:b/>
          <w:color w:val="000000"/>
          <w:sz w:val="24"/>
          <w:szCs w:val="24"/>
        </w:rPr>
        <w:t xml:space="preserve"> CCC-VARMA–(A) GARCH MODEL RESULTS </w:t>
      </w:r>
    </w:p>
    <w:tbl>
      <w:tblPr>
        <w:tblW w:w="10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9"/>
        <w:gridCol w:w="808"/>
        <w:gridCol w:w="10"/>
        <w:gridCol w:w="705"/>
        <w:gridCol w:w="721"/>
        <w:gridCol w:w="13"/>
        <w:gridCol w:w="667"/>
        <w:gridCol w:w="42"/>
        <w:gridCol w:w="810"/>
        <w:gridCol w:w="8"/>
        <w:gridCol w:w="717"/>
        <w:gridCol w:w="820"/>
        <w:gridCol w:w="790"/>
        <w:gridCol w:w="17"/>
        <w:gridCol w:w="778"/>
        <w:gridCol w:w="8"/>
        <w:gridCol w:w="17"/>
        <w:gridCol w:w="645"/>
        <w:gridCol w:w="17"/>
        <w:gridCol w:w="851"/>
        <w:gridCol w:w="17"/>
        <w:gridCol w:w="713"/>
        <w:gridCol w:w="24"/>
        <w:gridCol w:w="17"/>
      </w:tblGrid>
      <w:tr w:rsidR="00047399" w:rsidRPr="00F238BF" w14:paraId="3F6697C4" w14:textId="77777777" w:rsidTr="009A3B0B">
        <w:trPr>
          <w:gridAfter w:val="1"/>
          <w:wAfter w:w="17" w:type="dxa"/>
        </w:trPr>
        <w:tc>
          <w:tcPr>
            <w:tcW w:w="10357" w:type="dxa"/>
            <w:gridSpan w:val="23"/>
          </w:tcPr>
          <w:p w14:paraId="5CEE5CA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b/>
                <w:color w:val="000000"/>
                <w:sz w:val="20"/>
                <w:szCs w:val="20"/>
              </w:rPr>
              <w:t>Mean Equation</w:t>
            </w:r>
          </w:p>
        </w:tc>
      </w:tr>
      <w:tr w:rsidR="00047399" w:rsidRPr="00F238BF" w14:paraId="2F8D2C82" w14:textId="77777777" w:rsidTr="009A3B0B">
        <w:trPr>
          <w:gridAfter w:val="2"/>
          <w:wAfter w:w="41" w:type="dxa"/>
        </w:trPr>
        <w:tc>
          <w:tcPr>
            <w:tcW w:w="1159" w:type="dxa"/>
          </w:tcPr>
          <w:p w14:paraId="5DD90D26" w14:textId="77777777" w:rsidR="00047399" w:rsidRPr="00F238BF" w:rsidRDefault="00047399" w:rsidP="00DB5ABE">
            <w:pPr>
              <w:spacing w:after="0" w:line="240" w:lineRule="auto"/>
              <w:rPr>
                <w:rFonts w:ascii="Times New Roman" w:hAnsi="Times New Roman"/>
                <w:i/>
                <w:iCs/>
                <w:sz w:val="20"/>
                <w:szCs w:val="20"/>
              </w:rPr>
            </w:pPr>
            <w:r w:rsidRPr="00F238BF">
              <w:rPr>
                <w:rFonts w:ascii="Times New Roman" w:hAnsi="Times New Roman"/>
                <w:i/>
                <w:iCs/>
                <w:sz w:val="20"/>
                <w:szCs w:val="20"/>
              </w:rPr>
              <w:t>Parameters→</w:t>
            </w:r>
          </w:p>
          <w:p w14:paraId="6ADA4790" w14:textId="77777777" w:rsidR="00047399" w:rsidRPr="00F238BF" w:rsidRDefault="00047399" w:rsidP="00DB5ABE">
            <w:pPr>
              <w:spacing w:after="0" w:line="240" w:lineRule="auto"/>
              <w:rPr>
                <w:rFonts w:ascii="Times New Roman" w:eastAsia="Times New Roman" w:hAnsi="Times New Roman"/>
                <w:b/>
                <w:bCs/>
                <w:sz w:val="20"/>
                <w:szCs w:val="20"/>
              </w:rPr>
            </w:pPr>
            <w:r w:rsidRPr="00F238BF">
              <w:rPr>
                <w:rFonts w:ascii="Times New Roman" w:hAnsi="Times New Roman"/>
                <w:i/>
                <w:iCs/>
                <w:sz w:val="20"/>
                <w:szCs w:val="20"/>
              </w:rPr>
              <w:t>Variables↓</w:t>
            </w:r>
          </w:p>
        </w:tc>
        <w:tc>
          <w:tcPr>
            <w:tcW w:w="1523" w:type="dxa"/>
            <w:gridSpan w:val="3"/>
          </w:tcPr>
          <w:p w14:paraId="52F85A92" w14:textId="77777777" w:rsidR="00047399" w:rsidRPr="00F238BF"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Oil-</w:t>
            </w:r>
          </w:p>
          <w:p w14:paraId="1CB7653D" w14:textId="77777777" w:rsidR="00047399" w:rsidRDefault="00047399" w:rsidP="00DB5ABE">
            <w:pPr>
              <w:spacing w:after="0" w:line="240" w:lineRule="auto"/>
              <w:ind w:left="-18" w:right="-108"/>
              <w:rPr>
                <w:rFonts w:ascii="Times New Roman" w:hAnsi="Times New Roman"/>
                <w:i/>
                <w:color w:val="000000"/>
                <w:sz w:val="20"/>
                <w:szCs w:val="20"/>
              </w:rPr>
            </w:pPr>
            <w:r w:rsidRPr="00F238BF">
              <w:rPr>
                <w:rFonts w:ascii="Times New Roman" w:hAnsi="Times New Roman"/>
                <w:i/>
                <w:color w:val="000000"/>
                <w:sz w:val="20"/>
                <w:szCs w:val="20"/>
              </w:rPr>
              <w:t xml:space="preserve">Agriculture </w:t>
            </w:r>
          </w:p>
          <w:p w14:paraId="42B3929A" w14:textId="77777777" w:rsidR="00047399" w:rsidRPr="00F238BF" w:rsidRDefault="00047399" w:rsidP="00DB5ABE">
            <w:pPr>
              <w:spacing w:after="0" w:line="240" w:lineRule="auto"/>
              <w:ind w:left="-18" w:right="-108"/>
              <w:rPr>
                <w:rFonts w:ascii="Times New Roman" w:hAnsi="Times New Roman"/>
                <w:i/>
                <w:color w:val="000000"/>
                <w:sz w:val="20"/>
                <w:szCs w:val="20"/>
              </w:rPr>
            </w:pPr>
            <w:r>
              <w:rPr>
                <w:rFonts w:ascii="Times New Roman" w:hAnsi="Times New Roman"/>
                <w:i/>
                <w:color w:val="000000"/>
                <w:sz w:val="20"/>
                <w:szCs w:val="20"/>
              </w:rPr>
              <w:t>Coef.            PV</w:t>
            </w:r>
          </w:p>
        </w:tc>
        <w:tc>
          <w:tcPr>
            <w:tcW w:w="1443" w:type="dxa"/>
            <w:gridSpan w:val="4"/>
          </w:tcPr>
          <w:p w14:paraId="7E0BF5AF" w14:textId="77777777" w:rsidR="00047399" w:rsidRPr="00F238BF"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Oil</w:t>
            </w:r>
          </w:p>
          <w:p w14:paraId="2BDD2F50"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Conglomerates </w:t>
            </w:r>
          </w:p>
          <w:p w14:paraId="5F6CE9E6"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535" w:type="dxa"/>
            <w:gridSpan w:val="3"/>
          </w:tcPr>
          <w:p w14:paraId="70561496" w14:textId="77777777" w:rsidR="00047399" w:rsidRDefault="00047399" w:rsidP="00DB5ABE">
            <w:pPr>
              <w:spacing w:after="0" w:line="240" w:lineRule="auto"/>
              <w:ind w:left="-108"/>
              <w:rPr>
                <w:rFonts w:ascii="Times New Roman" w:hAnsi="Times New Roman"/>
                <w:i/>
                <w:color w:val="000000"/>
                <w:sz w:val="20"/>
                <w:szCs w:val="20"/>
              </w:rPr>
            </w:pPr>
            <w:proofErr w:type="spellStart"/>
            <w:r w:rsidRPr="00F238BF">
              <w:rPr>
                <w:rFonts w:ascii="Times New Roman" w:hAnsi="Times New Roman"/>
                <w:i/>
                <w:color w:val="000000"/>
                <w:sz w:val="20"/>
                <w:szCs w:val="20"/>
              </w:rPr>
              <w:t>OilConstruction</w:t>
            </w:r>
            <w:proofErr w:type="spellEnd"/>
            <w:r w:rsidRPr="00F238BF">
              <w:rPr>
                <w:rFonts w:ascii="Times New Roman" w:hAnsi="Times New Roman"/>
                <w:i/>
                <w:color w:val="000000"/>
                <w:sz w:val="20"/>
                <w:szCs w:val="20"/>
              </w:rPr>
              <w:t xml:space="preserve"> and Real Estate </w:t>
            </w:r>
          </w:p>
          <w:p w14:paraId="3160BE3F" w14:textId="77777777" w:rsidR="00047399" w:rsidRPr="00F238BF" w:rsidRDefault="00047399" w:rsidP="00DB5ABE">
            <w:pPr>
              <w:spacing w:after="0" w:line="240" w:lineRule="auto"/>
              <w:ind w:left="-108"/>
              <w:rPr>
                <w:rFonts w:ascii="Times New Roman" w:hAnsi="Times New Roman"/>
                <w:i/>
                <w:color w:val="000000"/>
                <w:sz w:val="20"/>
                <w:szCs w:val="20"/>
              </w:rPr>
            </w:pPr>
            <w:r>
              <w:rPr>
                <w:rFonts w:ascii="Times New Roman" w:hAnsi="Times New Roman"/>
                <w:i/>
                <w:color w:val="000000"/>
                <w:sz w:val="20"/>
                <w:szCs w:val="20"/>
              </w:rPr>
              <w:t>Coef.             PV</w:t>
            </w:r>
          </w:p>
        </w:tc>
        <w:tc>
          <w:tcPr>
            <w:tcW w:w="1610" w:type="dxa"/>
            <w:gridSpan w:val="2"/>
          </w:tcPr>
          <w:p w14:paraId="676F452F"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Oil-Consumer Goods </w:t>
            </w:r>
          </w:p>
          <w:p w14:paraId="32BE1529"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465" w:type="dxa"/>
            <w:gridSpan w:val="5"/>
          </w:tcPr>
          <w:p w14:paraId="413E8DC0"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Oil-Financial Services </w:t>
            </w:r>
          </w:p>
          <w:p w14:paraId="17D0E002"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598" w:type="dxa"/>
            <w:gridSpan w:val="4"/>
          </w:tcPr>
          <w:p w14:paraId="432E7DB9" w14:textId="77777777" w:rsidR="00047399" w:rsidRPr="00F238BF"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Oil-</w:t>
            </w:r>
          </w:p>
          <w:p w14:paraId="699A099B"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Health care</w:t>
            </w:r>
          </w:p>
          <w:p w14:paraId="556F729F"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r>
      <w:tr w:rsidR="00047399" w:rsidRPr="00F238BF" w14:paraId="0C2E7A5A" w14:textId="77777777" w:rsidTr="009A3B0B">
        <w:trPr>
          <w:gridAfter w:val="1"/>
          <w:wAfter w:w="17" w:type="dxa"/>
        </w:trPr>
        <w:tc>
          <w:tcPr>
            <w:tcW w:w="1159" w:type="dxa"/>
          </w:tcPr>
          <w:p w14:paraId="55F13C89"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r>
                      <m:rPr>
                        <m:sty m:val="bi"/>
                      </m:rPr>
                      <w:rPr>
                        <w:rFonts w:ascii="Cambria Math" w:hAnsi="Cambria Math"/>
                        <w:sz w:val="24"/>
                        <w:szCs w:val="24"/>
                      </w:rPr>
                      <m:t>oil</m:t>
                    </m:r>
                  </m:sub>
                </m:sSub>
              </m:oMath>
            </m:oMathPara>
          </w:p>
        </w:tc>
        <w:tc>
          <w:tcPr>
            <w:tcW w:w="808" w:type="dxa"/>
            <w:tcBorders>
              <w:right w:val="single" w:sz="4" w:space="0" w:color="auto"/>
            </w:tcBorders>
          </w:tcPr>
          <w:p w14:paraId="22AC2E49"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0.043</w:t>
            </w:r>
          </w:p>
        </w:tc>
        <w:tc>
          <w:tcPr>
            <w:tcW w:w="715" w:type="dxa"/>
            <w:gridSpan w:val="2"/>
            <w:tcBorders>
              <w:left w:val="single" w:sz="4" w:space="0" w:color="auto"/>
            </w:tcBorders>
          </w:tcPr>
          <w:p w14:paraId="42786A2E" w14:textId="77777777" w:rsidR="00047399" w:rsidRPr="00617B54" w:rsidRDefault="00047399" w:rsidP="00DB5ABE">
            <w:pPr>
              <w:spacing w:after="0" w:line="240" w:lineRule="auto"/>
              <w:rPr>
                <w:rFonts w:ascii="Times New Roman" w:hAnsi="Times New Roman"/>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208E416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0.289</w:t>
            </w:r>
          </w:p>
        </w:tc>
        <w:tc>
          <w:tcPr>
            <w:tcW w:w="722" w:type="dxa"/>
            <w:gridSpan w:val="3"/>
            <w:tcBorders>
              <w:left w:val="single" w:sz="4" w:space="0" w:color="auto"/>
            </w:tcBorders>
          </w:tcPr>
          <w:p w14:paraId="0C6ED17A"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10" w:type="dxa"/>
            <w:tcBorders>
              <w:right w:val="single" w:sz="4" w:space="0" w:color="auto"/>
            </w:tcBorders>
          </w:tcPr>
          <w:p w14:paraId="1266E162"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.057</w:t>
            </w:r>
          </w:p>
        </w:tc>
        <w:tc>
          <w:tcPr>
            <w:tcW w:w="725" w:type="dxa"/>
            <w:gridSpan w:val="2"/>
            <w:tcBorders>
              <w:left w:val="single" w:sz="4" w:space="0" w:color="auto"/>
            </w:tcBorders>
          </w:tcPr>
          <w:p w14:paraId="0FE11896"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4978FDD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0.027</w:t>
            </w:r>
          </w:p>
        </w:tc>
        <w:tc>
          <w:tcPr>
            <w:tcW w:w="807" w:type="dxa"/>
            <w:gridSpan w:val="2"/>
            <w:tcBorders>
              <w:left w:val="single" w:sz="4" w:space="0" w:color="auto"/>
            </w:tcBorders>
          </w:tcPr>
          <w:p w14:paraId="41B02383"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1D4F27B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-0.021</w:t>
            </w:r>
          </w:p>
        </w:tc>
        <w:tc>
          <w:tcPr>
            <w:tcW w:w="687" w:type="dxa"/>
            <w:gridSpan w:val="4"/>
            <w:tcBorders>
              <w:left w:val="single" w:sz="4" w:space="0" w:color="auto"/>
            </w:tcBorders>
          </w:tcPr>
          <w:p w14:paraId="00B36A21"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0.110</w:t>
            </w:r>
          </w:p>
        </w:tc>
        <w:tc>
          <w:tcPr>
            <w:tcW w:w="851" w:type="dxa"/>
            <w:tcBorders>
              <w:right w:val="single" w:sz="4" w:space="0" w:color="auto"/>
            </w:tcBorders>
          </w:tcPr>
          <w:p w14:paraId="7DFB34DF"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0.029</w:t>
            </w:r>
          </w:p>
        </w:tc>
        <w:tc>
          <w:tcPr>
            <w:tcW w:w="754" w:type="dxa"/>
            <w:gridSpan w:val="3"/>
            <w:tcBorders>
              <w:left w:val="single" w:sz="4" w:space="0" w:color="auto"/>
            </w:tcBorders>
          </w:tcPr>
          <w:p w14:paraId="29285AC2"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0.080</w:t>
            </w:r>
          </w:p>
        </w:tc>
      </w:tr>
      <w:tr w:rsidR="00047399" w:rsidRPr="00F238BF" w14:paraId="1DBDE0D5" w14:textId="77777777" w:rsidTr="009A3B0B">
        <w:trPr>
          <w:gridAfter w:val="1"/>
          <w:wAfter w:w="17" w:type="dxa"/>
        </w:trPr>
        <w:tc>
          <w:tcPr>
            <w:tcW w:w="1159" w:type="dxa"/>
          </w:tcPr>
          <w:p w14:paraId="6E18992C"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r>
                      <m:rPr>
                        <m:sty m:val="bi"/>
                      </m:rPr>
                      <w:rPr>
                        <w:rFonts w:ascii="Cambria Math" w:hAnsi="Cambria Math"/>
                        <w:sz w:val="24"/>
                        <w:szCs w:val="24"/>
                      </w:rPr>
                      <m:t>s</m:t>
                    </m:r>
                  </m:sub>
                </m:sSub>
              </m:oMath>
            </m:oMathPara>
          </w:p>
        </w:tc>
        <w:tc>
          <w:tcPr>
            <w:tcW w:w="808" w:type="dxa"/>
            <w:tcBorders>
              <w:right w:val="single" w:sz="4" w:space="0" w:color="auto"/>
            </w:tcBorders>
          </w:tcPr>
          <w:p w14:paraId="40B91BF4"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0.091</w:t>
            </w:r>
          </w:p>
        </w:tc>
        <w:tc>
          <w:tcPr>
            <w:tcW w:w="715" w:type="dxa"/>
            <w:gridSpan w:val="2"/>
            <w:tcBorders>
              <w:left w:val="single" w:sz="4" w:space="0" w:color="auto"/>
            </w:tcBorders>
          </w:tcPr>
          <w:p w14:paraId="187239EF"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71253494"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0.008</w:t>
            </w:r>
          </w:p>
        </w:tc>
        <w:tc>
          <w:tcPr>
            <w:tcW w:w="722" w:type="dxa"/>
            <w:gridSpan w:val="3"/>
            <w:tcBorders>
              <w:left w:val="single" w:sz="4" w:space="0" w:color="auto"/>
            </w:tcBorders>
          </w:tcPr>
          <w:p w14:paraId="3B5EF8C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10" w:type="dxa"/>
            <w:tcBorders>
              <w:right w:val="single" w:sz="4" w:space="0" w:color="auto"/>
            </w:tcBorders>
          </w:tcPr>
          <w:p w14:paraId="457B544B"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0.017</w:t>
            </w:r>
          </w:p>
        </w:tc>
        <w:tc>
          <w:tcPr>
            <w:tcW w:w="725" w:type="dxa"/>
            <w:gridSpan w:val="2"/>
            <w:tcBorders>
              <w:left w:val="single" w:sz="4" w:space="0" w:color="auto"/>
            </w:tcBorders>
          </w:tcPr>
          <w:p w14:paraId="275DA534"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4E977B34"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0.022</w:t>
            </w:r>
          </w:p>
        </w:tc>
        <w:tc>
          <w:tcPr>
            <w:tcW w:w="807" w:type="dxa"/>
            <w:gridSpan w:val="2"/>
            <w:tcBorders>
              <w:left w:val="single" w:sz="4" w:space="0" w:color="auto"/>
            </w:tcBorders>
          </w:tcPr>
          <w:p w14:paraId="245E6664"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548ABE67"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0.317</w:t>
            </w:r>
          </w:p>
        </w:tc>
        <w:tc>
          <w:tcPr>
            <w:tcW w:w="687" w:type="dxa"/>
            <w:gridSpan w:val="4"/>
            <w:tcBorders>
              <w:left w:val="single" w:sz="4" w:space="0" w:color="auto"/>
            </w:tcBorders>
          </w:tcPr>
          <w:p w14:paraId="69B75879"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39C9F8B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0.020</w:t>
            </w:r>
          </w:p>
        </w:tc>
        <w:tc>
          <w:tcPr>
            <w:tcW w:w="754" w:type="dxa"/>
            <w:gridSpan w:val="3"/>
            <w:tcBorders>
              <w:left w:val="single" w:sz="4" w:space="0" w:color="auto"/>
            </w:tcBorders>
          </w:tcPr>
          <w:p w14:paraId="14586240"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6B47CAAC" w14:textId="77777777" w:rsidTr="009A3B0B">
        <w:trPr>
          <w:gridAfter w:val="1"/>
          <w:wAfter w:w="17" w:type="dxa"/>
        </w:trPr>
        <w:tc>
          <w:tcPr>
            <w:tcW w:w="1159" w:type="dxa"/>
          </w:tcPr>
          <w:p w14:paraId="18670BF8"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sSup>
                      <m:sSupPr>
                        <m:ctrlPr>
                          <w:rPr>
                            <w:rFonts w:ascii="Cambria Math" w:hAnsi="Times New Roman"/>
                            <w:b/>
                            <w:bCs/>
                            <w:i/>
                            <w:sz w:val="24"/>
                            <w:szCs w:val="24"/>
                          </w:rPr>
                        </m:ctrlPr>
                      </m:sSupPr>
                      <m:e>
                        <m:r>
                          <m:rPr>
                            <m:sty m:val="bi"/>
                          </m:rPr>
                          <w:rPr>
                            <w:rFonts w:ascii="Cambria Math" w:hAnsi="Cambria Math"/>
                            <w:sz w:val="24"/>
                            <w:szCs w:val="24"/>
                          </w:rPr>
                          <m:t>oil</m:t>
                        </m:r>
                      </m:e>
                      <m:sup>
                        <m:r>
                          <m:rPr>
                            <m:sty m:val="bi"/>
                          </m:rPr>
                          <w:rPr>
                            <w:rFonts w:ascii="Cambria Math" w:hAnsi="Cambria Math"/>
                            <w:sz w:val="24"/>
                            <w:szCs w:val="24"/>
                          </w:rPr>
                          <m:t>s</m:t>
                        </m:r>
                      </m:sup>
                    </m:sSup>
                  </m:sub>
                </m:sSub>
              </m:oMath>
            </m:oMathPara>
          </w:p>
        </w:tc>
        <w:tc>
          <w:tcPr>
            <w:tcW w:w="808" w:type="dxa"/>
            <w:tcBorders>
              <w:right w:val="single" w:sz="4" w:space="0" w:color="auto"/>
            </w:tcBorders>
          </w:tcPr>
          <w:p w14:paraId="4442F299"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0.029</w:t>
            </w:r>
          </w:p>
        </w:tc>
        <w:tc>
          <w:tcPr>
            <w:tcW w:w="715" w:type="dxa"/>
            <w:gridSpan w:val="2"/>
            <w:tcBorders>
              <w:left w:val="single" w:sz="4" w:space="0" w:color="auto"/>
            </w:tcBorders>
          </w:tcPr>
          <w:p w14:paraId="5761B8B0"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5AF7215C"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0.002</w:t>
            </w:r>
          </w:p>
        </w:tc>
        <w:tc>
          <w:tcPr>
            <w:tcW w:w="722" w:type="dxa"/>
            <w:gridSpan w:val="3"/>
            <w:tcBorders>
              <w:left w:val="single" w:sz="4" w:space="0" w:color="auto"/>
            </w:tcBorders>
          </w:tcPr>
          <w:p w14:paraId="55C7B610"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10" w:type="dxa"/>
            <w:tcBorders>
              <w:right w:val="single" w:sz="4" w:space="0" w:color="auto"/>
            </w:tcBorders>
          </w:tcPr>
          <w:p w14:paraId="69A0766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0.011</w:t>
            </w:r>
          </w:p>
        </w:tc>
        <w:tc>
          <w:tcPr>
            <w:tcW w:w="725" w:type="dxa"/>
            <w:gridSpan w:val="2"/>
            <w:tcBorders>
              <w:left w:val="single" w:sz="4" w:space="0" w:color="auto"/>
            </w:tcBorders>
          </w:tcPr>
          <w:p w14:paraId="4BEA36A9"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733FDFE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0.034</w:t>
            </w:r>
          </w:p>
        </w:tc>
        <w:tc>
          <w:tcPr>
            <w:tcW w:w="807" w:type="dxa"/>
            <w:gridSpan w:val="2"/>
            <w:tcBorders>
              <w:left w:val="single" w:sz="4" w:space="0" w:color="auto"/>
            </w:tcBorders>
          </w:tcPr>
          <w:p w14:paraId="747DEAC6"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1DA494F5"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0.013</w:t>
            </w:r>
          </w:p>
        </w:tc>
        <w:tc>
          <w:tcPr>
            <w:tcW w:w="687" w:type="dxa"/>
            <w:gridSpan w:val="4"/>
            <w:tcBorders>
              <w:left w:val="single" w:sz="4" w:space="0" w:color="auto"/>
            </w:tcBorders>
          </w:tcPr>
          <w:p w14:paraId="4DF34B8D"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09A6442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0.009</w:t>
            </w:r>
          </w:p>
        </w:tc>
        <w:tc>
          <w:tcPr>
            <w:tcW w:w="754" w:type="dxa"/>
            <w:gridSpan w:val="3"/>
            <w:tcBorders>
              <w:left w:val="single" w:sz="4" w:space="0" w:color="auto"/>
            </w:tcBorders>
          </w:tcPr>
          <w:p w14:paraId="4A925806"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7E906B37" w14:textId="77777777" w:rsidTr="009A3B0B">
        <w:trPr>
          <w:gridAfter w:val="1"/>
          <w:wAfter w:w="17" w:type="dxa"/>
        </w:trPr>
        <w:tc>
          <w:tcPr>
            <w:tcW w:w="1159" w:type="dxa"/>
          </w:tcPr>
          <w:p w14:paraId="3C372949"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sSup>
                      <m:sSupPr>
                        <m:ctrlPr>
                          <w:rPr>
                            <w:rFonts w:ascii="Cambria Math" w:hAnsi="Times New Roman"/>
                            <w:b/>
                            <w:bCs/>
                            <w:i/>
                            <w:sz w:val="24"/>
                            <w:szCs w:val="24"/>
                          </w:rPr>
                        </m:ctrlPr>
                      </m:sSupPr>
                      <m:e>
                        <m:r>
                          <m:rPr>
                            <m:sty m:val="bi"/>
                          </m:rPr>
                          <w:rPr>
                            <w:rFonts w:ascii="Cambria Math" w:hAnsi="Cambria Math"/>
                            <w:sz w:val="24"/>
                            <w:szCs w:val="24"/>
                          </w:rPr>
                          <m:t>s</m:t>
                        </m:r>
                      </m:e>
                      <m:sup>
                        <m:r>
                          <m:rPr>
                            <m:sty m:val="bi"/>
                          </m:rPr>
                          <w:rPr>
                            <w:rFonts w:ascii="Cambria Math" w:hAnsi="Cambria Math"/>
                            <w:sz w:val="24"/>
                            <w:szCs w:val="24"/>
                          </w:rPr>
                          <m:t>oil</m:t>
                        </m:r>
                      </m:sup>
                    </m:sSup>
                  </m:sub>
                </m:sSub>
              </m:oMath>
            </m:oMathPara>
          </w:p>
        </w:tc>
        <w:tc>
          <w:tcPr>
            <w:tcW w:w="808" w:type="dxa"/>
            <w:tcBorders>
              <w:right w:val="single" w:sz="4" w:space="0" w:color="auto"/>
            </w:tcBorders>
          </w:tcPr>
          <w:p w14:paraId="2B37B8A7"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0.113</w:t>
            </w:r>
          </w:p>
        </w:tc>
        <w:tc>
          <w:tcPr>
            <w:tcW w:w="715" w:type="dxa"/>
            <w:gridSpan w:val="2"/>
            <w:tcBorders>
              <w:left w:val="single" w:sz="4" w:space="0" w:color="auto"/>
            </w:tcBorders>
          </w:tcPr>
          <w:p w14:paraId="13B39E0F"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6CC3728C"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0.065</w:t>
            </w:r>
          </w:p>
        </w:tc>
        <w:tc>
          <w:tcPr>
            <w:tcW w:w="722" w:type="dxa"/>
            <w:gridSpan w:val="3"/>
            <w:tcBorders>
              <w:left w:val="single" w:sz="4" w:space="0" w:color="auto"/>
            </w:tcBorders>
          </w:tcPr>
          <w:p w14:paraId="210E618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10" w:type="dxa"/>
            <w:tcBorders>
              <w:right w:val="single" w:sz="4" w:space="0" w:color="auto"/>
            </w:tcBorders>
          </w:tcPr>
          <w:p w14:paraId="3FC0CE9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.148</w:t>
            </w:r>
          </w:p>
        </w:tc>
        <w:tc>
          <w:tcPr>
            <w:tcW w:w="725" w:type="dxa"/>
            <w:gridSpan w:val="2"/>
            <w:tcBorders>
              <w:left w:val="single" w:sz="4" w:space="0" w:color="auto"/>
            </w:tcBorders>
          </w:tcPr>
          <w:p w14:paraId="62C14593"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2B96FB62"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0.150</w:t>
            </w:r>
          </w:p>
        </w:tc>
        <w:tc>
          <w:tcPr>
            <w:tcW w:w="807" w:type="dxa"/>
            <w:gridSpan w:val="2"/>
            <w:tcBorders>
              <w:left w:val="single" w:sz="4" w:space="0" w:color="auto"/>
            </w:tcBorders>
          </w:tcPr>
          <w:p w14:paraId="5A36B66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0000FC38"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0.272</w:t>
            </w:r>
          </w:p>
        </w:tc>
        <w:tc>
          <w:tcPr>
            <w:tcW w:w="687" w:type="dxa"/>
            <w:gridSpan w:val="4"/>
            <w:tcBorders>
              <w:left w:val="single" w:sz="4" w:space="0" w:color="auto"/>
            </w:tcBorders>
          </w:tcPr>
          <w:p w14:paraId="40D89F8D"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516DA855"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 xml:space="preserve"> 0.049</w:t>
            </w:r>
          </w:p>
        </w:tc>
        <w:tc>
          <w:tcPr>
            <w:tcW w:w="754" w:type="dxa"/>
            <w:gridSpan w:val="3"/>
            <w:tcBorders>
              <w:left w:val="single" w:sz="4" w:space="0" w:color="auto"/>
            </w:tcBorders>
          </w:tcPr>
          <w:p w14:paraId="76DFB0D9"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4194AE55" w14:textId="77777777" w:rsidTr="009A3B0B">
        <w:tc>
          <w:tcPr>
            <w:tcW w:w="1967" w:type="dxa"/>
            <w:gridSpan w:val="2"/>
            <w:tcBorders>
              <w:right w:val="single" w:sz="4" w:space="0" w:color="auto"/>
            </w:tcBorders>
          </w:tcPr>
          <w:p w14:paraId="056E1CE3"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b/>
                <w:color w:val="000000"/>
                <w:sz w:val="20"/>
                <w:szCs w:val="20"/>
              </w:rPr>
              <w:t>Variance Equation</w:t>
            </w:r>
          </w:p>
        </w:tc>
        <w:tc>
          <w:tcPr>
            <w:tcW w:w="1436" w:type="dxa"/>
            <w:gridSpan w:val="3"/>
            <w:tcBorders>
              <w:left w:val="single" w:sz="4" w:space="0" w:color="auto"/>
              <w:right w:val="single" w:sz="4" w:space="0" w:color="auto"/>
            </w:tcBorders>
          </w:tcPr>
          <w:p w14:paraId="6C56E656" w14:textId="77777777" w:rsidR="00047399" w:rsidRPr="00F238BF" w:rsidRDefault="00047399" w:rsidP="00DB5ABE">
            <w:pPr>
              <w:spacing w:after="0" w:line="240" w:lineRule="auto"/>
              <w:rPr>
                <w:rFonts w:ascii="Times New Roman" w:hAnsi="Times New Roman"/>
                <w:color w:val="000000"/>
                <w:sz w:val="20"/>
                <w:szCs w:val="20"/>
              </w:rPr>
            </w:pPr>
          </w:p>
        </w:tc>
        <w:tc>
          <w:tcPr>
            <w:tcW w:w="1532" w:type="dxa"/>
            <w:gridSpan w:val="4"/>
            <w:tcBorders>
              <w:left w:val="single" w:sz="4" w:space="0" w:color="auto"/>
              <w:right w:val="single" w:sz="4" w:space="0" w:color="auto"/>
            </w:tcBorders>
          </w:tcPr>
          <w:p w14:paraId="5CCF6215" w14:textId="77777777" w:rsidR="00047399" w:rsidRPr="00F238BF" w:rsidRDefault="00047399" w:rsidP="00DB5ABE">
            <w:pPr>
              <w:spacing w:after="0" w:line="240" w:lineRule="auto"/>
              <w:rPr>
                <w:rFonts w:ascii="Times New Roman" w:hAnsi="Times New Roman"/>
                <w:color w:val="000000"/>
                <w:sz w:val="20"/>
                <w:szCs w:val="20"/>
              </w:rPr>
            </w:pPr>
          </w:p>
        </w:tc>
        <w:tc>
          <w:tcPr>
            <w:tcW w:w="1545" w:type="dxa"/>
            <w:gridSpan w:val="3"/>
            <w:tcBorders>
              <w:left w:val="single" w:sz="4" w:space="0" w:color="auto"/>
              <w:right w:val="single" w:sz="4" w:space="0" w:color="auto"/>
            </w:tcBorders>
          </w:tcPr>
          <w:p w14:paraId="1AF2AEC0" w14:textId="77777777" w:rsidR="00047399" w:rsidRPr="00F238BF" w:rsidRDefault="00047399" w:rsidP="00DB5ABE">
            <w:pPr>
              <w:spacing w:after="0" w:line="240" w:lineRule="auto"/>
              <w:rPr>
                <w:rFonts w:ascii="Times New Roman" w:hAnsi="Times New Roman"/>
                <w:color w:val="000000"/>
                <w:sz w:val="20"/>
                <w:szCs w:val="20"/>
              </w:rPr>
            </w:pPr>
          </w:p>
        </w:tc>
        <w:tc>
          <w:tcPr>
            <w:tcW w:w="1610" w:type="dxa"/>
            <w:gridSpan w:val="5"/>
            <w:tcBorders>
              <w:left w:val="single" w:sz="4" w:space="0" w:color="auto"/>
              <w:right w:val="single" w:sz="4" w:space="0" w:color="auto"/>
            </w:tcBorders>
          </w:tcPr>
          <w:p w14:paraId="6B26BD89" w14:textId="77777777" w:rsidR="00047399" w:rsidRPr="00F238BF" w:rsidRDefault="00047399" w:rsidP="00DB5ABE">
            <w:pPr>
              <w:spacing w:after="0" w:line="240" w:lineRule="auto"/>
              <w:rPr>
                <w:rFonts w:ascii="Times New Roman" w:hAnsi="Times New Roman"/>
                <w:color w:val="000000"/>
                <w:sz w:val="20"/>
                <w:szCs w:val="20"/>
              </w:rPr>
            </w:pPr>
          </w:p>
        </w:tc>
        <w:tc>
          <w:tcPr>
            <w:tcW w:w="1530" w:type="dxa"/>
            <w:gridSpan w:val="4"/>
            <w:tcBorders>
              <w:left w:val="single" w:sz="4" w:space="0" w:color="auto"/>
              <w:right w:val="single" w:sz="4" w:space="0" w:color="auto"/>
            </w:tcBorders>
          </w:tcPr>
          <w:p w14:paraId="48421D0A" w14:textId="77777777" w:rsidR="00047399" w:rsidRPr="00F238BF" w:rsidRDefault="00047399" w:rsidP="00DB5ABE">
            <w:pPr>
              <w:spacing w:after="0" w:line="240" w:lineRule="auto"/>
              <w:rPr>
                <w:rFonts w:ascii="Times New Roman" w:hAnsi="Times New Roman"/>
                <w:color w:val="000000"/>
                <w:sz w:val="20"/>
                <w:szCs w:val="20"/>
              </w:rPr>
            </w:pPr>
          </w:p>
        </w:tc>
        <w:tc>
          <w:tcPr>
            <w:tcW w:w="754" w:type="dxa"/>
            <w:gridSpan w:val="3"/>
            <w:tcBorders>
              <w:left w:val="single" w:sz="4" w:space="0" w:color="auto"/>
            </w:tcBorders>
          </w:tcPr>
          <w:p w14:paraId="2B60F49B"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2990C510" w14:textId="77777777" w:rsidTr="009A3B0B">
        <w:trPr>
          <w:gridAfter w:val="1"/>
          <w:wAfter w:w="17" w:type="dxa"/>
        </w:trPr>
        <w:tc>
          <w:tcPr>
            <w:tcW w:w="1159" w:type="dxa"/>
          </w:tcPr>
          <w:p w14:paraId="7FF0CC6A"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ω</m:t>
                    </m:r>
                  </m:e>
                  <m:sub>
                    <m:r>
                      <w:rPr>
                        <w:rFonts w:ascii="Cambria Math" w:hAnsi="Cambria Math"/>
                        <w:color w:val="000000"/>
                        <w:sz w:val="24"/>
                        <w:szCs w:val="24"/>
                      </w:rPr>
                      <m:t>oil</m:t>
                    </m:r>
                  </m:sub>
                </m:sSub>
              </m:oMath>
            </m:oMathPara>
          </w:p>
        </w:tc>
        <w:tc>
          <w:tcPr>
            <w:tcW w:w="808" w:type="dxa"/>
            <w:tcBorders>
              <w:right w:val="single" w:sz="4" w:space="0" w:color="auto"/>
            </w:tcBorders>
          </w:tcPr>
          <w:p w14:paraId="53DF0108"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715" w:type="dxa"/>
            <w:gridSpan w:val="2"/>
            <w:tcBorders>
              <w:left w:val="single" w:sz="4" w:space="0" w:color="auto"/>
            </w:tcBorders>
          </w:tcPr>
          <w:p w14:paraId="2D3779EE"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0.099</w:t>
            </w:r>
          </w:p>
        </w:tc>
        <w:tc>
          <w:tcPr>
            <w:tcW w:w="721" w:type="dxa"/>
            <w:tcBorders>
              <w:right w:val="single" w:sz="4" w:space="0" w:color="auto"/>
            </w:tcBorders>
          </w:tcPr>
          <w:p w14:paraId="444D7A20"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680" w:type="dxa"/>
            <w:gridSpan w:val="2"/>
            <w:tcBorders>
              <w:left w:val="single" w:sz="4" w:space="0" w:color="auto"/>
            </w:tcBorders>
          </w:tcPr>
          <w:p w14:paraId="6B52EF38"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0.091</w:t>
            </w:r>
          </w:p>
        </w:tc>
        <w:tc>
          <w:tcPr>
            <w:tcW w:w="852" w:type="dxa"/>
            <w:gridSpan w:val="2"/>
            <w:tcBorders>
              <w:right w:val="single" w:sz="4" w:space="0" w:color="auto"/>
            </w:tcBorders>
          </w:tcPr>
          <w:p w14:paraId="67B03020"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w:t>
            </w:r>
            <w:r>
              <w:rPr>
                <w:rFonts w:ascii="Times New Roman" w:hAnsi="Times New Roman"/>
                <w:color w:val="000000"/>
                <w:sz w:val="20"/>
                <w:szCs w:val="20"/>
              </w:rPr>
              <w:t>.000</w:t>
            </w:r>
          </w:p>
        </w:tc>
        <w:tc>
          <w:tcPr>
            <w:tcW w:w="725" w:type="dxa"/>
            <w:gridSpan w:val="2"/>
            <w:tcBorders>
              <w:left w:val="single" w:sz="4" w:space="0" w:color="auto"/>
            </w:tcBorders>
          </w:tcPr>
          <w:p w14:paraId="6D333455"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0.066</w:t>
            </w:r>
          </w:p>
        </w:tc>
        <w:tc>
          <w:tcPr>
            <w:tcW w:w="820" w:type="dxa"/>
            <w:tcBorders>
              <w:right w:val="single" w:sz="4" w:space="0" w:color="auto"/>
            </w:tcBorders>
          </w:tcPr>
          <w:p w14:paraId="606B929E"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807" w:type="dxa"/>
            <w:gridSpan w:val="2"/>
            <w:tcBorders>
              <w:left w:val="single" w:sz="4" w:space="0" w:color="auto"/>
            </w:tcBorders>
          </w:tcPr>
          <w:p w14:paraId="19E4AD6A"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0.089</w:t>
            </w:r>
          </w:p>
        </w:tc>
        <w:tc>
          <w:tcPr>
            <w:tcW w:w="778" w:type="dxa"/>
            <w:tcBorders>
              <w:right w:val="single" w:sz="4" w:space="0" w:color="auto"/>
            </w:tcBorders>
          </w:tcPr>
          <w:p w14:paraId="74DD7234"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687" w:type="dxa"/>
            <w:gridSpan w:val="4"/>
            <w:tcBorders>
              <w:left w:val="single" w:sz="4" w:space="0" w:color="auto"/>
            </w:tcBorders>
          </w:tcPr>
          <w:p w14:paraId="6E7325A8"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0.811</w:t>
            </w:r>
          </w:p>
        </w:tc>
        <w:tc>
          <w:tcPr>
            <w:tcW w:w="851" w:type="dxa"/>
            <w:tcBorders>
              <w:right w:val="single" w:sz="4" w:space="0" w:color="auto"/>
            </w:tcBorders>
          </w:tcPr>
          <w:p w14:paraId="5278861B"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8</w:t>
            </w:r>
            <w:r>
              <w:rPr>
                <w:rFonts w:ascii="Times New Roman" w:hAnsi="Times New Roman"/>
                <w:color w:val="000000"/>
                <w:sz w:val="20"/>
                <w:szCs w:val="20"/>
              </w:rPr>
              <w:t>.056</w:t>
            </w:r>
          </w:p>
        </w:tc>
        <w:tc>
          <w:tcPr>
            <w:tcW w:w="754" w:type="dxa"/>
            <w:gridSpan w:val="3"/>
            <w:tcBorders>
              <w:left w:val="single" w:sz="4" w:space="0" w:color="auto"/>
            </w:tcBorders>
          </w:tcPr>
          <w:p w14:paraId="74BD9F2F"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0.176</w:t>
            </w:r>
          </w:p>
        </w:tc>
      </w:tr>
      <w:tr w:rsidR="00047399" w:rsidRPr="00F238BF" w14:paraId="42FE49AC" w14:textId="77777777" w:rsidTr="009A3B0B">
        <w:trPr>
          <w:gridAfter w:val="1"/>
          <w:wAfter w:w="17" w:type="dxa"/>
        </w:trPr>
        <w:tc>
          <w:tcPr>
            <w:tcW w:w="1159" w:type="dxa"/>
          </w:tcPr>
          <w:p w14:paraId="31E4BB60"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ω</m:t>
                    </m:r>
                  </m:e>
                  <m:sub>
                    <m:r>
                      <w:rPr>
                        <w:rFonts w:ascii="Cambria Math" w:hAnsi="Cambria Math"/>
                        <w:color w:val="000000"/>
                        <w:sz w:val="24"/>
                        <w:szCs w:val="24"/>
                      </w:rPr>
                      <m:t>s</m:t>
                    </m:r>
                  </m:sub>
                </m:sSub>
              </m:oMath>
            </m:oMathPara>
          </w:p>
        </w:tc>
        <w:tc>
          <w:tcPr>
            <w:tcW w:w="808" w:type="dxa"/>
            <w:tcBorders>
              <w:right w:val="single" w:sz="4" w:space="0" w:color="auto"/>
            </w:tcBorders>
          </w:tcPr>
          <w:p w14:paraId="2EF50D12"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715" w:type="dxa"/>
            <w:gridSpan w:val="2"/>
            <w:tcBorders>
              <w:left w:val="single" w:sz="4" w:space="0" w:color="auto"/>
            </w:tcBorders>
          </w:tcPr>
          <w:p w14:paraId="0A03320D"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0.100</w:t>
            </w:r>
          </w:p>
        </w:tc>
        <w:tc>
          <w:tcPr>
            <w:tcW w:w="721" w:type="dxa"/>
            <w:tcBorders>
              <w:right w:val="single" w:sz="4" w:space="0" w:color="auto"/>
            </w:tcBorders>
          </w:tcPr>
          <w:p w14:paraId="37A3CD4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680" w:type="dxa"/>
            <w:gridSpan w:val="2"/>
            <w:tcBorders>
              <w:left w:val="single" w:sz="4" w:space="0" w:color="auto"/>
            </w:tcBorders>
          </w:tcPr>
          <w:p w14:paraId="2206EB3F"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0.100</w:t>
            </w:r>
          </w:p>
        </w:tc>
        <w:tc>
          <w:tcPr>
            <w:tcW w:w="852" w:type="dxa"/>
            <w:gridSpan w:val="2"/>
            <w:tcBorders>
              <w:right w:val="single" w:sz="4" w:space="0" w:color="auto"/>
            </w:tcBorders>
          </w:tcPr>
          <w:p w14:paraId="7E7B8A2D"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w:t>
            </w:r>
            <w:r>
              <w:rPr>
                <w:rFonts w:ascii="Times New Roman" w:hAnsi="Times New Roman"/>
                <w:color w:val="000000"/>
                <w:sz w:val="20"/>
                <w:szCs w:val="20"/>
              </w:rPr>
              <w:t>.000</w:t>
            </w:r>
          </w:p>
        </w:tc>
        <w:tc>
          <w:tcPr>
            <w:tcW w:w="725" w:type="dxa"/>
            <w:gridSpan w:val="2"/>
            <w:tcBorders>
              <w:left w:val="single" w:sz="4" w:space="0" w:color="auto"/>
            </w:tcBorders>
          </w:tcPr>
          <w:p w14:paraId="6470ECB0"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0.075</w:t>
            </w:r>
          </w:p>
        </w:tc>
        <w:tc>
          <w:tcPr>
            <w:tcW w:w="820" w:type="dxa"/>
            <w:tcBorders>
              <w:right w:val="single" w:sz="4" w:space="0" w:color="auto"/>
            </w:tcBorders>
          </w:tcPr>
          <w:p w14:paraId="5B34FE04"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807" w:type="dxa"/>
            <w:gridSpan w:val="2"/>
            <w:tcBorders>
              <w:left w:val="single" w:sz="4" w:space="0" w:color="auto"/>
            </w:tcBorders>
          </w:tcPr>
          <w:p w14:paraId="1B01D6BE"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0.116</w:t>
            </w:r>
          </w:p>
        </w:tc>
        <w:tc>
          <w:tcPr>
            <w:tcW w:w="778" w:type="dxa"/>
            <w:tcBorders>
              <w:right w:val="single" w:sz="4" w:space="0" w:color="auto"/>
            </w:tcBorders>
          </w:tcPr>
          <w:p w14:paraId="3097F118"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687" w:type="dxa"/>
            <w:gridSpan w:val="4"/>
            <w:tcBorders>
              <w:left w:val="single" w:sz="4" w:space="0" w:color="auto"/>
            </w:tcBorders>
          </w:tcPr>
          <w:p w14:paraId="5008F6CA"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0.916</w:t>
            </w:r>
          </w:p>
        </w:tc>
        <w:tc>
          <w:tcPr>
            <w:tcW w:w="851" w:type="dxa"/>
            <w:tcBorders>
              <w:right w:val="single" w:sz="4" w:space="0" w:color="auto"/>
            </w:tcBorders>
          </w:tcPr>
          <w:p w14:paraId="02F091C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1</w:t>
            </w:r>
            <w:r>
              <w:rPr>
                <w:rFonts w:ascii="Times New Roman" w:hAnsi="Times New Roman"/>
                <w:color w:val="000000"/>
                <w:sz w:val="20"/>
                <w:szCs w:val="20"/>
              </w:rPr>
              <w:t>.644</w:t>
            </w:r>
          </w:p>
        </w:tc>
        <w:tc>
          <w:tcPr>
            <w:tcW w:w="754" w:type="dxa"/>
            <w:gridSpan w:val="3"/>
            <w:tcBorders>
              <w:left w:val="single" w:sz="4" w:space="0" w:color="auto"/>
            </w:tcBorders>
          </w:tcPr>
          <w:p w14:paraId="621461F1"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0.086</w:t>
            </w:r>
          </w:p>
        </w:tc>
      </w:tr>
      <w:tr w:rsidR="00047399" w:rsidRPr="00F238BF" w14:paraId="2E0B0F86" w14:textId="77777777" w:rsidTr="009A3B0B">
        <w:trPr>
          <w:gridAfter w:val="1"/>
          <w:wAfter w:w="17" w:type="dxa"/>
        </w:trPr>
        <w:tc>
          <w:tcPr>
            <w:tcW w:w="1159" w:type="dxa"/>
          </w:tcPr>
          <w:p w14:paraId="305D2447"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r>
                      <w:rPr>
                        <w:rFonts w:ascii="Cambria Math" w:hAnsi="Cambria Math"/>
                        <w:color w:val="000000"/>
                        <w:sz w:val="24"/>
                        <w:szCs w:val="24"/>
                      </w:rPr>
                      <m:t>oil</m:t>
                    </m:r>
                  </m:sub>
                </m:sSub>
              </m:oMath>
            </m:oMathPara>
          </w:p>
        </w:tc>
        <w:tc>
          <w:tcPr>
            <w:tcW w:w="808" w:type="dxa"/>
            <w:tcBorders>
              <w:right w:val="single" w:sz="4" w:space="0" w:color="auto"/>
            </w:tcBorders>
          </w:tcPr>
          <w:p w14:paraId="004574A4"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0.033</w:t>
            </w:r>
          </w:p>
        </w:tc>
        <w:tc>
          <w:tcPr>
            <w:tcW w:w="715" w:type="dxa"/>
            <w:gridSpan w:val="2"/>
            <w:tcBorders>
              <w:left w:val="single" w:sz="4" w:space="0" w:color="auto"/>
            </w:tcBorders>
          </w:tcPr>
          <w:p w14:paraId="03985794"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06646B63"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0.100</w:t>
            </w:r>
          </w:p>
        </w:tc>
        <w:tc>
          <w:tcPr>
            <w:tcW w:w="680" w:type="dxa"/>
            <w:gridSpan w:val="2"/>
            <w:tcBorders>
              <w:left w:val="single" w:sz="4" w:space="0" w:color="auto"/>
            </w:tcBorders>
          </w:tcPr>
          <w:p w14:paraId="557873AA"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08FA2B5A"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.014</w:t>
            </w:r>
          </w:p>
        </w:tc>
        <w:tc>
          <w:tcPr>
            <w:tcW w:w="725" w:type="dxa"/>
            <w:gridSpan w:val="2"/>
            <w:tcBorders>
              <w:left w:val="single" w:sz="4" w:space="0" w:color="auto"/>
            </w:tcBorders>
          </w:tcPr>
          <w:p w14:paraId="005DD252"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2A5A573A"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0.110</w:t>
            </w:r>
          </w:p>
        </w:tc>
        <w:tc>
          <w:tcPr>
            <w:tcW w:w="807" w:type="dxa"/>
            <w:gridSpan w:val="2"/>
            <w:tcBorders>
              <w:left w:val="single" w:sz="4" w:space="0" w:color="auto"/>
            </w:tcBorders>
          </w:tcPr>
          <w:p w14:paraId="66D111D4"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7DA5DE5C"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0.108</w:t>
            </w:r>
          </w:p>
        </w:tc>
        <w:tc>
          <w:tcPr>
            <w:tcW w:w="687" w:type="dxa"/>
            <w:gridSpan w:val="4"/>
            <w:tcBorders>
              <w:left w:val="single" w:sz="4" w:space="0" w:color="auto"/>
            </w:tcBorders>
          </w:tcPr>
          <w:p w14:paraId="5F506249"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29D775E5"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.107</w:t>
            </w:r>
          </w:p>
        </w:tc>
        <w:tc>
          <w:tcPr>
            <w:tcW w:w="754" w:type="dxa"/>
            <w:gridSpan w:val="3"/>
            <w:tcBorders>
              <w:left w:val="single" w:sz="4" w:space="0" w:color="auto"/>
            </w:tcBorders>
          </w:tcPr>
          <w:p w14:paraId="49D290D5"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06AB2C08" w14:textId="77777777" w:rsidTr="009A3B0B">
        <w:trPr>
          <w:gridAfter w:val="1"/>
          <w:wAfter w:w="17" w:type="dxa"/>
        </w:trPr>
        <w:tc>
          <w:tcPr>
            <w:tcW w:w="1159" w:type="dxa"/>
          </w:tcPr>
          <w:p w14:paraId="795F60D7"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r>
                      <w:rPr>
                        <w:rFonts w:ascii="Cambria Math" w:hAnsi="Cambria Math"/>
                        <w:color w:val="000000"/>
                        <w:sz w:val="24"/>
                        <w:szCs w:val="24"/>
                      </w:rPr>
                      <m:t>s</m:t>
                    </m:r>
                  </m:sub>
                </m:sSub>
              </m:oMath>
            </m:oMathPara>
          </w:p>
        </w:tc>
        <w:tc>
          <w:tcPr>
            <w:tcW w:w="808" w:type="dxa"/>
            <w:tcBorders>
              <w:right w:val="single" w:sz="4" w:space="0" w:color="auto"/>
            </w:tcBorders>
          </w:tcPr>
          <w:p w14:paraId="5B131E27"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0.911</w:t>
            </w:r>
          </w:p>
        </w:tc>
        <w:tc>
          <w:tcPr>
            <w:tcW w:w="715" w:type="dxa"/>
            <w:gridSpan w:val="2"/>
            <w:tcBorders>
              <w:left w:val="single" w:sz="4" w:space="0" w:color="auto"/>
            </w:tcBorders>
          </w:tcPr>
          <w:p w14:paraId="0778965D"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382D193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0.135</w:t>
            </w:r>
          </w:p>
        </w:tc>
        <w:tc>
          <w:tcPr>
            <w:tcW w:w="680" w:type="dxa"/>
            <w:gridSpan w:val="2"/>
            <w:tcBorders>
              <w:left w:val="single" w:sz="4" w:space="0" w:color="auto"/>
            </w:tcBorders>
          </w:tcPr>
          <w:p w14:paraId="352E46DA"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4B60DF2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.217</w:t>
            </w:r>
          </w:p>
        </w:tc>
        <w:tc>
          <w:tcPr>
            <w:tcW w:w="725" w:type="dxa"/>
            <w:gridSpan w:val="2"/>
            <w:tcBorders>
              <w:left w:val="single" w:sz="4" w:space="0" w:color="auto"/>
            </w:tcBorders>
          </w:tcPr>
          <w:p w14:paraId="5E5EB436"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723466E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0.116</w:t>
            </w:r>
          </w:p>
        </w:tc>
        <w:tc>
          <w:tcPr>
            <w:tcW w:w="807" w:type="dxa"/>
            <w:gridSpan w:val="2"/>
            <w:tcBorders>
              <w:left w:val="single" w:sz="4" w:space="0" w:color="auto"/>
            </w:tcBorders>
          </w:tcPr>
          <w:p w14:paraId="5F5CFD0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0D646757"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0.126</w:t>
            </w:r>
          </w:p>
        </w:tc>
        <w:tc>
          <w:tcPr>
            <w:tcW w:w="687" w:type="dxa"/>
            <w:gridSpan w:val="4"/>
            <w:tcBorders>
              <w:left w:val="single" w:sz="4" w:space="0" w:color="auto"/>
            </w:tcBorders>
          </w:tcPr>
          <w:p w14:paraId="5FDD2E00"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433A9516"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.081</w:t>
            </w:r>
          </w:p>
        </w:tc>
        <w:tc>
          <w:tcPr>
            <w:tcW w:w="754" w:type="dxa"/>
            <w:gridSpan w:val="3"/>
            <w:tcBorders>
              <w:left w:val="single" w:sz="4" w:space="0" w:color="auto"/>
            </w:tcBorders>
          </w:tcPr>
          <w:p w14:paraId="397633BA"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2E958E98" w14:textId="77777777" w:rsidTr="009A3B0B">
        <w:trPr>
          <w:gridAfter w:val="1"/>
          <w:wAfter w:w="17" w:type="dxa"/>
        </w:trPr>
        <w:tc>
          <w:tcPr>
            <w:tcW w:w="1159" w:type="dxa"/>
          </w:tcPr>
          <w:p w14:paraId="6FC4F0FE"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sSup>
                      <m:sSupPr>
                        <m:ctrlPr>
                          <w:rPr>
                            <w:rFonts w:ascii="Cambria Math" w:hAnsi="Times New Roman"/>
                            <w:i/>
                            <w:color w:val="000000"/>
                            <w:sz w:val="24"/>
                            <w:szCs w:val="24"/>
                          </w:rPr>
                        </m:ctrlPr>
                      </m:sSupPr>
                      <m:e>
                        <m:r>
                          <w:rPr>
                            <w:rFonts w:ascii="Cambria Math" w:hAnsi="Cambria Math"/>
                            <w:color w:val="000000"/>
                            <w:sz w:val="24"/>
                            <w:szCs w:val="24"/>
                          </w:rPr>
                          <m:t>oil</m:t>
                        </m:r>
                      </m:e>
                      <m:sup>
                        <m:r>
                          <w:rPr>
                            <w:rFonts w:ascii="Cambria Math" w:hAnsi="Cambria Math"/>
                            <w:color w:val="000000"/>
                            <w:sz w:val="24"/>
                            <w:szCs w:val="24"/>
                          </w:rPr>
                          <m:t>s</m:t>
                        </m:r>
                      </m:sup>
                    </m:sSup>
                  </m:sub>
                </m:sSub>
              </m:oMath>
            </m:oMathPara>
          </w:p>
        </w:tc>
        <w:tc>
          <w:tcPr>
            <w:tcW w:w="808" w:type="dxa"/>
            <w:tcBorders>
              <w:right w:val="single" w:sz="4" w:space="0" w:color="auto"/>
            </w:tcBorders>
          </w:tcPr>
          <w:p w14:paraId="715E220D"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0.029</w:t>
            </w:r>
          </w:p>
        </w:tc>
        <w:tc>
          <w:tcPr>
            <w:tcW w:w="715" w:type="dxa"/>
            <w:gridSpan w:val="2"/>
            <w:tcBorders>
              <w:left w:val="single" w:sz="4" w:space="0" w:color="auto"/>
            </w:tcBorders>
          </w:tcPr>
          <w:p w14:paraId="434D4E93"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07CC2F01"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0.033</w:t>
            </w:r>
          </w:p>
        </w:tc>
        <w:tc>
          <w:tcPr>
            <w:tcW w:w="680" w:type="dxa"/>
            <w:gridSpan w:val="2"/>
            <w:tcBorders>
              <w:left w:val="single" w:sz="4" w:space="0" w:color="auto"/>
            </w:tcBorders>
          </w:tcPr>
          <w:p w14:paraId="3F33E56C"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44F53295"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.021</w:t>
            </w:r>
          </w:p>
        </w:tc>
        <w:tc>
          <w:tcPr>
            <w:tcW w:w="725" w:type="dxa"/>
            <w:gridSpan w:val="2"/>
            <w:tcBorders>
              <w:left w:val="single" w:sz="4" w:space="0" w:color="auto"/>
            </w:tcBorders>
          </w:tcPr>
          <w:p w14:paraId="0DA24983"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25EACFBA"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-0.007</w:t>
            </w:r>
          </w:p>
        </w:tc>
        <w:tc>
          <w:tcPr>
            <w:tcW w:w="807" w:type="dxa"/>
            <w:gridSpan w:val="2"/>
            <w:tcBorders>
              <w:left w:val="single" w:sz="4" w:space="0" w:color="auto"/>
            </w:tcBorders>
          </w:tcPr>
          <w:p w14:paraId="3C2FE1B2"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0.175</w:t>
            </w:r>
          </w:p>
        </w:tc>
        <w:tc>
          <w:tcPr>
            <w:tcW w:w="778" w:type="dxa"/>
            <w:tcBorders>
              <w:right w:val="single" w:sz="4" w:space="0" w:color="auto"/>
            </w:tcBorders>
          </w:tcPr>
          <w:p w14:paraId="13F23C5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-0.003</w:t>
            </w:r>
          </w:p>
        </w:tc>
        <w:tc>
          <w:tcPr>
            <w:tcW w:w="687" w:type="dxa"/>
            <w:gridSpan w:val="4"/>
            <w:tcBorders>
              <w:left w:val="single" w:sz="4" w:space="0" w:color="auto"/>
            </w:tcBorders>
          </w:tcPr>
          <w:p w14:paraId="4F0089F3"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62B914A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-6.995</w:t>
            </w:r>
          </w:p>
        </w:tc>
        <w:tc>
          <w:tcPr>
            <w:tcW w:w="754" w:type="dxa"/>
            <w:gridSpan w:val="3"/>
            <w:tcBorders>
              <w:left w:val="single" w:sz="4" w:space="0" w:color="auto"/>
            </w:tcBorders>
          </w:tcPr>
          <w:p w14:paraId="715A41A7"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0.071</w:t>
            </w:r>
          </w:p>
        </w:tc>
      </w:tr>
      <w:tr w:rsidR="00047399" w:rsidRPr="00F238BF" w14:paraId="13ACC2CE" w14:textId="77777777" w:rsidTr="009A3B0B">
        <w:trPr>
          <w:gridAfter w:val="1"/>
          <w:wAfter w:w="17" w:type="dxa"/>
        </w:trPr>
        <w:tc>
          <w:tcPr>
            <w:tcW w:w="1159" w:type="dxa"/>
          </w:tcPr>
          <w:p w14:paraId="3A8C187D"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sSup>
                      <m:sSupPr>
                        <m:ctrlPr>
                          <w:rPr>
                            <w:rFonts w:ascii="Cambria Math" w:hAnsi="Times New Roman"/>
                            <w:i/>
                            <w:color w:val="000000"/>
                            <w:sz w:val="24"/>
                            <w:szCs w:val="24"/>
                          </w:rPr>
                        </m:ctrlPr>
                      </m:sSupPr>
                      <m:e>
                        <m:r>
                          <w:rPr>
                            <w:rFonts w:ascii="Cambria Math" w:hAnsi="Cambria Math"/>
                            <w:color w:val="000000"/>
                            <w:sz w:val="24"/>
                            <w:szCs w:val="24"/>
                          </w:rPr>
                          <m:t>s</m:t>
                        </m:r>
                      </m:e>
                      <m:sup>
                        <m:r>
                          <w:rPr>
                            <w:rFonts w:ascii="Cambria Math" w:hAnsi="Cambria Math"/>
                            <w:color w:val="000000"/>
                            <w:sz w:val="24"/>
                            <w:szCs w:val="24"/>
                          </w:rPr>
                          <m:t>oil</m:t>
                        </m:r>
                      </m:sup>
                    </m:sSup>
                  </m:sub>
                </m:sSub>
              </m:oMath>
            </m:oMathPara>
          </w:p>
        </w:tc>
        <w:tc>
          <w:tcPr>
            <w:tcW w:w="808" w:type="dxa"/>
            <w:tcBorders>
              <w:right w:val="single" w:sz="4" w:space="0" w:color="auto"/>
            </w:tcBorders>
          </w:tcPr>
          <w:p w14:paraId="2B9440E3"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0.290</w:t>
            </w:r>
          </w:p>
        </w:tc>
        <w:tc>
          <w:tcPr>
            <w:tcW w:w="715" w:type="dxa"/>
            <w:gridSpan w:val="2"/>
            <w:tcBorders>
              <w:left w:val="single" w:sz="4" w:space="0" w:color="auto"/>
            </w:tcBorders>
          </w:tcPr>
          <w:p w14:paraId="718A1742"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59AB342A"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0.045</w:t>
            </w:r>
          </w:p>
        </w:tc>
        <w:tc>
          <w:tcPr>
            <w:tcW w:w="680" w:type="dxa"/>
            <w:gridSpan w:val="2"/>
            <w:tcBorders>
              <w:left w:val="single" w:sz="4" w:space="0" w:color="auto"/>
            </w:tcBorders>
          </w:tcPr>
          <w:p w14:paraId="17FD0C65"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61D1501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.108</w:t>
            </w:r>
          </w:p>
        </w:tc>
        <w:tc>
          <w:tcPr>
            <w:tcW w:w="725" w:type="dxa"/>
            <w:gridSpan w:val="2"/>
            <w:tcBorders>
              <w:left w:val="single" w:sz="4" w:space="0" w:color="auto"/>
            </w:tcBorders>
          </w:tcPr>
          <w:p w14:paraId="35F959B1"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39F2BA03"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0.002</w:t>
            </w:r>
          </w:p>
        </w:tc>
        <w:tc>
          <w:tcPr>
            <w:tcW w:w="807" w:type="dxa"/>
            <w:gridSpan w:val="2"/>
            <w:tcBorders>
              <w:left w:val="single" w:sz="4" w:space="0" w:color="auto"/>
            </w:tcBorders>
          </w:tcPr>
          <w:p w14:paraId="2FD6CF58"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5EDD3D08"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0.010</w:t>
            </w:r>
          </w:p>
        </w:tc>
        <w:tc>
          <w:tcPr>
            <w:tcW w:w="687" w:type="dxa"/>
            <w:gridSpan w:val="4"/>
            <w:tcBorders>
              <w:left w:val="single" w:sz="4" w:space="0" w:color="auto"/>
            </w:tcBorders>
          </w:tcPr>
          <w:p w14:paraId="687B427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5BB25C12"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.020</w:t>
            </w:r>
          </w:p>
        </w:tc>
        <w:tc>
          <w:tcPr>
            <w:tcW w:w="754" w:type="dxa"/>
            <w:gridSpan w:val="3"/>
            <w:tcBorders>
              <w:left w:val="single" w:sz="4" w:space="0" w:color="auto"/>
            </w:tcBorders>
          </w:tcPr>
          <w:p w14:paraId="64831440"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7E214347" w14:textId="77777777" w:rsidTr="009A3B0B">
        <w:trPr>
          <w:gridAfter w:val="1"/>
          <w:wAfter w:w="17" w:type="dxa"/>
        </w:trPr>
        <w:tc>
          <w:tcPr>
            <w:tcW w:w="1159" w:type="dxa"/>
          </w:tcPr>
          <w:p w14:paraId="65BA0D5C"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r>
                      <w:rPr>
                        <w:rFonts w:ascii="Cambria Math" w:hAnsi="Cambria Math"/>
                        <w:color w:val="000000"/>
                        <w:sz w:val="24"/>
                        <w:szCs w:val="24"/>
                      </w:rPr>
                      <m:t>oil</m:t>
                    </m:r>
                  </m:sub>
                </m:sSub>
              </m:oMath>
            </m:oMathPara>
          </w:p>
        </w:tc>
        <w:tc>
          <w:tcPr>
            <w:tcW w:w="808" w:type="dxa"/>
            <w:tcBorders>
              <w:right w:val="single" w:sz="4" w:space="0" w:color="auto"/>
            </w:tcBorders>
          </w:tcPr>
          <w:p w14:paraId="2D9F68ED"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0.893</w:t>
            </w:r>
          </w:p>
        </w:tc>
        <w:tc>
          <w:tcPr>
            <w:tcW w:w="715" w:type="dxa"/>
            <w:gridSpan w:val="2"/>
            <w:tcBorders>
              <w:left w:val="single" w:sz="4" w:space="0" w:color="auto"/>
            </w:tcBorders>
          </w:tcPr>
          <w:p w14:paraId="57891228"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408A5C0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0.846</w:t>
            </w:r>
          </w:p>
        </w:tc>
        <w:tc>
          <w:tcPr>
            <w:tcW w:w="680" w:type="dxa"/>
            <w:gridSpan w:val="2"/>
            <w:tcBorders>
              <w:left w:val="single" w:sz="4" w:space="0" w:color="auto"/>
            </w:tcBorders>
          </w:tcPr>
          <w:p w14:paraId="16F8532E"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4F9BC3C2"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.898</w:t>
            </w:r>
          </w:p>
        </w:tc>
        <w:tc>
          <w:tcPr>
            <w:tcW w:w="725" w:type="dxa"/>
            <w:gridSpan w:val="2"/>
            <w:tcBorders>
              <w:left w:val="single" w:sz="4" w:space="0" w:color="auto"/>
            </w:tcBorders>
          </w:tcPr>
          <w:p w14:paraId="25B1BE39"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2EDB54E5"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0.686</w:t>
            </w:r>
          </w:p>
        </w:tc>
        <w:tc>
          <w:tcPr>
            <w:tcW w:w="807" w:type="dxa"/>
            <w:gridSpan w:val="2"/>
            <w:tcBorders>
              <w:left w:val="single" w:sz="4" w:space="0" w:color="auto"/>
            </w:tcBorders>
          </w:tcPr>
          <w:p w14:paraId="2F5493E8"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5ABB0665"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0.885</w:t>
            </w:r>
          </w:p>
        </w:tc>
        <w:tc>
          <w:tcPr>
            <w:tcW w:w="687" w:type="dxa"/>
            <w:gridSpan w:val="4"/>
            <w:tcBorders>
              <w:left w:val="single" w:sz="4" w:space="0" w:color="auto"/>
            </w:tcBorders>
          </w:tcPr>
          <w:p w14:paraId="53F125BC"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65417D5A"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.879</w:t>
            </w:r>
          </w:p>
        </w:tc>
        <w:tc>
          <w:tcPr>
            <w:tcW w:w="754" w:type="dxa"/>
            <w:gridSpan w:val="3"/>
            <w:tcBorders>
              <w:left w:val="single" w:sz="4" w:space="0" w:color="auto"/>
            </w:tcBorders>
          </w:tcPr>
          <w:p w14:paraId="1C72E0A8"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395927B4" w14:textId="77777777" w:rsidTr="009A3B0B">
        <w:trPr>
          <w:gridAfter w:val="1"/>
          <w:wAfter w:w="17" w:type="dxa"/>
        </w:trPr>
        <w:tc>
          <w:tcPr>
            <w:tcW w:w="1159" w:type="dxa"/>
          </w:tcPr>
          <w:p w14:paraId="5D1EE81D"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r>
                      <w:rPr>
                        <w:rFonts w:ascii="Cambria Math" w:hAnsi="Cambria Math"/>
                        <w:color w:val="000000"/>
                        <w:sz w:val="24"/>
                        <w:szCs w:val="24"/>
                      </w:rPr>
                      <m:t>s</m:t>
                    </m:r>
                  </m:sub>
                </m:sSub>
              </m:oMath>
            </m:oMathPara>
          </w:p>
        </w:tc>
        <w:tc>
          <w:tcPr>
            <w:tcW w:w="808" w:type="dxa"/>
            <w:tcBorders>
              <w:right w:val="single" w:sz="4" w:space="0" w:color="auto"/>
            </w:tcBorders>
          </w:tcPr>
          <w:p w14:paraId="05BB7AFA"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0.045</w:t>
            </w:r>
          </w:p>
        </w:tc>
        <w:tc>
          <w:tcPr>
            <w:tcW w:w="715" w:type="dxa"/>
            <w:gridSpan w:val="2"/>
            <w:tcBorders>
              <w:left w:val="single" w:sz="4" w:space="0" w:color="auto"/>
            </w:tcBorders>
          </w:tcPr>
          <w:p w14:paraId="04698584"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5F33D15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0.365</w:t>
            </w:r>
          </w:p>
        </w:tc>
        <w:tc>
          <w:tcPr>
            <w:tcW w:w="680" w:type="dxa"/>
            <w:gridSpan w:val="2"/>
            <w:tcBorders>
              <w:left w:val="single" w:sz="4" w:space="0" w:color="auto"/>
            </w:tcBorders>
          </w:tcPr>
          <w:p w14:paraId="61F42118"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6DA69206"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.406</w:t>
            </w:r>
          </w:p>
        </w:tc>
        <w:tc>
          <w:tcPr>
            <w:tcW w:w="725" w:type="dxa"/>
            <w:gridSpan w:val="2"/>
            <w:tcBorders>
              <w:left w:val="single" w:sz="4" w:space="0" w:color="auto"/>
            </w:tcBorders>
          </w:tcPr>
          <w:p w14:paraId="2A3CD722"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7B15FD01"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0.221</w:t>
            </w:r>
          </w:p>
        </w:tc>
        <w:tc>
          <w:tcPr>
            <w:tcW w:w="807" w:type="dxa"/>
            <w:gridSpan w:val="2"/>
            <w:tcBorders>
              <w:left w:val="single" w:sz="4" w:space="0" w:color="auto"/>
            </w:tcBorders>
          </w:tcPr>
          <w:p w14:paraId="1597FE69"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0307BD1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-0.049</w:t>
            </w:r>
          </w:p>
        </w:tc>
        <w:tc>
          <w:tcPr>
            <w:tcW w:w="687" w:type="dxa"/>
            <w:gridSpan w:val="4"/>
            <w:tcBorders>
              <w:left w:val="single" w:sz="4" w:space="0" w:color="auto"/>
            </w:tcBorders>
          </w:tcPr>
          <w:p w14:paraId="5AEED980"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1" w:type="dxa"/>
            <w:tcBorders>
              <w:right w:val="single" w:sz="4" w:space="0" w:color="auto"/>
            </w:tcBorders>
          </w:tcPr>
          <w:p w14:paraId="181AE6C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.859</w:t>
            </w:r>
          </w:p>
        </w:tc>
        <w:tc>
          <w:tcPr>
            <w:tcW w:w="754" w:type="dxa"/>
            <w:gridSpan w:val="3"/>
            <w:tcBorders>
              <w:left w:val="single" w:sz="4" w:space="0" w:color="auto"/>
            </w:tcBorders>
          </w:tcPr>
          <w:p w14:paraId="5B146AFC"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765777DB" w14:textId="77777777" w:rsidTr="009A3B0B">
        <w:trPr>
          <w:gridAfter w:val="1"/>
          <w:wAfter w:w="17" w:type="dxa"/>
        </w:trPr>
        <w:tc>
          <w:tcPr>
            <w:tcW w:w="1159" w:type="dxa"/>
          </w:tcPr>
          <w:p w14:paraId="2C54FC48"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sSup>
                      <m:sSupPr>
                        <m:ctrlPr>
                          <w:rPr>
                            <w:rFonts w:ascii="Cambria Math" w:hAnsi="Times New Roman"/>
                            <w:i/>
                            <w:color w:val="000000"/>
                            <w:sz w:val="24"/>
                            <w:szCs w:val="24"/>
                          </w:rPr>
                        </m:ctrlPr>
                      </m:sSupPr>
                      <m:e>
                        <m:r>
                          <w:rPr>
                            <w:rFonts w:ascii="Cambria Math" w:hAnsi="Cambria Math"/>
                            <w:color w:val="000000"/>
                            <w:sz w:val="24"/>
                            <w:szCs w:val="24"/>
                          </w:rPr>
                          <m:t>oil</m:t>
                        </m:r>
                      </m:e>
                      <m:sup>
                        <m:r>
                          <w:rPr>
                            <w:rFonts w:ascii="Cambria Math" w:hAnsi="Cambria Math"/>
                            <w:color w:val="000000"/>
                            <w:sz w:val="24"/>
                            <w:szCs w:val="24"/>
                          </w:rPr>
                          <m:t>s</m:t>
                        </m:r>
                      </m:sup>
                    </m:sSup>
                  </m:sub>
                </m:sSub>
              </m:oMath>
            </m:oMathPara>
          </w:p>
        </w:tc>
        <w:tc>
          <w:tcPr>
            <w:tcW w:w="808" w:type="dxa"/>
            <w:tcBorders>
              <w:right w:val="single" w:sz="4" w:space="0" w:color="auto"/>
            </w:tcBorders>
          </w:tcPr>
          <w:p w14:paraId="535F3278"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0.064</w:t>
            </w:r>
          </w:p>
        </w:tc>
        <w:tc>
          <w:tcPr>
            <w:tcW w:w="715" w:type="dxa"/>
            <w:gridSpan w:val="2"/>
            <w:tcBorders>
              <w:left w:val="single" w:sz="4" w:space="0" w:color="auto"/>
            </w:tcBorders>
          </w:tcPr>
          <w:p w14:paraId="061FF70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1355257C"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5.794</w:t>
            </w:r>
          </w:p>
        </w:tc>
        <w:tc>
          <w:tcPr>
            <w:tcW w:w="680" w:type="dxa"/>
            <w:gridSpan w:val="2"/>
            <w:tcBorders>
              <w:left w:val="single" w:sz="4" w:space="0" w:color="auto"/>
            </w:tcBorders>
          </w:tcPr>
          <w:p w14:paraId="448BBA46"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3F75DA0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.700</w:t>
            </w:r>
          </w:p>
        </w:tc>
        <w:tc>
          <w:tcPr>
            <w:tcW w:w="725" w:type="dxa"/>
            <w:gridSpan w:val="2"/>
            <w:tcBorders>
              <w:left w:val="single" w:sz="4" w:space="0" w:color="auto"/>
            </w:tcBorders>
          </w:tcPr>
          <w:p w14:paraId="273B47FE"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2845AD3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23.429</w:t>
            </w:r>
          </w:p>
        </w:tc>
        <w:tc>
          <w:tcPr>
            <w:tcW w:w="807" w:type="dxa"/>
            <w:gridSpan w:val="2"/>
            <w:tcBorders>
              <w:left w:val="single" w:sz="4" w:space="0" w:color="auto"/>
            </w:tcBorders>
          </w:tcPr>
          <w:p w14:paraId="141418CA"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6207BB1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-0.098</w:t>
            </w:r>
          </w:p>
        </w:tc>
        <w:tc>
          <w:tcPr>
            <w:tcW w:w="687" w:type="dxa"/>
            <w:gridSpan w:val="4"/>
            <w:tcBorders>
              <w:left w:val="single" w:sz="4" w:space="0" w:color="auto"/>
            </w:tcBorders>
          </w:tcPr>
          <w:p w14:paraId="5DA287E0"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0.099</w:t>
            </w:r>
          </w:p>
        </w:tc>
        <w:tc>
          <w:tcPr>
            <w:tcW w:w="851" w:type="dxa"/>
            <w:tcBorders>
              <w:right w:val="single" w:sz="4" w:space="0" w:color="auto"/>
            </w:tcBorders>
          </w:tcPr>
          <w:p w14:paraId="3F4380A1"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.453</w:t>
            </w:r>
          </w:p>
        </w:tc>
        <w:tc>
          <w:tcPr>
            <w:tcW w:w="754" w:type="dxa"/>
            <w:gridSpan w:val="3"/>
            <w:tcBorders>
              <w:left w:val="single" w:sz="4" w:space="0" w:color="auto"/>
            </w:tcBorders>
          </w:tcPr>
          <w:p w14:paraId="1BAA7BAE"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3FF66EC9" w14:textId="77777777" w:rsidTr="009A3B0B">
        <w:trPr>
          <w:gridAfter w:val="1"/>
          <w:wAfter w:w="17" w:type="dxa"/>
        </w:trPr>
        <w:tc>
          <w:tcPr>
            <w:tcW w:w="1159" w:type="dxa"/>
          </w:tcPr>
          <w:p w14:paraId="149E0EDD"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sSup>
                      <m:sSupPr>
                        <m:ctrlPr>
                          <w:rPr>
                            <w:rFonts w:ascii="Cambria Math" w:hAnsi="Times New Roman"/>
                            <w:i/>
                            <w:color w:val="000000"/>
                            <w:sz w:val="24"/>
                            <w:szCs w:val="24"/>
                          </w:rPr>
                        </m:ctrlPr>
                      </m:sSupPr>
                      <m:e>
                        <m:r>
                          <w:rPr>
                            <w:rFonts w:ascii="Cambria Math" w:hAnsi="Cambria Math"/>
                            <w:color w:val="000000"/>
                            <w:sz w:val="24"/>
                            <w:szCs w:val="24"/>
                          </w:rPr>
                          <m:t>s</m:t>
                        </m:r>
                      </m:e>
                      <m:sup>
                        <m:r>
                          <w:rPr>
                            <w:rFonts w:ascii="Cambria Math" w:hAnsi="Cambria Math"/>
                            <w:color w:val="000000"/>
                            <w:sz w:val="24"/>
                            <w:szCs w:val="24"/>
                          </w:rPr>
                          <m:t>oil</m:t>
                        </m:r>
                      </m:sup>
                    </m:sSup>
                  </m:sub>
                </m:sSub>
              </m:oMath>
            </m:oMathPara>
          </w:p>
        </w:tc>
        <w:tc>
          <w:tcPr>
            <w:tcW w:w="808" w:type="dxa"/>
            <w:tcBorders>
              <w:right w:val="single" w:sz="4" w:space="0" w:color="auto"/>
            </w:tcBorders>
          </w:tcPr>
          <w:p w14:paraId="0EACE2F8"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0.017</w:t>
            </w:r>
          </w:p>
        </w:tc>
        <w:tc>
          <w:tcPr>
            <w:tcW w:w="715" w:type="dxa"/>
            <w:gridSpan w:val="2"/>
            <w:tcBorders>
              <w:left w:val="single" w:sz="4" w:space="0" w:color="auto"/>
            </w:tcBorders>
          </w:tcPr>
          <w:p w14:paraId="198BFDC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2A9402FA"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5.165</w:t>
            </w:r>
          </w:p>
        </w:tc>
        <w:tc>
          <w:tcPr>
            <w:tcW w:w="680" w:type="dxa"/>
            <w:gridSpan w:val="2"/>
            <w:tcBorders>
              <w:left w:val="single" w:sz="4" w:space="0" w:color="auto"/>
            </w:tcBorders>
          </w:tcPr>
          <w:p w14:paraId="0B430D6F"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52" w:type="dxa"/>
            <w:gridSpan w:val="2"/>
            <w:tcBorders>
              <w:right w:val="single" w:sz="4" w:space="0" w:color="auto"/>
            </w:tcBorders>
          </w:tcPr>
          <w:p w14:paraId="26672248"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1.356</w:t>
            </w:r>
          </w:p>
        </w:tc>
        <w:tc>
          <w:tcPr>
            <w:tcW w:w="725" w:type="dxa"/>
            <w:gridSpan w:val="2"/>
            <w:tcBorders>
              <w:left w:val="single" w:sz="4" w:space="0" w:color="auto"/>
            </w:tcBorders>
          </w:tcPr>
          <w:p w14:paraId="5D9AFE85"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1E231068"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17.587</w:t>
            </w:r>
          </w:p>
        </w:tc>
        <w:tc>
          <w:tcPr>
            <w:tcW w:w="807" w:type="dxa"/>
            <w:gridSpan w:val="2"/>
            <w:tcBorders>
              <w:left w:val="single" w:sz="4" w:space="0" w:color="auto"/>
            </w:tcBorders>
          </w:tcPr>
          <w:p w14:paraId="42392253"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78" w:type="dxa"/>
            <w:tcBorders>
              <w:right w:val="single" w:sz="4" w:space="0" w:color="auto"/>
            </w:tcBorders>
          </w:tcPr>
          <w:p w14:paraId="24E69B00"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0.019</w:t>
            </w:r>
          </w:p>
        </w:tc>
        <w:tc>
          <w:tcPr>
            <w:tcW w:w="687" w:type="dxa"/>
            <w:gridSpan w:val="4"/>
            <w:tcBorders>
              <w:left w:val="single" w:sz="4" w:space="0" w:color="auto"/>
            </w:tcBorders>
          </w:tcPr>
          <w:p w14:paraId="3DD52877"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0.076</w:t>
            </w:r>
          </w:p>
        </w:tc>
        <w:tc>
          <w:tcPr>
            <w:tcW w:w="851" w:type="dxa"/>
            <w:tcBorders>
              <w:right w:val="single" w:sz="4" w:space="0" w:color="auto"/>
            </w:tcBorders>
          </w:tcPr>
          <w:p w14:paraId="357E326D"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0.256</w:t>
            </w:r>
          </w:p>
        </w:tc>
        <w:tc>
          <w:tcPr>
            <w:tcW w:w="754" w:type="dxa"/>
            <w:gridSpan w:val="3"/>
            <w:tcBorders>
              <w:left w:val="single" w:sz="4" w:space="0" w:color="auto"/>
            </w:tcBorders>
          </w:tcPr>
          <w:p w14:paraId="4561473B"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r>
      <w:tr w:rsidR="00047399" w:rsidRPr="00F238BF" w14:paraId="7654ABBE" w14:textId="77777777" w:rsidTr="009A3B0B">
        <w:trPr>
          <w:gridAfter w:val="1"/>
          <w:wAfter w:w="17" w:type="dxa"/>
        </w:trPr>
        <w:tc>
          <w:tcPr>
            <w:tcW w:w="1977" w:type="dxa"/>
            <w:gridSpan w:val="3"/>
            <w:tcBorders>
              <w:right w:val="single" w:sz="4" w:space="0" w:color="auto"/>
            </w:tcBorders>
          </w:tcPr>
          <w:p w14:paraId="6C04F261"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Leverage Effects</w:t>
            </w:r>
          </w:p>
        </w:tc>
        <w:tc>
          <w:tcPr>
            <w:tcW w:w="1439" w:type="dxa"/>
            <w:gridSpan w:val="3"/>
            <w:tcBorders>
              <w:left w:val="single" w:sz="4" w:space="0" w:color="auto"/>
              <w:right w:val="single" w:sz="4" w:space="0" w:color="auto"/>
            </w:tcBorders>
          </w:tcPr>
          <w:p w14:paraId="14D35985" w14:textId="77777777" w:rsidR="00047399" w:rsidRPr="00F238BF" w:rsidRDefault="00047399" w:rsidP="00DB5ABE">
            <w:pPr>
              <w:spacing w:after="0" w:line="240" w:lineRule="auto"/>
              <w:rPr>
                <w:rFonts w:ascii="Times New Roman" w:hAnsi="Times New Roman"/>
                <w:color w:val="000000"/>
                <w:sz w:val="20"/>
                <w:szCs w:val="20"/>
              </w:rPr>
            </w:pPr>
          </w:p>
        </w:tc>
        <w:tc>
          <w:tcPr>
            <w:tcW w:w="1527" w:type="dxa"/>
            <w:gridSpan w:val="4"/>
            <w:tcBorders>
              <w:left w:val="single" w:sz="4" w:space="0" w:color="auto"/>
              <w:right w:val="single" w:sz="4" w:space="0" w:color="auto"/>
            </w:tcBorders>
          </w:tcPr>
          <w:p w14:paraId="0B1DF48C" w14:textId="77777777" w:rsidR="00047399" w:rsidRPr="00F238BF" w:rsidRDefault="00047399" w:rsidP="00DB5ABE">
            <w:pPr>
              <w:spacing w:after="0" w:line="240" w:lineRule="auto"/>
              <w:rPr>
                <w:rFonts w:ascii="Times New Roman" w:hAnsi="Times New Roman"/>
                <w:color w:val="000000"/>
                <w:sz w:val="20"/>
                <w:szCs w:val="20"/>
              </w:rPr>
            </w:pPr>
          </w:p>
        </w:tc>
        <w:tc>
          <w:tcPr>
            <w:tcW w:w="1537" w:type="dxa"/>
            <w:gridSpan w:val="2"/>
            <w:tcBorders>
              <w:left w:val="single" w:sz="4" w:space="0" w:color="auto"/>
              <w:right w:val="single" w:sz="4" w:space="0" w:color="auto"/>
            </w:tcBorders>
          </w:tcPr>
          <w:p w14:paraId="173B5F4D" w14:textId="77777777" w:rsidR="00047399" w:rsidRPr="00F238BF" w:rsidRDefault="00047399" w:rsidP="00DB5ABE">
            <w:pPr>
              <w:spacing w:after="0" w:line="240" w:lineRule="auto"/>
              <w:rPr>
                <w:rFonts w:ascii="Times New Roman" w:hAnsi="Times New Roman"/>
                <w:color w:val="000000"/>
                <w:sz w:val="20"/>
                <w:szCs w:val="20"/>
              </w:rPr>
            </w:pPr>
          </w:p>
        </w:tc>
        <w:tc>
          <w:tcPr>
            <w:tcW w:w="1593" w:type="dxa"/>
            <w:gridSpan w:val="4"/>
            <w:tcBorders>
              <w:left w:val="single" w:sz="4" w:space="0" w:color="auto"/>
              <w:right w:val="single" w:sz="4" w:space="0" w:color="auto"/>
            </w:tcBorders>
          </w:tcPr>
          <w:p w14:paraId="5BC3C88A" w14:textId="77777777" w:rsidR="00047399" w:rsidRPr="00F238BF" w:rsidRDefault="00047399" w:rsidP="00DB5ABE">
            <w:pPr>
              <w:spacing w:after="0" w:line="240" w:lineRule="auto"/>
              <w:rPr>
                <w:rFonts w:ascii="Times New Roman" w:hAnsi="Times New Roman"/>
                <w:color w:val="000000"/>
                <w:sz w:val="20"/>
                <w:szCs w:val="20"/>
              </w:rPr>
            </w:pPr>
          </w:p>
        </w:tc>
        <w:tc>
          <w:tcPr>
            <w:tcW w:w="1530" w:type="dxa"/>
            <w:gridSpan w:val="4"/>
            <w:tcBorders>
              <w:left w:val="single" w:sz="4" w:space="0" w:color="auto"/>
              <w:right w:val="single" w:sz="4" w:space="0" w:color="auto"/>
            </w:tcBorders>
          </w:tcPr>
          <w:p w14:paraId="00F13F7C" w14:textId="77777777" w:rsidR="00047399" w:rsidRPr="00F238BF" w:rsidRDefault="00047399" w:rsidP="00DB5ABE">
            <w:pPr>
              <w:spacing w:after="0" w:line="240" w:lineRule="auto"/>
              <w:rPr>
                <w:rFonts w:ascii="Times New Roman" w:hAnsi="Times New Roman"/>
                <w:color w:val="000000"/>
                <w:sz w:val="20"/>
                <w:szCs w:val="20"/>
              </w:rPr>
            </w:pPr>
          </w:p>
        </w:tc>
        <w:tc>
          <w:tcPr>
            <w:tcW w:w="754" w:type="dxa"/>
            <w:gridSpan w:val="3"/>
            <w:tcBorders>
              <w:left w:val="single" w:sz="4" w:space="0" w:color="auto"/>
            </w:tcBorders>
          </w:tcPr>
          <w:p w14:paraId="421D3A5C"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5881853E" w14:textId="77777777" w:rsidTr="009A3B0B">
        <w:trPr>
          <w:gridAfter w:val="1"/>
          <w:wAfter w:w="17" w:type="dxa"/>
        </w:trPr>
        <w:tc>
          <w:tcPr>
            <w:tcW w:w="1159" w:type="dxa"/>
          </w:tcPr>
          <w:p w14:paraId="294D98E7"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Times New Roman" w:hAnsi="Cambria Math"/>
                        <w:color w:val="000000"/>
                        <w:sz w:val="24"/>
                        <w:szCs w:val="24"/>
                      </w:rPr>
                      <m:t>∅</m:t>
                    </m:r>
                  </m:e>
                  <m:sub>
                    <m:r>
                      <w:rPr>
                        <w:rFonts w:ascii="Cambria Math" w:hAnsi="Cambria Math"/>
                        <w:color w:val="000000"/>
                        <w:sz w:val="24"/>
                        <w:szCs w:val="24"/>
                      </w:rPr>
                      <m:t>oil</m:t>
                    </m:r>
                  </m:sub>
                </m:sSub>
              </m:oMath>
            </m:oMathPara>
          </w:p>
        </w:tc>
        <w:tc>
          <w:tcPr>
            <w:tcW w:w="808" w:type="dxa"/>
            <w:tcBorders>
              <w:right w:val="single" w:sz="4" w:space="0" w:color="auto"/>
            </w:tcBorders>
          </w:tcPr>
          <w:p w14:paraId="20EF9995"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0.456</w:t>
            </w:r>
          </w:p>
        </w:tc>
        <w:tc>
          <w:tcPr>
            <w:tcW w:w="715" w:type="dxa"/>
            <w:gridSpan w:val="2"/>
            <w:tcBorders>
              <w:left w:val="single" w:sz="4" w:space="0" w:color="auto"/>
            </w:tcBorders>
          </w:tcPr>
          <w:p w14:paraId="22E39D6E"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111B5690"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680" w:type="dxa"/>
            <w:gridSpan w:val="2"/>
            <w:tcBorders>
              <w:left w:val="single" w:sz="4" w:space="0" w:color="auto"/>
            </w:tcBorders>
          </w:tcPr>
          <w:p w14:paraId="60D47E5E" w14:textId="77777777" w:rsidR="00047399" w:rsidRPr="00F238BF" w:rsidRDefault="00047399" w:rsidP="00DB5ABE">
            <w:pPr>
              <w:spacing w:after="0" w:line="240" w:lineRule="auto"/>
              <w:rPr>
                <w:rFonts w:ascii="Times New Roman" w:hAnsi="Times New Roman"/>
                <w:color w:val="000000"/>
                <w:sz w:val="20"/>
                <w:szCs w:val="20"/>
              </w:rPr>
            </w:pPr>
          </w:p>
        </w:tc>
        <w:tc>
          <w:tcPr>
            <w:tcW w:w="852" w:type="dxa"/>
            <w:gridSpan w:val="2"/>
            <w:tcBorders>
              <w:right w:val="single" w:sz="4" w:space="0" w:color="auto"/>
            </w:tcBorders>
          </w:tcPr>
          <w:p w14:paraId="5300D4DB"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0.127</w:t>
            </w:r>
          </w:p>
        </w:tc>
        <w:tc>
          <w:tcPr>
            <w:tcW w:w="725" w:type="dxa"/>
            <w:gridSpan w:val="2"/>
            <w:tcBorders>
              <w:left w:val="single" w:sz="4" w:space="0" w:color="auto"/>
            </w:tcBorders>
          </w:tcPr>
          <w:p w14:paraId="61F2C74C"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39D4A479"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807" w:type="dxa"/>
            <w:gridSpan w:val="2"/>
            <w:tcBorders>
              <w:left w:val="single" w:sz="4" w:space="0" w:color="auto"/>
            </w:tcBorders>
          </w:tcPr>
          <w:p w14:paraId="2DB68515" w14:textId="77777777" w:rsidR="00047399" w:rsidRPr="00F238BF" w:rsidRDefault="00047399" w:rsidP="00DB5ABE">
            <w:pPr>
              <w:spacing w:after="0" w:line="240" w:lineRule="auto"/>
              <w:rPr>
                <w:rFonts w:ascii="Times New Roman" w:hAnsi="Times New Roman"/>
                <w:color w:val="000000"/>
                <w:sz w:val="20"/>
                <w:szCs w:val="20"/>
              </w:rPr>
            </w:pPr>
          </w:p>
        </w:tc>
        <w:tc>
          <w:tcPr>
            <w:tcW w:w="778" w:type="dxa"/>
            <w:tcBorders>
              <w:right w:val="single" w:sz="4" w:space="0" w:color="auto"/>
            </w:tcBorders>
          </w:tcPr>
          <w:p w14:paraId="4E1C4946"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687" w:type="dxa"/>
            <w:gridSpan w:val="4"/>
            <w:tcBorders>
              <w:left w:val="single" w:sz="4" w:space="0" w:color="auto"/>
            </w:tcBorders>
          </w:tcPr>
          <w:p w14:paraId="2E33E9AF" w14:textId="77777777" w:rsidR="00047399" w:rsidRPr="00F238BF" w:rsidRDefault="00047399" w:rsidP="00DB5ABE">
            <w:pPr>
              <w:spacing w:after="0" w:line="240" w:lineRule="auto"/>
              <w:rPr>
                <w:rFonts w:ascii="Times New Roman" w:hAnsi="Times New Roman"/>
                <w:color w:val="000000"/>
                <w:sz w:val="20"/>
                <w:szCs w:val="20"/>
              </w:rPr>
            </w:pPr>
          </w:p>
        </w:tc>
        <w:tc>
          <w:tcPr>
            <w:tcW w:w="851" w:type="dxa"/>
            <w:tcBorders>
              <w:right w:val="single" w:sz="4" w:space="0" w:color="auto"/>
            </w:tcBorders>
          </w:tcPr>
          <w:p w14:paraId="18989D97"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754" w:type="dxa"/>
            <w:gridSpan w:val="3"/>
            <w:tcBorders>
              <w:left w:val="single" w:sz="4" w:space="0" w:color="auto"/>
            </w:tcBorders>
          </w:tcPr>
          <w:p w14:paraId="31E27A7B"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1D31FCD2" w14:textId="77777777" w:rsidTr="009A3B0B">
        <w:trPr>
          <w:gridAfter w:val="1"/>
          <w:wAfter w:w="17" w:type="dxa"/>
        </w:trPr>
        <w:tc>
          <w:tcPr>
            <w:tcW w:w="1159" w:type="dxa"/>
          </w:tcPr>
          <w:p w14:paraId="7BE17D14"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Times New Roman" w:hAnsi="Cambria Math"/>
                        <w:color w:val="000000"/>
                        <w:sz w:val="24"/>
                        <w:szCs w:val="24"/>
                      </w:rPr>
                      <m:t>∅</m:t>
                    </m:r>
                  </m:e>
                  <m:sub>
                    <m:r>
                      <w:rPr>
                        <w:rFonts w:ascii="Cambria Math" w:hAnsi="Cambria Math"/>
                        <w:color w:val="000000"/>
                        <w:sz w:val="24"/>
                        <w:szCs w:val="24"/>
                      </w:rPr>
                      <m:t>s</m:t>
                    </m:r>
                  </m:sub>
                </m:sSub>
              </m:oMath>
            </m:oMathPara>
          </w:p>
        </w:tc>
        <w:tc>
          <w:tcPr>
            <w:tcW w:w="808" w:type="dxa"/>
            <w:tcBorders>
              <w:right w:val="single" w:sz="4" w:space="0" w:color="auto"/>
            </w:tcBorders>
          </w:tcPr>
          <w:p w14:paraId="14885524"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0.073</w:t>
            </w:r>
          </w:p>
        </w:tc>
        <w:tc>
          <w:tcPr>
            <w:tcW w:w="715" w:type="dxa"/>
            <w:gridSpan w:val="2"/>
            <w:tcBorders>
              <w:left w:val="single" w:sz="4" w:space="0" w:color="auto"/>
            </w:tcBorders>
          </w:tcPr>
          <w:p w14:paraId="4D36F6B5"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721" w:type="dxa"/>
            <w:tcBorders>
              <w:right w:val="single" w:sz="4" w:space="0" w:color="auto"/>
            </w:tcBorders>
          </w:tcPr>
          <w:p w14:paraId="50A3532C"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680" w:type="dxa"/>
            <w:gridSpan w:val="2"/>
            <w:tcBorders>
              <w:left w:val="single" w:sz="4" w:space="0" w:color="auto"/>
            </w:tcBorders>
          </w:tcPr>
          <w:p w14:paraId="24BA9B86" w14:textId="77777777" w:rsidR="00047399" w:rsidRPr="00F238BF" w:rsidRDefault="00047399" w:rsidP="00DB5ABE">
            <w:pPr>
              <w:spacing w:after="0" w:line="240" w:lineRule="auto"/>
              <w:rPr>
                <w:rFonts w:ascii="Times New Roman" w:hAnsi="Times New Roman"/>
                <w:color w:val="000000"/>
                <w:sz w:val="20"/>
                <w:szCs w:val="20"/>
              </w:rPr>
            </w:pPr>
          </w:p>
        </w:tc>
        <w:tc>
          <w:tcPr>
            <w:tcW w:w="852" w:type="dxa"/>
            <w:gridSpan w:val="2"/>
            <w:tcBorders>
              <w:right w:val="single" w:sz="4" w:space="0" w:color="auto"/>
            </w:tcBorders>
          </w:tcPr>
          <w:p w14:paraId="25ED23AC"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0.849</w:t>
            </w:r>
          </w:p>
        </w:tc>
        <w:tc>
          <w:tcPr>
            <w:tcW w:w="725" w:type="dxa"/>
            <w:gridSpan w:val="2"/>
            <w:tcBorders>
              <w:left w:val="single" w:sz="4" w:space="0" w:color="auto"/>
            </w:tcBorders>
          </w:tcPr>
          <w:p w14:paraId="157E359C" w14:textId="77777777" w:rsidR="00047399" w:rsidRPr="00F238BF" w:rsidRDefault="00047399" w:rsidP="00DB5ABE">
            <w:pPr>
              <w:spacing w:after="0" w:line="240" w:lineRule="auto"/>
              <w:rPr>
                <w:rFonts w:ascii="Times New Roman" w:hAnsi="Times New Roman"/>
                <w:b/>
                <w:color w:val="000000"/>
                <w:sz w:val="20"/>
                <w:szCs w:val="20"/>
              </w:rPr>
            </w:pPr>
            <w:r w:rsidRPr="00617B54">
              <w:rPr>
                <w:rFonts w:ascii="Times New Roman" w:hAnsi="Times New Roman"/>
                <w:color w:val="000000"/>
                <w:sz w:val="20"/>
                <w:szCs w:val="20"/>
              </w:rPr>
              <w:t>0.000</w:t>
            </w:r>
          </w:p>
        </w:tc>
        <w:tc>
          <w:tcPr>
            <w:tcW w:w="820" w:type="dxa"/>
            <w:tcBorders>
              <w:right w:val="single" w:sz="4" w:space="0" w:color="auto"/>
            </w:tcBorders>
          </w:tcPr>
          <w:p w14:paraId="25DB5706"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w:t>
            </w:r>
          </w:p>
        </w:tc>
        <w:tc>
          <w:tcPr>
            <w:tcW w:w="807" w:type="dxa"/>
            <w:gridSpan w:val="2"/>
            <w:tcBorders>
              <w:left w:val="single" w:sz="4" w:space="0" w:color="auto"/>
            </w:tcBorders>
          </w:tcPr>
          <w:p w14:paraId="6AA6413E" w14:textId="77777777" w:rsidR="00047399" w:rsidRPr="00F238BF" w:rsidRDefault="00047399" w:rsidP="00DB5ABE">
            <w:pPr>
              <w:spacing w:after="0" w:line="240" w:lineRule="auto"/>
              <w:rPr>
                <w:rFonts w:ascii="Times New Roman" w:hAnsi="Times New Roman"/>
                <w:color w:val="000000"/>
                <w:sz w:val="20"/>
                <w:szCs w:val="20"/>
              </w:rPr>
            </w:pPr>
          </w:p>
        </w:tc>
        <w:tc>
          <w:tcPr>
            <w:tcW w:w="778" w:type="dxa"/>
            <w:tcBorders>
              <w:right w:val="single" w:sz="4" w:space="0" w:color="auto"/>
            </w:tcBorders>
          </w:tcPr>
          <w:p w14:paraId="0721CCFB"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687" w:type="dxa"/>
            <w:gridSpan w:val="4"/>
            <w:tcBorders>
              <w:left w:val="single" w:sz="4" w:space="0" w:color="auto"/>
            </w:tcBorders>
          </w:tcPr>
          <w:p w14:paraId="36C16A6A" w14:textId="77777777" w:rsidR="00047399" w:rsidRPr="00F238BF" w:rsidRDefault="00047399" w:rsidP="00DB5ABE">
            <w:pPr>
              <w:spacing w:after="0" w:line="240" w:lineRule="auto"/>
              <w:rPr>
                <w:rFonts w:ascii="Times New Roman" w:hAnsi="Times New Roman"/>
                <w:color w:val="000000"/>
                <w:sz w:val="20"/>
                <w:szCs w:val="20"/>
              </w:rPr>
            </w:pPr>
          </w:p>
        </w:tc>
        <w:tc>
          <w:tcPr>
            <w:tcW w:w="851" w:type="dxa"/>
            <w:tcBorders>
              <w:right w:val="single" w:sz="4" w:space="0" w:color="auto"/>
            </w:tcBorders>
          </w:tcPr>
          <w:p w14:paraId="351C24F2"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754" w:type="dxa"/>
            <w:gridSpan w:val="3"/>
            <w:tcBorders>
              <w:left w:val="single" w:sz="4" w:space="0" w:color="auto"/>
            </w:tcBorders>
          </w:tcPr>
          <w:p w14:paraId="13C239D9"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31419132" w14:textId="77777777" w:rsidTr="009A3B0B">
        <w:trPr>
          <w:gridAfter w:val="1"/>
          <w:wAfter w:w="17" w:type="dxa"/>
        </w:trPr>
        <w:tc>
          <w:tcPr>
            <w:tcW w:w="1159" w:type="dxa"/>
          </w:tcPr>
          <w:p w14:paraId="21BCC69A"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CCC</w:t>
            </w:r>
          </w:p>
        </w:tc>
        <w:tc>
          <w:tcPr>
            <w:tcW w:w="808" w:type="dxa"/>
            <w:tcBorders>
              <w:bottom w:val="single" w:sz="4" w:space="0" w:color="auto"/>
              <w:right w:val="single" w:sz="4" w:space="0" w:color="auto"/>
            </w:tcBorders>
          </w:tcPr>
          <w:p w14:paraId="621BD244" w14:textId="77777777" w:rsidR="00047399" w:rsidRPr="00F238BF" w:rsidRDefault="00047399" w:rsidP="00DB5ABE">
            <w:pPr>
              <w:spacing w:after="0" w:line="240" w:lineRule="auto"/>
              <w:rPr>
                <w:rFonts w:ascii="Times New Roman" w:hAnsi="Times New Roman"/>
                <w:color w:val="000000"/>
                <w:sz w:val="20"/>
                <w:szCs w:val="20"/>
              </w:rPr>
            </w:pPr>
          </w:p>
        </w:tc>
        <w:tc>
          <w:tcPr>
            <w:tcW w:w="715" w:type="dxa"/>
            <w:gridSpan w:val="2"/>
            <w:tcBorders>
              <w:left w:val="single" w:sz="4" w:space="0" w:color="auto"/>
            </w:tcBorders>
          </w:tcPr>
          <w:p w14:paraId="605E701D" w14:textId="77777777" w:rsidR="00047399" w:rsidRPr="00F238BF" w:rsidRDefault="00047399" w:rsidP="00DB5ABE">
            <w:pPr>
              <w:spacing w:after="0" w:line="240" w:lineRule="auto"/>
              <w:rPr>
                <w:rFonts w:ascii="Times New Roman" w:hAnsi="Times New Roman"/>
                <w:color w:val="000000"/>
                <w:sz w:val="20"/>
                <w:szCs w:val="20"/>
              </w:rPr>
            </w:pPr>
          </w:p>
        </w:tc>
        <w:tc>
          <w:tcPr>
            <w:tcW w:w="721" w:type="dxa"/>
            <w:tcBorders>
              <w:right w:val="single" w:sz="4" w:space="0" w:color="auto"/>
            </w:tcBorders>
          </w:tcPr>
          <w:p w14:paraId="21FFFA94" w14:textId="77777777" w:rsidR="00047399" w:rsidRPr="00F238BF" w:rsidRDefault="00047399" w:rsidP="00DB5ABE">
            <w:pPr>
              <w:spacing w:after="0" w:line="240" w:lineRule="auto"/>
              <w:rPr>
                <w:rFonts w:ascii="Times New Roman" w:hAnsi="Times New Roman"/>
                <w:color w:val="000000"/>
                <w:sz w:val="20"/>
                <w:szCs w:val="20"/>
              </w:rPr>
            </w:pPr>
          </w:p>
        </w:tc>
        <w:tc>
          <w:tcPr>
            <w:tcW w:w="680" w:type="dxa"/>
            <w:gridSpan w:val="2"/>
            <w:tcBorders>
              <w:left w:val="single" w:sz="4" w:space="0" w:color="auto"/>
            </w:tcBorders>
          </w:tcPr>
          <w:p w14:paraId="743CC4C6" w14:textId="77777777" w:rsidR="00047399" w:rsidRPr="00F238BF" w:rsidRDefault="00047399" w:rsidP="00DB5ABE">
            <w:pPr>
              <w:spacing w:after="0" w:line="240" w:lineRule="auto"/>
              <w:rPr>
                <w:rFonts w:ascii="Times New Roman" w:hAnsi="Times New Roman"/>
                <w:color w:val="000000"/>
                <w:sz w:val="20"/>
                <w:szCs w:val="20"/>
              </w:rPr>
            </w:pPr>
          </w:p>
        </w:tc>
        <w:tc>
          <w:tcPr>
            <w:tcW w:w="852" w:type="dxa"/>
            <w:gridSpan w:val="2"/>
            <w:tcBorders>
              <w:right w:val="single" w:sz="4" w:space="0" w:color="auto"/>
            </w:tcBorders>
          </w:tcPr>
          <w:p w14:paraId="5A55C4EF" w14:textId="77777777" w:rsidR="00047399" w:rsidRPr="00F238BF" w:rsidRDefault="00047399" w:rsidP="00DB5ABE">
            <w:pPr>
              <w:spacing w:after="0" w:line="240" w:lineRule="auto"/>
              <w:rPr>
                <w:rFonts w:ascii="Times New Roman" w:hAnsi="Times New Roman"/>
                <w:color w:val="000000"/>
                <w:sz w:val="20"/>
                <w:szCs w:val="20"/>
              </w:rPr>
            </w:pPr>
          </w:p>
        </w:tc>
        <w:tc>
          <w:tcPr>
            <w:tcW w:w="725" w:type="dxa"/>
            <w:gridSpan w:val="2"/>
            <w:tcBorders>
              <w:left w:val="single" w:sz="4" w:space="0" w:color="auto"/>
            </w:tcBorders>
          </w:tcPr>
          <w:p w14:paraId="2770D8F8" w14:textId="77777777" w:rsidR="00047399" w:rsidRPr="00F238BF" w:rsidRDefault="00047399" w:rsidP="00DB5ABE">
            <w:pPr>
              <w:spacing w:after="0" w:line="240" w:lineRule="auto"/>
              <w:rPr>
                <w:rFonts w:ascii="Times New Roman" w:hAnsi="Times New Roman"/>
                <w:color w:val="000000"/>
                <w:sz w:val="20"/>
                <w:szCs w:val="20"/>
              </w:rPr>
            </w:pPr>
          </w:p>
        </w:tc>
        <w:tc>
          <w:tcPr>
            <w:tcW w:w="820" w:type="dxa"/>
            <w:tcBorders>
              <w:right w:val="single" w:sz="4" w:space="0" w:color="auto"/>
            </w:tcBorders>
          </w:tcPr>
          <w:p w14:paraId="2F407B42" w14:textId="77777777" w:rsidR="00047399" w:rsidRPr="00F238BF" w:rsidRDefault="00047399" w:rsidP="00DB5ABE">
            <w:pPr>
              <w:spacing w:after="0" w:line="240" w:lineRule="auto"/>
              <w:rPr>
                <w:rFonts w:ascii="Times New Roman" w:hAnsi="Times New Roman"/>
                <w:color w:val="000000"/>
                <w:sz w:val="20"/>
                <w:szCs w:val="20"/>
              </w:rPr>
            </w:pPr>
          </w:p>
        </w:tc>
        <w:tc>
          <w:tcPr>
            <w:tcW w:w="807" w:type="dxa"/>
            <w:gridSpan w:val="2"/>
            <w:tcBorders>
              <w:left w:val="single" w:sz="4" w:space="0" w:color="auto"/>
            </w:tcBorders>
          </w:tcPr>
          <w:p w14:paraId="57C572A9" w14:textId="77777777" w:rsidR="00047399" w:rsidRPr="00F238BF" w:rsidRDefault="00047399" w:rsidP="00DB5ABE">
            <w:pPr>
              <w:spacing w:after="0" w:line="240" w:lineRule="auto"/>
              <w:rPr>
                <w:rFonts w:ascii="Times New Roman" w:hAnsi="Times New Roman"/>
                <w:color w:val="000000"/>
                <w:sz w:val="20"/>
                <w:szCs w:val="20"/>
              </w:rPr>
            </w:pPr>
          </w:p>
        </w:tc>
        <w:tc>
          <w:tcPr>
            <w:tcW w:w="778" w:type="dxa"/>
            <w:tcBorders>
              <w:right w:val="single" w:sz="4" w:space="0" w:color="auto"/>
            </w:tcBorders>
          </w:tcPr>
          <w:p w14:paraId="4CCC9582" w14:textId="77777777" w:rsidR="00047399" w:rsidRPr="00F238BF" w:rsidRDefault="00047399" w:rsidP="00DB5ABE">
            <w:pPr>
              <w:spacing w:after="0" w:line="240" w:lineRule="auto"/>
              <w:rPr>
                <w:rFonts w:ascii="Times New Roman" w:hAnsi="Times New Roman"/>
                <w:color w:val="000000"/>
                <w:sz w:val="20"/>
                <w:szCs w:val="20"/>
              </w:rPr>
            </w:pPr>
          </w:p>
        </w:tc>
        <w:tc>
          <w:tcPr>
            <w:tcW w:w="687" w:type="dxa"/>
            <w:gridSpan w:val="4"/>
            <w:tcBorders>
              <w:left w:val="single" w:sz="4" w:space="0" w:color="auto"/>
            </w:tcBorders>
          </w:tcPr>
          <w:p w14:paraId="5F908D71" w14:textId="77777777" w:rsidR="00047399" w:rsidRPr="00F238BF" w:rsidRDefault="00047399" w:rsidP="00DB5ABE">
            <w:pPr>
              <w:spacing w:after="0" w:line="240" w:lineRule="auto"/>
              <w:rPr>
                <w:rFonts w:ascii="Times New Roman" w:hAnsi="Times New Roman"/>
                <w:color w:val="000000"/>
                <w:sz w:val="20"/>
                <w:szCs w:val="20"/>
              </w:rPr>
            </w:pPr>
          </w:p>
        </w:tc>
        <w:tc>
          <w:tcPr>
            <w:tcW w:w="851" w:type="dxa"/>
            <w:tcBorders>
              <w:right w:val="single" w:sz="4" w:space="0" w:color="auto"/>
            </w:tcBorders>
          </w:tcPr>
          <w:p w14:paraId="478F137F" w14:textId="77777777" w:rsidR="00047399" w:rsidRPr="00F238BF" w:rsidRDefault="00047399" w:rsidP="00DB5ABE">
            <w:pPr>
              <w:spacing w:after="0" w:line="240" w:lineRule="auto"/>
              <w:rPr>
                <w:rFonts w:ascii="Times New Roman" w:hAnsi="Times New Roman"/>
                <w:color w:val="000000"/>
                <w:sz w:val="20"/>
                <w:szCs w:val="20"/>
              </w:rPr>
            </w:pPr>
          </w:p>
        </w:tc>
        <w:tc>
          <w:tcPr>
            <w:tcW w:w="754" w:type="dxa"/>
            <w:gridSpan w:val="3"/>
            <w:tcBorders>
              <w:left w:val="single" w:sz="4" w:space="0" w:color="auto"/>
            </w:tcBorders>
          </w:tcPr>
          <w:p w14:paraId="56EBDB1B"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7A785EF3" w14:textId="77777777" w:rsidTr="009A3B0B">
        <w:trPr>
          <w:gridAfter w:val="1"/>
          <w:wAfter w:w="17" w:type="dxa"/>
        </w:trPr>
        <w:tc>
          <w:tcPr>
            <w:tcW w:w="1159" w:type="dxa"/>
          </w:tcPr>
          <w:p w14:paraId="3B6C04B4" w14:textId="77777777" w:rsidR="00047399" w:rsidRPr="00F238BF" w:rsidRDefault="00000000" w:rsidP="00DB5ABE">
            <w:pPr>
              <w:spacing w:after="0" w:line="240" w:lineRule="auto"/>
              <w:rPr>
                <w:rFonts w:ascii="Times New Roman" w:hAnsi="Times New Roman"/>
                <w:sz w:val="20"/>
                <w:szCs w:val="20"/>
              </w:rPr>
            </w:pPr>
            <m:oMathPara>
              <m:oMath>
                <m:sSup>
                  <m:sSupPr>
                    <m:ctrlPr>
                      <w:rPr>
                        <w:rFonts w:ascii="Cambria Math" w:hAnsi="Times New Roman"/>
                        <w:i/>
                        <w:sz w:val="24"/>
                        <w:szCs w:val="24"/>
                      </w:rPr>
                    </m:ctrlPr>
                  </m:sSupPr>
                  <m:e>
                    <m:r>
                      <w:rPr>
                        <w:rFonts w:ascii="Cambria Math" w:hAnsi="Cambria Math"/>
                        <w:sz w:val="24"/>
                        <w:szCs w:val="24"/>
                      </w:rPr>
                      <m:t>ρ</m:t>
                    </m:r>
                  </m:e>
                  <m:sup>
                    <m:r>
                      <w:rPr>
                        <w:rFonts w:ascii="Cambria Math" w:hAnsi="Cambria Math"/>
                        <w:sz w:val="24"/>
                        <w:szCs w:val="24"/>
                      </w:rPr>
                      <m:t>so</m:t>
                    </m:r>
                  </m:sup>
                </m:sSup>
              </m:oMath>
            </m:oMathPara>
          </w:p>
        </w:tc>
        <w:tc>
          <w:tcPr>
            <w:tcW w:w="808" w:type="dxa"/>
            <w:tcBorders>
              <w:top w:val="single" w:sz="4" w:space="0" w:color="auto"/>
              <w:right w:val="single" w:sz="4" w:space="0" w:color="auto"/>
            </w:tcBorders>
          </w:tcPr>
          <w:p w14:paraId="39FD498E" w14:textId="77777777" w:rsidR="00047399" w:rsidRPr="00F238BF" w:rsidRDefault="00047399" w:rsidP="00DB5ABE">
            <w:pPr>
              <w:spacing w:after="0" w:line="240" w:lineRule="auto"/>
              <w:rPr>
                <w:rFonts w:ascii="Times New Roman" w:hAnsi="Times New Roman"/>
                <w:sz w:val="20"/>
                <w:szCs w:val="20"/>
              </w:rPr>
            </w:pPr>
            <w:r>
              <w:rPr>
                <w:rFonts w:ascii="Times New Roman" w:hAnsi="Times New Roman"/>
                <w:sz w:val="20"/>
                <w:szCs w:val="20"/>
              </w:rPr>
              <w:t>-0.000</w:t>
            </w:r>
          </w:p>
        </w:tc>
        <w:tc>
          <w:tcPr>
            <w:tcW w:w="715" w:type="dxa"/>
            <w:gridSpan w:val="2"/>
            <w:tcBorders>
              <w:top w:val="single" w:sz="4" w:space="0" w:color="auto"/>
              <w:left w:val="single" w:sz="4" w:space="0" w:color="auto"/>
            </w:tcBorders>
          </w:tcPr>
          <w:p w14:paraId="44FB9019" w14:textId="77777777" w:rsidR="00047399" w:rsidRPr="00F238BF" w:rsidRDefault="00047399" w:rsidP="00DB5ABE">
            <w:pPr>
              <w:spacing w:after="0" w:line="240" w:lineRule="auto"/>
              <w:rPr>
                <w:rFonts w:ascii="Times New Roman" w:hAnsi="Times New Roman"/>
                <w:sz w:val="20"/>
                <w:szCs w:val="20"/>
              </w:rPr>
            </w:pPr>
          </w:p>
        </w:tc>
        <w:tc>
          <w:tcPr>
            <w:tcW w:w="721" w:type="dxa"/>
            <w:tcBorders>
              <w:right w:val="single" w:sz="4" w:space="0" w:color="auto"/>
            </w:tcBorders>
          </w:tcPr>
          <w:p w14:paraId="01D3DBD0"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0.015</w:t>
            </w:r>
          </w:p>
        </w:tc>
        <w:tc>
          <w:tcPr>
            <w:tcW w:w="680" w:type="dxa"/>
            <w:gridSpan w:val="2"/>
            <w:tcBorders>
              <w:left w:val="single" w:sz="4" w:space="0" w:color="auto"/>
            </w:tcBorders>
          </w:tcPr>
          <w:p w14:paraId="37A46E0A" w14:textId="77777777" w:rsidR="00047399" w:rsidRPr="00F238BF" w:rsidRDefault="00047399" w:rsidP="00DB5ABE">
            <w:pPr>
              <w:spacing w:after="0" w:line="240" w:lineRule="auto"/>
              <w:rPr>
                <w:rFonts w:ascii="Times New Roman" w:hAnsi="Times New Roman"/>
                <w:sz w:val="20"/>
                <w:szCs w:val="20"/>
              </w:rPr>
            </w:pPr>
          </w:p>
        </w:tc>
        <w:tc>
          <w:tcPr>
            <w:tcW w:w="852" w:type="dxa"/>
            <w:gridSpan w:val="2"/>
            <w:tcBorders>
              <w:right w:val="single" w:sz="4" w:space="0" w:color="auto"/>
            </w:tcBorders>
          </w:tcPr>
          <w:p w14:paraId="3A1E474F"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0.060</w:t>
            </w:r>
          </w:p>
        </w:tc>
        <w:tc>
          <w:tcPr>
            <w:tcW w:w="725" w:type="dxa"/>
            <w:gridSpan w:val="2"/>
            <w:tcBorders>
              <w:left w:val="single" w:sz="4" w:space="0" w:color="auto"/>
            </w:tcBorders>
          </w:tcPr>
          <w:p w14:paraId="36A26BBB" w14:textId="77777777" w:rsidR="00047399" w:rsidRPr="00F238BF" w:rsidRDefault="00047399" w:rsidP="00DB5ABE">
            <w:pPr>
              <w:spacing w:after="0" w:line="240" w:lineRule="auto"/>
              <w:rPr>
                <w:rFonts w:ascii="Times New Roman" w:hAnsi="Times New Roman"/>
                <w:sz w:val="20"/>
                <w:szCs w:val="20"/>
              </w:rPr>
            </w:pPr>
          </w:p>
        </w:tc>
        <w:tc>
          <w:tcPr>
            <w:tcW w:w="820" w:type="dxa"/>
            <w:tcBorders>
              <w:right w:val="single" w:sz="4" w:space="0" w:color="auto"/>
            </w:tcBorders>
          </w:tcPr>
          <w:p w14:paraId="100BAA18"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0.015</w:t>
            </w:r>
          </w:p>
        </w:tc>
        <w:tc>
          <w:tcPr>
            <w:tcW w:w="807" w:type="dxa"/>
            <w:gridSpan w:val="2"/>
            <w:tcBorders>
              <w:left w:val="single" w:sz="4" w:space="0" w:color="auto"/>
            </w:tcBorders>
          </w:tcPr>
          <w:p w14:paraId="2A89274C" w14:textId="77777777" w:rsidR="00047399" w:rsidRPr="00F238BF" w:rsidRDefault="00047399" w:rsidP="00DB5ABE">
            <w:pPr>
              <w:spacing w:after="0" w:line="240" w:lineRule="auto"/>
              <w:rPr>
                <w:rFonts w:ascii="Times New Roman" w:hAnsi="Times New Roman"/>
                <w:sz w:val="20"/>
                <w:szCs w:val="20"/>
              </w:rPr>
            </w:pPr>
          </w:p>
        </w:tc>
        <w:tc>
          <w:tcPr>
            <w:tcW w:w="778" w:type="dxa"/>
            <w:tcBorders>
              <w:right w:val="single" w:sz="4" w:space="0" w:color="auto"/>
            </w:tcBorders>
          </w:tcPr>
          <w:p w14:paraId="6AB55A82"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-0.002</w:t>
            </w:r>
          </w:p>
        </w:tc>
        <w:tc>
          <w:tcPr>
            <w:tcW w:w="687" w:type="dxa"/>
            <w:gridSpan w:val="4"/>
            <w:tcBorders>
              <w:left w:val="single" w:sz="4" w:space="0" w:color="auto"/>
            </w:tcBorders>
          </w:tcPr>
          <w:p w14:paraId="4A5E2D81" w14:textId="77777777" w:rsidR="00047399" w:rsidRPr="00F238BF" w:rsidRDefault="00047399" w:rsidP="00DB5ABE">
            <w:pPr>
              <w:spacing w:after="0" w:line="240" w:lineRule="auto"/>
              <w:rPr>
                <w:rFonts w:ascii="Times New Roman" w:hAnsi="Times New Roman"/>
                <w:sz w:val="20"/>
                <w:szCs w:val="20"/>
              </w:rPr>
            </w:pPr>
          </w:p>
        </w:tc>
        <w:tc>
          <w:tcPr>
            <w:tcW w:w="851" w:type="dxa"/>
            <w:tcBorders>
              <w:right w:val="single" w:sz="4" w:space="0" w:color="auto"/>
            </w:tcBorders>
          </w:tcPr>
          <w:p w14:paraId="1A048682"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w:t>
            </w:r>
            <w:r>
              <w:rPr>
                <w:rFonts w:ascii="Times New Roman" w:hAnsi="Times New Roman"/>
                <w:sz w:val="20"/>
                <w:szCs w:val="20"/>
              </w:rPr>
              <w:t>.040</w:t>
            </w:r>
          </w:p>
        </w:tc>
        <w:tc>
          <w:tcPr>
            <w:tcW w:w="754" w:type="dxa"/>
            <w:gridSpan w:val="3"/>
            <w:tcBorders>
              <w:left w:val="single" w:sz="4" w:space="0" w:color="auto"/>
            </w:tcBorders>
          </w:tcPr>
          <w:p w14:paraId="3AA8D822" w14:textId="77777777" w:rsidR="00047399" w:rsidRPr="00F238BF" w:rsidRDefault="00047399" w:rsidP="00DB5ABE">
            <w:pPr>
              <w:spacing w:after="0" w:line="240" w:lineRule="auto"/>
              <w:rPr>
                <w:rFonts w:ascii="Times New Roman" w:hAnsi="Times New Roman"/>
                <w:sz w:val="20"/>
                <w:szCs w:val="20"/>
              </w:rPr>
            </w:pPr>
          </w:p>
        </w:tc>
      </w:tr>
      <w:tr w:rsidR="00047399" w:rsidRPr="00F238BF" w14:paraId="77130EBE" w14:textId="77777777" w:rsidTr="009A3B0B">
        <w:trPr>
          <w:gridAfter w:val="1"/>
          <w:wAfter w:w="17" w:type="dxa"/>
        </w:trPr>
        <w:tc>
          <w:tcPr>
            <w:tcW w:w="10357" w:type="dxa"/>
            <w:gridSpan w:val="23"/>
          </w:tcPr>
          <w:p w14:paraId="76DF7EDE"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 xml:space="preserve">Residual Diagnostics </w:t>
            </w:r>
          </w:p>
        </w:tc>
      </w:tr>
      <w:tr w:rsidR="00047399" w:rsidRPr="00F238BF" w14:paraId="4A6C1A76" w14:textId="77777777" w:rsidTr="009A3B0B">
        <w:trPr>
          <w:gridAfter w:val="2"/>
          <w:wAfter w:w="41" w:type="dxa"/>
        </w:trPr>
        <w:tc>
          <w:tcPr>
            <w:tcW w:w="1159" w:type="dxa"/>
          </w:tcPr>
          <w:p w14:paraId="31299838" w14:textId="77777777" w:rsidR="00047399" w:rsidRPr="00F238BF" w:rsidRDefault="00047399" w:rsidP="00DB5ABE">
            <w:pPr>
              <w:spacing w:after="0" w:line="240" w:lineRule="auto"/>
              <w:ind w:right="-108"/>
              <w:rPr>
                <w:rFonts w:ascii="Times New Roman" w:hAnsi="Times New Roman"/>
                <w:color w:val="000000"/>
                <w:sz w:val="20"/>
                <w:szCs w:val="20"/>
              </w:rPr>
            </w:pPr>
            <w:proofErr w:type="spellStart"/>
            <w:r w:rsidRPr="00F238BF">
              <w:rPr>
                <w:rFonts w:ascii="Times New Roman" w:hAnsi="Times New Roman"/>
                <w:color w:val="000000"/>
                <w:sz w:val="20"/>
                <w:szCs w:val="20"/>
              </w:rPr>
              <w:t>Ljung</w:t>
            </w:r>
            <w:proofErr w:type="spellEnd"/>
            <w:r w:rsidRPr="00F238BF">
              <w:rPr>
                <w:rFonts w:ascii="Times New Roman" w:hAnsi="Times New Roman"/>
                <w:color w:val="000000"/>
                <w:sz w:val="20"/>
                <w:szCs w:val="20"/>
              </w:rPr>
              <w:t>-Box (PV)</w:t>
            </w:r>
          </w:p>
        </w:tc>
        <w:tc>
          <w:tcPr>
            <w:tcW w:w="1523" w:type="dxa"/>
            <w:gridSpan w:val="3"/>
          </w:tcPr>
          <w:p w14:paraId="23C1664D"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0.4068</w:t>
            </w:r>
          </w:p>
        </w:tc>
        <w:tc>
          <w:tcPr>
            <w:tcW w:w="1401" w:type="dxa"/>
            <w:gridSpan w:val="3"/>
          </w:tcPr>
          <w:p w14:paraId="4D7E562A"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0.5142</w:t>
            </w:r>
          </w:p>
        </w:tc>
        <w:tc>
          <w:tcPr>
            <w:tcW w:w="1577" w:type="dxa"/>
            <w:gridSpan w:val="4"/>
          </w:tcPr>
          <w:p w14:paraId="02BC59F6"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0.1890</w:t>
            </w:r>
          </w:p>
        </w:tc>
        <w:tc>
          <w:tcPr>
            <w:tcW w:w="1610" w:type="dxa"/>
            <w:gridSpan w:val="2"/>
          </w:tcPr>
          <w:p w14:paraId="0ED3D789"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0.6281</w:t>
            </w:r>
          </w:p>
        </w:tc>
        <w:tc>
          <w:tcPr>
            <w:tcW w:w="1465" w:type="dxa"/>
            <w:gridSpan w:val="5"/>
          </w:tcPr>
          <w:p w14:paraId="700059D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0.6034</w:t>
            </w:r>
          </w:p>
        </w:tc>
        <w:tc>
          <w:tcPr>
            <w:tcW w:w="1598" w:type="dxa"/>
            <w:gridSpan w:val="4"/>
          </w:tcPr>
          <w:p w14:paraId="5883915A"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0.4464</w:t>
            </w:r>
          </w:p>
        </w:tc>
      </w:tr>
      <w:tr w:rsidR="00047399" w:rsidRPr="00F238BF" w14:paraId="52EC93EC" w14:textId="77777777" w:rsidTr="009A3B0B">
        <w:trPr>
          <w:gridAfter w:val="2"/>
          <w:wAfter w:w="41" w:type="dxa"/>
        </w:trPr>
        <w:tc>
          <w:tcPr>
            <w:tcW w:w="1159" w:type="dxa"/>
          </w:tcPr>
          <w:p w14:paraId="304008DE" w14:textId="77777777" w:rsidR="00047399" w:rsidRPr="00F238BF" w:rsidRDefault="00047399" w:rsidP="00DB5ABE">
            <w:pPr>
              <w:spacing w:after="0" w:line="240" w:lineRule="auto"/>
              <w:ind w:right="-108"/>
              <w:rPr>
                <w:rFonts w:ascii="Times New Roman" w:hAnsi="Times New Roman"/>
                <w:color w:val="000000"/>
                <w:sz w:val="20"/>
                <w:szCs w:val="20"/>
              </w:rPr>
            </w:pPr>
            <w:proofErr w:type="spellStart"/>
            <w:r w:rsidRPr="00F238BF">
              <w:rPr>
                <w:rFonts w:ascii="Times New Roman" w:hAnsi="Times New Roman"/>
                <w:color w:val="000000"/>
                <w:sz w:val="20"/>
                <w:szCs w:val="20"/>
              </w:rPr>
              <w:t>Mcleoid</w:t>
            </w:r>
            <w:proofErr w:type="spellEnd"/>
            <w:r w:rsidRPr="00F238BF">
              <w:rPr>
                <w:rFonts w:ascii="Times New Roman" w:hAnsi="Times New Roman"/>
                <w:color w:val="000000"/>
                <w:sz w:val="20"/>
                <w:szCs w:val="20"/>
              </w:rPr>
              <w:t>–Li (PV)</w:t>
            </w:r>
          </w:p>
        </w:tc>
        <w:tc>
          <w:tcPr>
            <w:tcW w:w="1523" w:type="dxa"/>
            <w:gridSpan w:val="3"/>
          </w:tcPr>
          <w:p w14:paraId="23A10AFC"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0.2713</w:t>
            </w:r>
          </w:p>
        </w:tc>
        <w:tc>
          <w:tcPr>
            <w:tcW w:w="1401" w:type="dxa"/>
            <w:gridSpan w:val="3"/>
          </w:tcPr>
          <w:p w14:paraId="742F335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0.1287</w:t>
            </w:r>
          </w:p>
        </w:tc>
        <w:tc>
          <w:tcPr>
            <w:tcW w:w="1577" w:type="dxa"/>
            <w:gridSpan w:val="4"/>
          </w:tcPr>
          <w:p w14:paraId="51D0BF7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0.2143</w:t>
            </w:r>
          </w:p>
        </w:tc>
        <w:tc>
          <w:tcPr>
            <w:tcW w:w="1610" w:type="dxa"/>
            <w:gridSpan w:val="2"/>
          </w:tcPr>
          <w:p w14:paraId="504DD048"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0.4887</w:t>
            </w:r>
          </w:p>
        </w:tc>
        <w:tc>
          <w:tcPr>
            <w:tcW w:w="1465" w:type="dxa"/>
            <w:gridSpan w:val="5"/>
          </w:tcPr>
          <w:p w14:paraId="543C3FC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0.1272</w:t>
            </w:r>
          </w:p>
        </w:tc>
        <w:tc>
          <w:tcPr>
            <w:tcW w:w="1598" w:type="dxa"/>
            <w:gridSpan w:val="4"/>
          </w:tcPr>
          <w:p w14:paraId="2666DB0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0.0908</w:t>
            </w:r>
          </w:p>
        </w:tc>
      </w:tr>
      <w:tr w:rsidR="00047399" w:rsidRPr="00F238BF" w14:paraId="4507B9B0" w14:textId="77777777" w:rsidTr="009A3B0B">
        <w:trPr>
          <w:gridAfter w:val="2"/>
          <w:wAfter w:w="41" w:type="dxa"/>
        </w:trPr>
        <w:tc>
          <w:tcPr>
            <w:tcW w:w="1159" w:type="dxa"/>
          </w:tcPr>
          <w:p w14:paraId="58F3A76A" w14:textId="77777777" w:rsidR="00047399" w:rsidRPr="00F238BF" w:rsidRDefault="00047399" w:rsidP="00DB5ABE">
            <w:pPr>
              <w:spacing w:after="0" w:line="240" w:lineRule="auto"/>
              <w:ind w:right="-108"/>
              <w:rPr>
                <w:rFonts w:ascii="Times New Roman" w:hAnsi="Times New Roman"/>
                <w:color w:val="000000"/>
                <w:sz w:val="20"/>
                <w:szCs w:val="20"/>
              </w:rPr>
            </w:pPr>
            <w:r w:rsidRPr="00F238BF">
              <w:rPr>
                <w:rFonts w:ascii="Times New Roman" w:hAnsi="Times New Roman"/>
                <w:color w:val="000000"/>
                <w:sz w:val="20"/>
                <w:szCs w:val="20"/>
              </w:rPr>
              <w:t>Vol Persistence (oil)</w:t>
            </w:r>
          </w:p>
        </w:tc>
        <w:tc>
          <w:tcPr>
            <w:tcW w:w="1523" w:type="dxa"/>
            <w:gridSpan w:val="3"/>
          </w:tcPr>
          <w:p w14:paraId="166A6FD1"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0.92</w:t>
            </w:r>
          </w:p>
        </w:tc>
        <w:tc>
          <w:tcPr>
            <w:tcW w:w="1401" w:type="dxa"/>
            <w:gridSpan w:val="3"/>
          </w:tcPr>
          <w:p w14:paraId="0C50646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0.94</w:t>
            </w:r>
          </w:p>
        </w:tc>
        <w:tc>
          <w:tcPr>
            <w:tcW w:w="1577" w:type="dxa"/>
            <w:gridSpan w:val="4"/>
          </w:tcPr>
          <w:p w14:paraId="0328246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0.91</w:t>
            </w:r>
          </w:p>
        </w:tc>
        <w:tc>
          <w:tcPr>
            <w:tcW w:w="1610" w:type="dxa"/>
            <w:gridSpan w:val="2"/>
          </w:tcPr>
          <w:p w14:paraId="36092F41"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0.80</w:t>
            </w:r>
          </w:p>
        </w:tc>
        <w:tc>
          <w:tcPr>
            <w:tcW w:w="1465" w:type="dxa"/>
            <w:gridSpan w:val="5"/>
          </w:tcPr>
          <w:p w14:paraId="19668E0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0.99</w:t>
            </w:r>
          </w:p>
        </w:tc>
        <w:tc>
          <w:tcPr>
            <w:tcW w:w="1598" w:type="dxa"/>
            <w:gridSpan w:val="4"/>
          </w:tcPr>
          <w:p w14:paraId="0E649DD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 xml:space="preserve">0.93 </w:t>
            </w:r>
          </w:p>
        </w:tc>
      </w:tr>
      <w:tr w:rsidR="00047399" w:rsidRPr="00F238BF" w14:paraId="53FCC109" w14:textId="77777777" w:rsidTr="009A3B0B">
        <w:trPr>
          <w:gridAfter w:val="2"/>
          <w:wAfter w:w="41" w:type="dxa"/>
        </w:trPr>
        <w:tc>
          <w:tcPr>
            <w:tcW w:w="1159" w:type="dxa"/>
          </w:tcPr>
          <w:p w14:paraId="546B6F73" w14:textId="77777777" w:rsidR="00047399" w:rsidRPr="00F238BF" w:rsidRDefault="00047399" w:rsidP="00DB5ABE">
            <w:pPr>
              <w:spacing w:after="0" w:line="240" w:lineRule="auto"/>
              <w:ind w:right="-108"/>
              <w:rPr>
                <w:rFonts w:ascii="Times New Roman" w:hAnsi="Times New Roman"/>
                <w:color w:val="000000"/>
                <w:sz w:val="20"/>
                <w:szCs w:val="20"/>
              </w:rPr>
            </w:pPr>
            <w:proofErr w:type="spellStart"/>
            <w:proofErr w:type="gramStart"/>
            <w:r w:rsidRPr="00F238BF">
              <w:rPr>
                <w:rFonts w:ascii="Times New Roman" w:hAnsi="Times New Roman"/>
                <w:color w:val="000000"/>
                <w:sz w:val="20"/>
                <w:szCs w:val="20"/>
              </w:rPr>
              <w:t>VolPersistence</w:t>
            </w:r>
            <w:proofErr w:type="spellEnd"/>
            <w:r w:rsidRPr="00F238BF">
              <w:rPr>
                <w:rFonts w:ascii="Times New Roman" w:hAnsi="Times New Roman"/>
                <w:color w:val="000000"/>
                <w:sz w:val="20"/>
                <w:szCs w:val="20"/>
              </w:rPr>
              <w:t xml:space="preserve">  (</w:t>
            </w:r>
            <w:proofErr w:type="gramEnd"/>
            <w:r w:rsidRPr="00F238BF">
              <w:rPr>
                <w:rFonts w:ascii="Times New Roman" w:hAnsi="Times New Roman"/>
                <w:color w:val="000000"/>
                <w:sz w:val="20"/>
                <w:szCs w:val="20"/>
              </w:rPr>
              <w:t>stock)</w:t>
            </w:r>
          </w:p>
        </w:tc>
        <w:tc>
          <w:tcPr>
            <w:tcW w:w="1523" w:type="dxa"/>
            <w:gridSpan w:val="3"/>
          </w:tcPr>
          <w:p w14:paraId="389F78CD"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1.33</w:t>
            </w:r>
          </w:p>
        </w:tc>
        <w:tc>
          <w:tcPr>
            <w:tcW w:w="1401" w:type="dxa"/>
            <w:gridSpan w:val="3"/>
          </w:tcPr>
          <w:p w14:paraId="58EA2B2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0.50</w:t>
            </w:r>
          </w:p>
        </w:tc>
        <w:tc>
          <w:tcPr>
            <w:tcW w:w="1577" w:type="dxa"/>
            <w:gridSpan w:val="4"/>
          </w:tcPr>
          <w:p w14:paraId="2A85AF50"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0.62</w:t>
            </w:r>
          </w:p>
        </w:tc>
        <w:tc>
          <w:tcPr>
            <w:tcW w:w="1610" w:type="dxa"/>
            <w:gridSpan w:val="2"/>
          </w:tcPr>
          <w:p w14:paraId="65A3627B"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0.33</w:t>
            </w:r>
          </w:p>
        </w:tc>
        <w:tc>
          <w:tcPr>
            <w:tcW w:w="1465" w:type="dxa"/>
            <w:gridSpan w:val="5"/>
          </w:tcPr>
          <w:p w14:paraId="4806016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0.08</w:t>
            </w:r>
          </w:p>
        </w:tc>
        <w:tc>
          <w:tcPr>
            <w:tcW w:w="1598" w:type="dxa"/>
            <w:gridSpan w:val="4"/>
          </w:tcPr>
          <w:p w14:paraId="29704B1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0.94</w:t>
            </w:r>
          </w:p>
        </w:tc>
      </w:tr>
    </w:tbl>
    <w:p w14:paraId="22866BC2" w14:textId="77777777" w:rsidR="00047399" w:rsidRDefault="00047399" w:rsidP="00DB5ABE">
      <w:pPr>
        <w:spacing w:after="0" w:line="240" w:lineRule="auto"/>
        <w:rPr>
          <w:rFonts w:eastAsia="Times New Roman"/>
          <w:color w:val="000000"/>
        </w:rPr>
      </w:pPr>
      <w:bookmarkStart w:id="0" w:name="_Hlk92101054"/>
    </w:p>
    <w:p w14:paraId="20E349C3" w14:textId="77777777" w:rsidR="009A3B0B" w:rsidRDefault="009A3B0B" w:rsidP="00DB5ABE">
      <w:pPr>
        <w:spacing w:after="0" w:line="240" w:lineRule="auto"/>
        <w:rPr>
          <w:rFonts w:ascii="Times New Roman" w:eastAsia="Times New Roman" w:hAnsi="Times New Roman"/>
          <w:b/>
          <w:color w:val="000000"/>
          <w:sz w:val="24"/>
          <w:szCs w:val="24"/>
        </w:rPr>
      </w:pPr>
    </w:p>
    <w:p w14:paraId="4BE55D5E" w14:textId="77777777" w:rsidR="009A3B0B" w:rsidRDefault="009A3B0B" w:rsidP="00DB5ABE">
      <w:pPr>
        <w:spacing w:after="0" w:line="240" w:lineRule="auto"/>
        <w:rPr>
          <w:rFonts w:ascii="Times New Roman" w:eastAsia="Times New Roman" w:hAnsi="Times New Roman"/>
          <w:b/>
          <w:color w:val="000000"/>
          <w:sz w:val="24"/>
          <w:szCs w:val="24"/>
        </w:rPr>
      </w:pPr>
    </w:p>
    <w:p w14:paraId="45F7B3C5" w14:textId="77777777" w:rsidR="009A3B0B" w:rsidRDefault="009A3B0B" w:rsidP="00DB5ABE">
      <w:pPr>
        <w:spacing w:after="0" w:line="240" w:lineRule="auto"/>
        <w:rPr>
          <w:rFonts w:ascii="Times New Roman" w:eastAsia="Times New Roman" w:hAnsi="Times New Roman"/>
          <w:b/>
          <w:color w:val="000000"/>
          <w:sz w:val="24"/>
          <w:szCs w:val="24"/>
        </w:rPr>
      </w:pPr>
    </w:p>
    <w:p w14:paraId="1CB9926D" w14:textId="77777777" w:rsidR="009A3B0B" w:rsidRDefault="009A3B0B" w:rsidP="00DB5ABE">
      <w:pPr>
        <w:spacing w:after="0" w:line="240" w:lineRule="auto"/>
        <w:rPr>
          <w:rFonts w:ascii="Times New Roman" w:eastAsia="Times New Roman" w:hAnsi="Times New Roman"/>
          <w:b/>
          <w:color w:val="000000"/>
          <w:sz w:val="24"/>
          <w:szCs w:val="24"/>
        </w:rPr>
      </w:pPr>
    </w:p>
    <w:p w14:paraId="40BA4E36" w14:textId="77777777" w:rsidR="009A3B0B" w:rsidRDefault="009A3B0B" w:rsidP="00DB5ABE">
      <w:pPr>
        <w:spacing w:after="0" w:line="240" w:lineRule="auto"/>
        <w:rPr>
          <w:rFonts w:ascii="Times New Roman" w:eastAsia="Times New Roman" w:hAnsi="Times New Roman"/>
          <w:b/>
          <w:color w:val="000000"/>
          <w:sz w:val="24"/>
          <w:szCs w:val="24"/>
        </w:rPr>
      </w:pPr>
    </w:p>
    <w:p w14:paraId="1E7C983F" w14:textId="77777777" w:rsidR="009A3B0B" w:rsidRDefault="009A3B0B" w:rsidP="00DB5ABE">
      <w:pPr>
        <w:spacing w:after="0" w:line="240" w:lineRule="auto"/>
        <w:rPr>
          <w:rFonts w:ascii="Times New Roman" w:eastAsia="Times New Roman" w:hAnsi="Times New Roman"/>
          <w:b/>
          <w:color w:val="000000"/>
          <w:sz w:val="24"/>
          <w:szCs w:val="24"/>
        </w:rPr>
      </w:pPr>
    </w:p>
    <w:p w14:paraId="10F35D2A" w14:textId="77777777" w:rsidR="009A3B0B" w:rsidRDefault="009A3B0B" w:rsidP="00DB5ABE">
      <w:pPr>
        <w:spacing w:after="0" w:line="240" w:lineRule="auto"/>
        <w:rPr>
          <w:rFonts w:ascii="Times New Roman" w:eastAsia="Times New Roman" w:hAnsi="Times New Roman"/>
          <w:b/>
          <w:color w:val="000000"/>
          <w:sz w:val="24"/>
          <w:szCs w:val="24"/>
        </w:rPr>
      </w:pPr>
    </w:p>
    <w:p w14:paraId="19E0C420" w14:textId="2CE965CE" w:rsidR="00047399" w:rsidRPr="00C04962" w:rsidRDefault="00047399" w:rsidP="00DB5ABE">
      <w:pPr>
        <w:spacing w:after="0" w:line="240" w:lineRule="auto"/>
        <w:rPr>
          <w:rFonts w:ascii="Times New Roman" w:eastAsia="Times New Roman" w:hAnsi="Times New Roman"/>
          <w:b/>
          <w:color w:val="000000"/>
          <w:sz w:val="24"/>
          <w:szCs w:val="24"/>
        </w:rPr>
      </w:pPr>
      <w:r w:rsidRPr="00C04962">
        <w:rPr>
          <w:rFonts w:ascii="Times New Roman" w:eastAsia="Times New Roman" w:hAnsi="Times New Roman"/>
          <w:b/>
          <w:color w:val="000000"/>
          <w:sz w:val="24"/>
          <w:szCs w:val="24"/>
        </w:rPr>
        <w:lastRenderedPageBreak/>
        <w:t xml:space="preserve">Table </w:t>
      </w:r>
      <w:r w:rsidR="005464FC">
        <w:rPr>
          <w:rFonts w:ascii="Times New Roman" w:eastAsia="Times New Roman" w:hAnsi="Times New Roman"/>
          <w:b/>
          <w:color w:val="000000"/>
          <w:sz w:val="24"/>
          <w:szCs w:val="24"/>
        </w:rPr>
        <w:t>4</w:t>
      </w:r>
      <w:r w:rsidRPr="00C04962">
        <w:rPr>
          <w:rFonts w:ascii="Times New Roman" w:eastAsia="Times New Roman" w:hAnsi="Times New Roman"/>
          <w:b/>
          <w:color w:val="000000"/>
          <w:sz w:val="24"/>
          <w:szCs w:val="24"/>
        </w:rPr>
        <w:t xml:space="preserve"> CCC-VARMA–(</w:t>
      </w:r>
      <w:r w:rsidR="009878F4">
        <w:rPr>
          <w:rFonts w:ascii="Times New Roman" w:eastAsia="Times New Roman" w:hAnsi="Times New Roman"/>
          <w:b/>
          <w:color w:val="000000"/>
          <w:sz w:val="24"/>
          <w:szCs w:val="24"/>
        </w:rPr>
        <w:t>B</w:t>
      </w:r>
      <w:r w:rsidRPr="00C04962">
        <w:rPr>
          <w:rFonts w:ascii="Times New Roman" w:eastAsia="Times New Roman" w:hAnsi="Times New Roman"/>
          <w:b/>
          <w:color w:val="000000"/>
          <w:sz w:val="24"/>
          <w:szCs w:val="24"/>
        </w:rPr>
        <w:t xml:space="preserve">) GARCH MODEL RESULTS </w:t>
      </w:r>
    </w:p>
    <w:tbl>
      <w:tblPr>
        <w:tblW w:w="9843"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45"/>
        <w:gridCol w:w="786"/>
        <w:gridCol w:w="924"/>
        <w:gridCol w:w="812"/>
        <w:gridCol w:w="747"/>
        <w:gridCol w:w="6"/>
        <w:gridCol w:w="866"/>
        <w:gridCol w:w="798"/>
        <w:gridCol w:w="26"/>
        <w:gridCol w:w="19"/>
        <w:gridCol w:w="757"/>
        <w:gridCol w:w="1009"/>
        <w:gridCol w:w="802"/>
        <w:gridCol w:w="6"/>
        <w:gridCol w:w="906"/>
        <w:gridCol w:w="34"/>
      </w:tblGrid>
      <w:tr w:rsidR="00047399" w:rsidRPr="00F238BF" w14:paraId="097646F9" w14:textId="77777777" w:rsidTr="003D640C">
        <w:tc>
          <w:tcPr>
            <w:tcW w:w="9843" w:type="dxa"/>
            <w:gridSpan w:val="16"/>
          </w:tcPr>
          <w:p w14:paraId="5ED0C083"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 xml:space="preserve">Mean Equation </w:t>
            </w:r>
          </w:p>
        </w:tc>
      </w:tr>
      <w:tr w:rsidR="00047399" w:rsidRPr="00F238BF" w14:paraId="04C510E0" w14:textId="77777777" w:rsidTr="003D640C">
        <w:trPr>
          <w:gridAfter w:val="1"/>
          <w:wAfter w:w="34" w:type="dxa"/>
        </w:trPr>
        <w:tc>
          <w:tcPr>
            <w:tcW w:w="1345" w:type="dxa"/>
          </w:tcPr>
          <w:p w14:paraId="198D68B8" w14:textId="77777777" w:rsidR="00047399" w:rsidRPr="00F238BF" w:rsidRDefault="00047399" w:rsidP="00DB5ABE">
            <w:pPr>
              <w:spacing w:after="0" w:line="240" w:lineRule="auto"/>
              <w:rPr>
                <w:rFonts w:ascii="Times New Roman" w:hAnsi="Times New Roman"/>
                <w:i/>
                <w:iCs/>
                <w:sz w:val="20"/>
                <w:szCs w:val="20"/>
              </w:rPr>
            </w:pPr>
            <w:r w:rsidRPr="00F238BF">
              <w:rPr>
                <w:rFonts w:ascii="Times New Roman" w:hAnsi="Times New Roman"/>
                <w:i/>
                <w:iCs/>
                <w:sz w:val="20"/>
                <w:szCs w:val="20"/>
              </w:rPr>
              <w:t>Parameters→</w:t>
            </w:r>
          </w:p>
          <w:p w14:paraId="60F71F67" w14:textId="77777777" w:rsidR="00047399" w:rsidRPr="00F238BF" w:rsidRDefault="00047399" w:rsidP="00DB5ABE">
            <w:pPr>
              <w:spacing w:after="0" w:line="240" w:lineRule="auto"/>
              <w:rPr>
                <w:rFonts w:ascii="Times New Roman" w:hAnsi="Times New Roman"/>
                <w:i/>
                <w:iCs/>
                <w:sz w:val="20"/>
                <w:szCs w:val="20"/>
              </w:rPr>
            </w:pPr>
            <w:r w:rsidRPr="00F238BF">
              <w:rPr>
                <w:rFonts w:ascii="Times New Roman" w:hAnsi="Times New Roman"/>
                <w:i/>
                <w:iCs/>
                <w:sz w:val="20"/>
                <w:szCs w:val="20"/>
              </w:rPr>
              <w:t>Variables↓</w:t>
            </w:r>
          </w:p>
        </w:tc>
        <w:tc>
          <w:tcPr>
            <w:tcW w:w="1710" w:type="dxa"/>
            <w:gridSpan w:val="2"/>
          </w:tcPr>
          <w:p w14:paraId="037C93FB"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Oil-ICT</w:t>
            </w:r>
          </w:p>
          <w:p w14:paraId="5D45A454" w14:textId="77777777" w:rsidR="00047399" w:rsidRDefault="00047399" w:rsidP="00DB5ABE">
            <w:pPr>
              <w:spacing w:after="0" w:line="240" w:lineRule="auto"/>
              <w:rPr>
                <w:rFonts w:ascii="Times New Roman" w:hAnsi="Times New Roman"/>
                <w:i/>
                <w:color w:val="000000"/>
                <w:sz w:val="20"/>
                <w:szCs w:val="20"/>
              </w:rPr>
            </w:pPr>
          </w:p>
          <w:p w14:paraId="53BE016E"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565" w:type="dxa"/>
            <w:gridSpan w:val="3"/>
          </w:tcPr>
          <w:p w14:paraId="3B49CDC6"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Oil-Industrial Goods </w:t>
            </w:r>
          </w:p>
          <w:p w14:paraId="19680597"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690" w:type="dxa"/>
            <w:gridSpan w:val="3"/>
          </w:tcPr>
          <w:p w14:paraId="46AB3178"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Oil Natural resources </w:t>
            </w:r>
          </w:p>
          <w:p w14:paraId="3095AA9A"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785" w:type="dxa"/>
            <w:gridSpan w:val="3"/>
          </w:tcPr>
          <w:p w14:paraId="78BE9FE5"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Oil- Oil and</w:t>
            </w:r>
          </w:p>
          <w:p w14:paraId="44091F1C"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 Gas</w:t>
            </w:r>
          </w:p>
          <w:p w14:paraId="2CFB4605"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c>
          <w:tcPr>
            <w:tcW w:w="1714" w:type="dxa"/>
            <w:gridSpan w:val="3"/>
          </w:tcPr>
          <w:p w14:paraId="3EBA0748" w14:textId="77777777" w:rsidR="00047399" w:rsidRPr="00F238BF"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Oil- </w:t>
            </w:r>
          </w:p>
          <w:p w14:paraId="01B62A5B" w14:textId="77777777" w:rsidR="00047399" w:rsidRDefault="00047399" w:rsidP="00DB5ABE">
            <w:pPr>
              <w:spacing w:after="0" w:line="240" w:lineRule="auto"/>
              <w:rPr>
                <w:rFonts w:ascii="Times New Roman" w:hAnsi="Times New Roman"/>
                <w:i/>
                <w:color w:val="000000"/>
                <w:sz w:val="20"/>
                <w:szCs w:val="20"/>
              </w:rPr>
            </w:pPr>
            <w:r w:rsidRPr="00F238BF">
              <w:rPr>
                <w:rFonts w:ascii="Times New Roman" w:hAnsi="Times New Roman"/>
                <w:i/>
                <w:color w:val="000000"/>
                <w:sz w:val="20"/>
                <w:szCs w:val="20"/>
              </w:rPr>
              <w:t xml:space="preserve">Services </w:t>
            </w:r>
          </w:p>
          <w:p w14:paraId="44838654" w14:textId="77777777" w:rsidR="00047399" w:rsidRPr="00F238BF" w:rsidRDefault="00047399" w:rsidP="00DB5ABE">
            <w:pPr>
              <w:spacing w:after="0" w:line="240" w:lineRule="auto"/>
              <w:rPr>
                <w:rFonts w:ascii="Times New Roman" w:hAnsi="Times New Roman"/>
                <w:i/>
                <w:color w:val="000000"/>
                <w:sz w:val="20"/>
                <w:szCs w:val="20"/>
              </w:rPr>
            </w:pPr>
            <w:r>
              <w:rPr>
                <w:rFonts w:ascii="Times New Roman" w:hAnsi="Times New Roman"/>
                <w:i/>
                <w:color w:val="000000"/>
                <w:sz w:val="20"/>
                <w:szCs w:val="20"/>
              </w:rPr>
              <w:t>Coef.            PV</w:t>
            </w:r>
          </w:p>
        </w:tc>
      </w:tr>
      <w:tr w:rsidR="00047399" w:rsidRPr="00F238BF" w14:paraId="55B6141F" w14:textId="77777777" w:rsidTr="003D640C">
        <w:trPr>
          <w:gridAfter w:val="1"/>
          <w:wAfter w:w="34" w:type="dxa"/>
        </w:trPr>
        <w:tc>
          <w:tcPr>
            <w:tcW w:w="1345" w:type="dxa"/>
          </w:tcPr>
          <w:p w14:paraId="17250904"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r>
                      <m:rPr>
                        <m:sty m:val="bi"/>
                      </m:rPr>
                      <w:rPr>
                        <w:rFonts w:ascii="Cambria Math" w:hAnsi="Cambria Math"/>
                        <w:sz w:val="24"/>
                        <w:szCs w:val="24"/>
                      </w:rPr>
                      <m:t>oil</m:t>
                    </m:r>
                  </m:sub>
                </m:sSub>
              </m:oMath>
            </m:oMathPara>
          </w:p>
        </w:tc>
        <w:tc>
          <w:tcPr>
            <w:tcW w:w="786" w:type="dxa"/>
            <w:tcBorders>
              <w:right w:val="single" w:sz="4" w:space="0" w:color="auto"/>
            </w:tcBorders>
          </w:tcPr>
          <w:p w14:paraId="02D7954E" w14:textId="77777777" w:rsidR="00047399" w:rsidRPr="00F238BF" w:rsidRDefault="00047399" w:rsidP="00DB5ABE">
            <w:pPr>
              <w:spacing w:after="0" w:line="240" w:lineRule="auto"/>
              <w:rPr>
                <w:rFonts w:ascii="Times New Roman" w:eastAsia="Times New Roman" w:hAnsi="Times New Roman"/>
                <w:b/>
                <w:sz w:val="20"/>
                <w:szCs w:val="20"/>
              </w:rPr>
            </w:pPr>
            <w:r w:rsidRPr="00F238BF">
              <w:rPr>
                <w:rFonts w:ascii="Times New Roman" w:eastAsia="Times New Roman" w:hAnsi="Times New Roman"/>
                <w:b/>
                <w:sz w:val="20"/>
                <w:szCs w:val="20"/>
              </w:rPr>
              <w:t xml:space="preserve">  0.035</w:t>
            </w:r>
          </w:p>
        </w:tc>
        <w:tc>
          <w:tcPr>
            <w:tcW w:w="924" w:type="dxa"/>
            <w:tcBorders>
              <w:left w:val="single" w:sz="4" w:space="0" w:color="auto"/>
            </w:tcBorders>
          </w:tcPr>
          <w:p w14:paraId="23878351"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20C573D3" w14:textId="77777777" w:rsidR="00047399" w:rsidRPr="00F238BF" w:rsidRDefault="00047399" w:rsidP="00DB5ABE">
            <w:pPr>
              <w:spacing w:after="0" w:line="240" w:lineRule="auto"/>
              <w:rPr>
                <w:rFonts w:ascii="Times New Roman" w:eastAsia="Times New Roman" w:hAnsi="Times New Roman"/>
                <w:sz w:val="20"/>
                <w:szCs w:val="20"/>
              </w:rPr>
            </w:pPr>
            <w:r>
              <w:rPr>
                <w:rFonts w:ascii="Times New Roman" w:eastAsia="Times New Roman" w:hAnsi="Times New Roman"/>
                <w:sz w:val="20"/>
                <w:szCs w:val="20"/>
              </w:rPr>
              <w:t>-0.03</w:t>
            </w:r>
          </w:p>
        </w:tc>
        <w:tc>
          <w:tcPr>
            <w:tcW w:w="747" w:type="dxa"/>
            <w:tcBorders>
              <w:left w:val="single" w:sz="4" w:space="0" w:color="auto"/>
            </w:tcBorders>
          </w:tcPr>
          <w:p w14:paraId="51F93560" w14:textId="77777777" w:rsidR="00047399" w:rsidRPr="00BD6838" w:rsidRDefault="00047399" w:rsidP="00DB5ABE">
            <w:pPr>
              <w:spacing w:after="0" w:line="240" w:lineRule="auto"/>
              <w:jc w:val="center"/>
              <w:rPr>
                <w:rFonts w:ascii="Times New Roman" w:eastAsia="Times New Roman" w:hAnsi="Times New Roman"/>
                <w:sz w:val="20"/>
                <w:szCs w:val="20"/>
              </w:rPr>
            </w:pPr>
          </w:p>
        </w:tc>
        <w:tc>
          <w:tcPr>
            <w:tcW w:w="872" w:type="dxa"/>
            <w:gridSpan w:val="2"/>
            <w:tcBorders>
              <w:right w:val="single" w:sz="4" w:space="0" w:color="auto"/>
            </w:tcBorders>
          </w:tcPr>
          <w:p w14:paraId="608187E7" w14:textId="77777777" w:rsidR="00047399" w:rsidRPr="00F238BF" w:rsidRDefault="00047399" w:rsidP="00DB5ABE">
            <w:pPr>
              <w:spacing w:after="0" w:line="240" w:lineRule="auto"/>
              <w:rPr>
                <w:rFonts w:ascii="Times New Roman" w:eastAsia="Times New Roman" w:hAnsi="Times New Roman"/>
                <w:b/>
                <w:sz w:val="20"/>
                <w:szCs w:val="20"/>
              </w:rPr>
            </w:pPr>
            <w:r w:rsidRPr="00F238BF">
              <w:rPr>
                <w:rFonts w:ascii="Times New Roman" w:eastAsia="Times New Roman" w:hAnsi="Times New Roman"/>
                <w:b/>
                <w:sz w:val="20"/>
                <w:szCs w:val="20"/>
              </w:rPr>
              <w:t>-</w:t>
            </w:r>
            <w:r>
              <w:rPr>
                <w:rFonts w:ascii="Times New Roman" w:eastAsia="Times New Roman" w:hAnsi="Times New Roman"/>
                <w:b/>
                <w:sz w:val="20"/>
                <w:szCs w:val="20"/>
              </w:rPr>
              <w:t>528</w:t>
            </w:r>
          </w:p>
        </w:tc>
        <w:tc>
          <w:tcPr>
            <w:tcW w:w="798" w:type="dxa"/>
            <w:tcBorders>
              <w:left w:val="single" w:sz="4" w:space="0" w:color="auto"/>
            </w:tcBorders>
          </w:tcPr>
          <w:p w14:paraId="64479590"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29419DB0" w14:textId="77777777" w:rsidR="00047399" w:rsidRPr="00F238BF" w:rsidRDefault="00047399" w:rsidP="00DB5ABE">
            <w:pPr>
              <w:spacing w:after="0" w:line="240" w:lineRule="auto"/>
              <w:rPr>
                <w:rFonts w:ascii="Times New Roman" w:eastAsia="Times New Roman" w:hAnsi="Times New Roman"/>
                <w:sz w:val="20"/>
                <w:szCs w:val="20"/>
              </w:rPr>
            </w:pPr>
            <w:r>
              <w:rPr>
                <w:rFonts w:ascii="Times New Roman" w:eastAsia="Times New Roman" w:hAnsi="Times New Roman"/>
                <w:sz w:val="20"/>
                <w:szCs w:val="20"/>
              </w:rPr>
              <w:t xml:space="preserve">  0.032</w:t>
            </w:r>
          </w:p>
        </w:tc>
        <w:tc>
          <w:tcPr>
            <w:tcW w:w="1009" w:type="dxa"/>
            <w:tcBorders>
              <w:left w:val="single" w:sz="4" w:space="0" w:color="auto"/>
            </w:tcBorders>
          </w:tcPr>
          <w:p w14:paraId="554B43C0" w14:textId="77777777" w:rsidR="00047399" w:rsidRPr="00BD6838" w:rsidRDefault="00047399" w:rsidP="00DB5ABE">
            <w:pPr>
              <w:spacing w:after="0" w:line="240" w:lineRule="auto"/>
              <w:jc w:val="center"/>
              <w:rPr>
                <w:rFonts w:ascii="Times New Roman" w:eastAsia="Times New Roman" w:hAnsi="Times New Roman"/>
                <w:sz w:val="20"/>
                <w:szCs w:val="20"/>
              </w:rPr>
            </w:pPr>
          </w:p>
        </w:tc>
        <w:tc>
          <w:tcPr>
            <w:tcW w:w="802" w:type="dxa"/>
            <w:tcBorders>
              <w:right w:val="single" w:sz="4" w:space="0" w:color="auto"/>
            </w:tcBorders>
          </w:tcPr>
          <w:p w14:paraId="4372FC49" w14:textId="77777777" w:rsidR="00047399" w:rsidRPr="00F238BF" w:rsidRDefault="00047399" w:rsidP="00DB5AB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-0.014</w:t>
            </w:r>
          </w:p>
        </w:tc>
        <w:tc>
          <w:tcPr>
            <w:tcW w:w="912" w:type="dxa"/>
            <w:gridSpan w:val="2"/>
            <w:tcBorders>
              <w:left w:val="single" w:sz="4" w:space="0" w:color="auto"/>
            </w:tcBorders>
          </w:tcPr>
          <w:p w14:paraId="2D4546B3"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2E570C7F" w14:textId="77777777" w:rsidTr="003D640C">
        <w:trPr>
          <w:gridAfter w:val="1"/>
          <w:wAfter w:w="34" w:type="dxa"/>
        </w:trPr>
        <w:tc>
          <w:tcPr>
            <w:tcW w:w="1345" w:type="dxa"/>
          </w:tcPr>
          <w:p w14:paraId="452ED3F6"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r>
                      <m:rPr>
                        <m:sty m:val="bi"/>
                      </m:rPr>
                      <w:rPr>
                        <w:rFonts w:ascii="Cambria Math" w:hAnsi="Cambria Math"/>
                        <w:sz w:val="24"/>
                        <w:szCs w:val="24"/>
                      </w:rPr>
                      <m:t>s</m:t>
                    </m:r>
                  </m:sub>
                </m:sSub>
              </m:oMath>
            </m:oMathPara>
          </w:p>
        </w:tc>
        <w:tc>
          <w:tcPr>
            <w:tcW w:w="786" w:type="dxa"/>
            <w:tcBorders>
              <w:right w:val="single" w:sz="4" w:space="0" w:color="auto"/>
            </w:tcBorders>
          </w:tcPr>
          <w:p w14:paraId="30865105"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-0.005</w:t>
            </w:r>
          </w:p>
        </w:tc>
        <w:tc>
          <w:tcPr>
            <w:tcW w:w="924" w:type="dxa"/>
            <w:tcBorders>
              <w:left w:val="single" w:sz="4" w:space="0" w:color="auto"/>
            </w:tcBorders>
          </w:tcPr>
          <w:p w14:paraId="2BDEFFB0"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2503D8BB"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0.044</w:t>
            </w:r>
          </w:p>
        </w:tc>
        <w:tc>
          <w:tcPr>
            <w:tcW w:w="747" w:type="dxa"/>
            <w:tcBorders>
              <w:left w:val="single" w:sz="4" w:space="0" w:color="auto"/>
            </w:tcBorders>
          </w:tcPr>
          <w:p w14:paraId="1F9E56F3"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187A7A07"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0.046</w:t>
            </w:r>
          </w:p>
        </w:tc>
        <w:tc>
          <w:tcPr>
            <w:tcW w:w="798" w:type="dxa"/>
            <w:tcBorders>
              <w:left w:val="single" w:sz="4" w:space="0" w:color="auto"/>
            </w:tcBorders>
          </w:tcPr>
          <w:p w14:paraId="2DA8188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24C2303D" w14:textId="77777777" w:rsidR="00047399" w:rsidRPr="00F238BF" w:rsidRDefault="00047399" w:rsidP="00DB5ABE">
            <w:pPr>
              <w:spacing w:after="0" w:line="240" w:lineRule="auto"/>
              <w:rPr>
                <w:rFonts w:ascii="Times New Roman" w:hAnsi="Times New Roman"/>
                <w:sz w:val="20"/>
                <w:szCs w:val="20"/>
              </w:rPr>
            </w:pPr>
            <w:r>
              <w:rPr>
                <w:rFonts w:ascii="Times New Roman" w:hAnsi="Times New Roman"/>
                <w:sz w:val="20"/>
                <w:szCs w:val="20"/>
              </w:rPr>
              <w:t>-0.004</w:t>
            </w:r>
          </w:p>
        </w:tc>
        <w:tc>
          <w:tcPr>
            <w:tcW w:w="1009" w:type="dxa"/>
            <w:tcBorders>
              <w:left w:val="single" w:sz="4" w:space="0" w:color="auto"/>
            </w:tcBorders>
          </w:tcPr>
          <w:p w14:paraId="48C16049" w14:textId="77777777" w:rsidR="00047399" w:rsidRPr="00F238BF" w:rsidRDefault="00047399" w:rsidP="00DB5ABE">
            <w:pPr>
              <w:spacing w:after="0" w:line="240" w:lineRule="auto"/>
              <w:jc w:val="center"/>
              <w:rPr>
                <w:rFonts w:ascii="Times New Roman" w:hAnsi="Times New Roman"/>
                <w:b/>
                <w:sz w:val="20"/>
                <w:szCs w:val="20"/>
              </w:rPr>
            </w:pPr>
          </w:p>
        </w:tc>
        <w:tc>
          <w:tcPr>
            <w:tcW w:w="802" w:type="dxa"/>
            <w:tcBorders>
              <w:right w:val="single" w:sz="4" w:space="0" w:color="auto"/>
            </w:tcBorders>
          </w:tcPr>
          <w:p w14:paraId="3D97BF57"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0.050</w:t>
            </w:r>
          </w:p>
        </w:tc>
        <w:tc>
          <w:tcPr>
            <w:tcW w:w="912" w:type="dxa"/>
            <w:gridSpan w:val="2"/>
            <w:tcBorders>
              <w:left w:val="single" w:sz="4" w:space="0" w:color="auto"/>
            </w:tcBorders>
          </w:tcPr>
          <w:p w14:paraId="019438E3"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6BF04BD6" w14:textId="77777777" w:rsidTr="003D640C">
        <w:trPr>
          <w:gridAfter w:val="1"/>
          <w:wAfter w:w="34" w:type="dxa"/>
        </w:trPr>
        <w:tc>
          <w:tcPr>
            <w:tcW w:w="1345" w:type="dxa"/>
          </w:tcPr>
          <w:p w14:paraId="5C87282C"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sSup>
                      <m:sSupPr>
                        <m:ctrlPr>
                          <w:rPr>
                            <w:rFonts w:ascii="Cambria Math" w:hAnsi="Times New Roman"/>
                            <w:b/>
                            <w:bCs/>
                            <w:i/>
                            <w:sz w:val="24"/>
                            <w:szCs w:val="24"/>
                          </w:rPr>
                        </m:ctrlPr>
                      </m:sSupPr>
                      <m:e>
                        <m:r>
                          <m:rPr>
                            <m:sty m:val="bi"/>
                          </m:rPr>
                          <w:rPr>
                            <w:rFonts w:ascii="Cambria Math" w:hAnsi="Cambria Math"/>
                            <w:sz w:val="24"/>
                            <w:szCs w:val="24"/>
                          </w:rPr>
                          <m:t>oil</m:t>
                        </m:r>
                      </m:e>
                      <m:sup>
                        <m:r>
                          <m:rPr>
                            <m:sty m:val="bi"/>
                          </m:rPr>
                          <w:rPr>
                            <w:rFonts w:ascii="Cambria Math" w:hAnsi="Cambria Math"/>
                            <w:sz w:val="24"/>
                            <w:szCs w:val="24"/>
                          </w:rPr>
                          <m:t>s</m:t>
                        </m:r>
                      </m:sup>
                    </m:sSup>
                  </m:sub>
                </m:sSub>
              </m:oMath>
            </m:oMathPara>
          </w:p>
        </w:tc>
        <w:tc>
          <w:tcPr>
            <w:tcW w:w="786" w:type="dxa"/>
            <w:tcBorders>
              <w:right w:val="single" w:sz="4" w:space="0" w:color="auto"/>
            </w:tcBorders>
          </w:tcPr>
          <w:p w14:paraId="481D02A1" w14:textId="77777777" w:rsidR="00047399" w:rsidRPr="00F238BF" w:rsidRDefault="00047399" w:rsidP="00DB5ABE">
            <w:pPr>
              <w:spacing w:after="0" w:line="240" w:lineRule="auto"/>
              <w:rPr>
                <w:rFonts w:ascii="Times New Roman" w:hAnsi="Times New Roman"/>
                <w:b/>
                <w:sz w:val="20"/>
                <w:szCs w:val="20"/>
              </w:rPr>
            </w:pPr>
            <w:r w:rsidRPr="00F238BF">
              <w:rPr>
                <w:rFonts w:ascii="Times New Roman" w:hAnsi="Times New Roman"/>
                <w:b/>
                <w:sz w:val="20"/>
                <w:szCs w:val="20"/>
              </w:rPr>
              <w:t>-0.005</w:t>
            </w:r>
          </w:p>
        </w:tc>
        <w:tc>
          <w:tcPr>
            <w:tcW w:w="924" w:type="dxa"/>
            <w:tcBorders>
              <w:left w:val="single" w:sz="4" w:space="0" w:color="auto"/>
            </w:tcBorders>
          </w:tcPr>
          <w:p w14:paraId="1BFAA62B"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79C584A0" w14:textId="77777777" w:rsidR="00047399" w:rsidRPr="00F238BF" w:rsidRDefault="00047399" w:rsidP="00DB5ABE">
            <w:pPr>
              <w:spacing w:after="0" w:line="240" w:lineRule="auto"/>
              <w:rPr>
                <w:rFonts w:ascii="Times New Roman" w:hAnsi="Times New Roman"/>
                <w:b/>
                <w:sz w:val="20"/>
                <w:szCs w:val="20"/>
              </w:rPr>
            </w:pPr>
            <w:r w:rsidRPr="00F238BF">
              <w:rPr>
                <w:rFonts w:ascii="Times New Roman" w:hAnsi="Times New Roman"/>
                <w:b/>
                <w:sz w:val="20"/>
                <w:szCs w:val="20"/>
              </w:rPr>
              <w:t>0.007</w:t>
            </w:r>
          </w:p>
        </w:tc>
        <w:tc>
          <w:tcPr>
            <w:tcW w:w="747" w:type="dxa"/>
            <w:tcBorders>
              <w:left w:val="single" w:sz="4" w:space="0" w:color="auto"/>
            </w:tcBorders>
          </w:tcPr>
          <w:p w14:paraId="297DF97E"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60D92AEB"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0.012</w:t>
            </w:r>
          </w:p>
        </w:tc>
        <w:tc>
          <w:tcPr>
            <w:tcW w:w="798" w:type="dxa"/>
            <w:tcBorders>
              <w:left w:val="single" w:sz="4" w:space="0" w:color="auto"/>
            </w:tcBorders>
          </w:tcPr>
          <w:p w14:paraId="0650528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527B3174"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0.038</w:t>
            </w:r>
          </w:p>
        </w:tc>
        <w:tc>
          <w:tcPr>
            <w:tcW w:w="1009" w:type="dxa"/>
            <w:tcBorders>
              <w:left w:val="single" w:sz="4" w:space="0" w:color="auto"/>
            </w:tcBorders>
          </w:tcPr>
          <w:p w14:paraId="5B250741"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369439D5"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0.028</w:t>
            </w:r>
          </w:p>
        </w:tc>
        <w:tc>
          <w:tcPr>
            <w:tcW w:w="912" w:type="dxa"/>
            <w:gridSpan w:val="2"/>
            <w:tcBorders>
              <w:left w:val="single" w:sz="4" w:space="0" w:color="auto"/>
            </w:tcBorders>
          </w:tcPr>
          <w:p w14:paraId="6F7B6576"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278AB691" w14:textId="77777777" w:rsidTr="003D640C">
        <w:trPr>
          <w:gridAfter w:val="1"/>
          <w:wAfter w:w="34" w:type="dxa"/>
        </w:trPr>
        <w:tc>
          <w:tcPr>
            <w:tcW w:w="1345" w:type="dxa"/>
          </w:tcPr>
          <w:p w14:paraId="7C9A4733" w14:textId="77777777" w:rsidR="00047399" w:rsidRPr="00F238BF" w:rsidRDefault="00000000" w:rsidP="00DB5ABE">
            <w:pPr>
              <w:spacing w:after="0" w:line="240" w:lineRule="auto"/>
              <w:rPr>
                <w:rFonts w:ascii="Times New Roman" w:hAnsi="Times New Roman"/>
                <w:i/>
                <w:iCs/>
                <w:sz w:val="20"/>
                <w:szCs w:val="20"/>
              </w:rPr>
            </w:pPr>
            <m:oMathPara>
              <m:oMath>
                <m:sSub>
                  <m:sSubPr>
                    <m:ctrlPr>
                      <w:rPr>
                        <w:rFonts w:ascii="Cambria Math" w:hAnsi="Times New Roman"/>
                        <w:b/>
                        <w:bCs/>
                        <w:i/>
                        <w:sz w:val="24"/>
                        <w:szCs w:val="24"/>
                      </w:rPr>
                    </m:ctrlPr>
                  </m:sSubPr>
                  <m:e>
                    <m:r>
                      <m:rPr>
                        <m:sty m:val="bi"/>
                      </m:rPr>
                      <w:rPr>
                        <w:rFonts w:ascii="Cambria Math" w:hAnsi="Cambria Math"/>
                        <w:sz w:val="24"/>
                        <w:szCs w:val="24"/>
                      </w:rPr>
                      <m:t>φ</m:t>
                    </m:r>
                  </m:e>
                  <m:sub>
                    <m:sSup>
                      <m:sSupPr>
                        <m:ctrlPr>
                          <w:rPr>
                            <w:rFonts w:ascii="Cambria Math" w:hAnsi="Times New Roman"/>
                            <w:b/>
                            <w:bCs/>
                            <w:i/>
                            <w:sz w:val="24"/>
                            <w:szCs w:val="24"/>
                          </w:rPr>
                        </m:ctrlPr>
                      </m:sSupPr>
                      <m:e>
                        <m:r>
                          <m:rPr>
                            <m:sty m:val="bi"/>
                          </m:rPr>
                          <w:rPr>
                            <w:rFonts w:ascii="Cambria Math" w:hAnsi="Cambria Math"/>
                            <w:sz w:val="24"/>
                            <w:szCs w:val="24"/>
                          </w:rPr>
                          <m:t>s</m:t>
                        </m:r>
                      </m:e>
                      <m:sup>
                        <m:r>
                          <m:rPr>
                            <m:sty m:val="bi"/>
                          </m:rPr>
                          <w:rPr>
                            <w:rFonts w:ascii="Cambria Math" w:hAnsi="Cambria Math"/>
                            <w:sz w:val="24"/>
                            <w:szCs w:val="24"/>
                          </w:rPr>
                          <m:t>oil</m:t>
                        </m:r>
                      </m:sup>
                    </m:sSup>
                  </m:sub>
                </m:sSub>
              </m:oMath>
            </m:oMathPara>
          </w:p>
        </w:tc>
        <w:tc>
          <w:tcPr>
            <w:tcW w:w="786" w:type="dxa"/>
            <w:tcBorders>
              <w:right w:val="single" w:sz="4" w:space="0" w:color="auto"/>
            </w:tcBorders>
          </w:tcPr>
          <w:p w14:paraId="45AA7679" w14:textId="77777777" w:rsidR="00047399" w:rsidRPr="00F238BF" w:rsidRDefault="00047399" w:rsidP="00DB5ABE">
            <w:pPr>
              <w:spacing w:after="0" w:line="240" w:lineRule="auto"/>
              <w:rPr>
                <w:rFonts w:ascii="Times New Roman" w:hAnsi="Times New Roman"/>
                <w:b/>
                <w:sz w:val="20"/>
                <w:szCs w:val="20"/>
              </w:rPr>
            </w:pPr>
            <w:r w:rsidRPr="00F238BF">
              <w:rPr>
                <w:rFonts w:ascii="Times New Roman" w:hAnsi="Times New Roman"/>
                <w:b/>
                <w:sz w:val="20"/>
                <w:szCs w:val="20"/>
              </w:rPr>
              <w:t>-0.004</w:t>
            </w:r>
          </w:p>
        </w:tc>
        <w:tc>
          <w:tcPr>
            <w:tcW w:w="924" w:type="dxa"/>
            <w:tcBorders>
              <w:left w:val="single" w:sz="4" w:space="0" w:color="auto"/>
            </w:tcBorders>
          </w:tcPr>
          <w:p w14:paraId="378FDF0B"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256C6FBB" w14:textId="77777777" w:rsidR="00047399" w:rsidRPr="00F238BF" w:rsidRDefault="00047399" w:rsidP="00DB5ABE">
            <w:pPr>
              <w:spacing w:after="0" w:line="240" w:lineRule="auto"/>
              <w:rPr>
                <w:rFonts w:ascii="Times New Roman" w:hAnsi="Times New Roman"/>
                <w:b/>
                <w:sz w:val="20"/>
                <w:szCs w:val="20"/>
              </w:rPr>
            </w:pPr>
            <w:r w:rsidRPr="00F238BF">
              <w:rPr>
                <w:rFonts w:ascii="Times New Roman" w:hAnsi="Times New Roman"/>
                <w:b/>
                <w:sz w:val="20"/>
                <w:szCs w:val="20"/>
              </w:rPr>
              <w:t>0.040</w:t>
            </w:r>
          </w:p>
        </w:tc>
        <w:tc>
          <w:tcPr>
            <w:tcW w:w="747" w:type="dxa"/>
            <w:tcBorders>
              <w:left w:val="single" w:sz="4" w:space="0" w:color="auto"/>
            </w:tcBorders>
          </w:tcPr>
          <w:p w14:paraId="4C071E64"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4825CAC7"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w:t>
            </w:r>
            <w:r>
              <w:rPr>
                <w:rFonts w:ascii="Times New Roman" w:hAnsi="Times New Roman"/>
                <w:sz w:val="20"/>
                <w:szCs w:val="20"/>
              </w:rPr>
              <w:t>0.074</w:t>
            </w:r>
          </w:p>
        </w:tc>
        <w:tc>
          <w:tcPr>
            <w:tcW w:w="798" w:type="dxa"/>
            <w:tcBorders>
              <w:left w:val="single" w:sz="4" w:space="0" w:color="auto"/>
            </w:tcBorders>
          </w:tcPr>
          <w:p w14:paraId="6CE11612" w14:textId="77777777" w:rsidR="00047399" w:rsidRPr="00F238BF" w:rsidRDefault="00047399" w:rsidP="00DB5ABE">
            <w:pPr>
              <w:spacing w:after="0" w:line="240" w:lineRule="auto"/>
              <w:jc w:val="center"/>
              <w:rPr>
                <w:rFonts w:ascii="Times New Roman" w:hAnsi="Times New Roman"/>
                <w:b/>
                <w:sz w:val="20"/>
                <w:szCs w:val="20"/>
              </w:rPr>
            </w:pPr>
          </w:p>
        </w:tc>
        <w:tc>
          <w:tcPr>
            <w:tcW w:w="802" w:type="dxa"/>
            <w:gridSpan w:val="3"/>
            <w:tcBorders>
              <w:right w:val="single" w:sz="4" w:space="0" w:color="auto"/>
            </w:tcBorders>
          </w:tcPr>
          <w:p w14:paraId="1218B251"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0.043</w:t>
            </w:r>
          </w:p>
        </w:tc>
        <w:tc>
          <w:tcPr>
            <w:tcW w:w="1009" w:type="dxa"/>
            <w:tcBorders>
              <w:left w:val="single" w:sz="4" w:space="0" w:color="auto"/>
            </w:tcBorders>
          </w:tcPr>
          <w:p w14:paraId="587D97F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653C47C1" w14:textId="77777777" w:rsidR="00047399" w:rsidRPr="00F238BF" w:rsidRDefault="00047399" w:rsidP="00DB5ABE">
            <w:pPr>
              <w:spacing w:after="0" w:line="240" w:lineRule="auto"/>
              <w:rPr>
                <w:rFonts w:ascii="Times New Roman" w:hAnsi="Times New Roman"/>
                <w:b/>
                <w:sz w:val="20"/>
                <w:szCs w:val="20"/>
              </w:rPr>
            </w:pPr>
            <w:r>
              <w:rPr>
                <w:rFonts w:ascii="Times New Roman" w:hAnsi="Times New Roman"/>
                <w:b/>
                <w:sz w:val="20"/>
                <w:szCs w:val="20"/>
              </w:rPr>
              <w:t xml:space="preserve">  0.070</w:t>
            </w:r>
          </w:p>
        </w:tc>
        <w:tc>
          <w:tcPr>
            <w:tcW w:w="912" w:type="dxa"/>
            <w:gridSpan w:val="2"/>
            <w:tcBorders>
              <w:left w:val="single" w:sz="4" w:space="0" w:color="auto"/>
            </w:tcBorders>
          </w:tcPr>
          <w:p w14:paraId="5499B391"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1D67847A" w14:textId="77777777" w:rsidTr="003D640C">
        <w:trPr>
          <w:gridAfter w:val="1"/>
          <w:wAfter w:w="34" w:type="dxa"/>
        </w:trPr>
        <w:tc>
          <w:tcPr>
            <w:tcW w:w="2131" w:type="dxa"/>
            <w:gridSpan w:val="2"/>
            <w:tcBorders>
              <w:right w:val="single" w:sz="4" w:space="0" w:color="auto"/>
            </w:tcBorders>
          </w:tcPr>
          <w:p w14:paraId="0F8A99F1"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b/>
                <w:color w:val="000000"/>
                <w:sz w:val="20"/>
                <w:szCs w:val="20"/>
              </w:rPr>
              <w:t>Variance Equation</w:t>
            </w:r>
          </w:p>
        </w:tc>
        <w:tc>
          <w:tcPr>
            <w:tcW w:w="1736" w:type="dxa"/>
            <w:gridSpan w:val="2"/>
            <w:tcBorders>
              <w:left w:val="single" w:sz="4" w:space="0" w:color="auto"/>
              <w:right w:val="single" w:sz="4" w:space="0" w:color="auto"/>
            </w:tcBorders>
          </w:tcPr>
          <w:p w14:paraId="53406E0B" w14:textId="77777777" w:rsidR="00047399" w:rsidRPr="00F238BF" w:rsidRDefault="00047399" w:rsidP="00DB5ABE">
            <w:pPr>
              <w:spacing w:after="0" w:line="240" w:lineRule="auto"/>
              <w:rPr>
                <w:rFonts w:ascii="Times New Roman" w:hAnsi="Times New Roman"/>
                <w:color w:val="000000"/>
                <w:sz w:val="20"/>
                <w:szCs w:val="20"/>
              </w:rPr>
            </w:pPr>
          </w:p>
        </w:tc>
        <w:tc>
          <w:tcPr>
            <w:tcW w:w="1619" w:type="dxa"/>
            <w:gridSpan w:val="3"/>
            <w:tcBorders>
              <w:left w:val="single" w:sz="4" w:space="0" w:color="auto"/>
              <w:right w:val="single" w:sz="4" w:space="0" w:color="auto"/>
            </w:tcBorders>
          </w:tcPr>
          <w:p w14:paraId="69CA7E60" w14:textId="77777777" w:rsidR="00047399" w:rsidRPr="00F238BF" w:rsidRDefault="00047399" w:rsidP="00DB5ABE">
            <w:pPr>
              <w:spacing w:after="0" w:line="240" w:lineRule="auto"/>
              <w:rPr>
                <w:rFonts w:ascii="Times New Roman" w:hAnsi="Times New Roman"/>
                <w:color w:val="000000"/>
                <w:sz w:val="20"/>
                <w:szCs w:val="20"/>
              </w:rPr>
            </w:pPr>
          </w:p>
        </w:tc>
        <w:tc>
          <w:tcPr>
            <w:tcW w:w="1600" w:type="dxa"/>
            <w:gridSpan w:val="4"/>
            <w:tcBorders>
              <w:left w:val="single" w:sz="4" w:space="0" w:color="auto"/>
              <w:right w:val="single" w:sz="4" w:space="0" w:color="auto"/>
            </w:tcBorders>
          </w:tcPr>
          <w:p w14:paraId="185F15AC" w14:textId="77777777" w:rsidR="00047399" w:rsidRPr="00F238BF" w:rsidRDefault="00047399" w:rsidP="00DB5ABE">
            <w:pPr>
              <w:spacing w:after="0" w:line="240" w:lineRule="auto"/>
              <w:rPr>
                <w:rFonts w:ascii="Times New Roman" w:hAnsi="Times New Roman"/>
                <w:color w:val="000000"/>
                <w:sz w:val="20"/>
                <w:szCs w:val="20"/>
              </w:rPr>
            </w:pPr>
          </w:p>
        </w:tc>
        <w:tc>
          <w:tcPr>
            <w:tcW w:w="1817" w:type="dxa"/>
            <w:gridSpan w:val="3"/>
            <w:tcBorders>
              <w:left w:val="single" w:sz="4" w:space="0" w:color="auto"/>
              <w:right w:val="single" w:sz="4" w:space="0" w:color="auto"/>
            </w:tcBorders>
          </w:tcPr>
          <w:p w14:paraId="12CF3770" w14:textId="77777777" w:rsidR="00047399" w:rsidRPr="00F238BF" w:rsidRDefault="00047399" w:rsidP="00DB5ABE">
            <w:pPr>
              <w:spacing w:after="0" w:line="240" w:lineRule="auto"/>
              <w:rPr>
                <w:rFonts w:ascii="Times New Roman" w:hAnsi="Times New Roman"/>
                <w:color w:val="000000"/>
                <w:sz w:val="20"/>
                <w:szCs w:val="20"/>
              </w:rPr>
            </w:pPr>
          </w:p>
        </w:tc>
        <w:tc>
          <w:tcPr>
            <w:tcW w:w="906" w:type="dxa"/>
            <w:tcBorders>
              <w:left w:val="single" w:sz="4" w:space="0" w:color="auto"/>
            </w:tcBorders>
          </w:tcPr>
          <w:p w14:paraId="328E6FE5"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78DD8324" w14:textId="77777777" w:rsidTr="003D640C">
        <w:trPr>
          <w:gridAfter w:val="1"/>
          <w:wAfter w:w="34" w:type="dxa"/>
        </w:trPr>
        <w:tc>
          <w:tcPr>
            <w:tcW w:w="1345" w:type="dxa"/>
          </w:tcPr>
          <w:p w14:paraId="2751FF75"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ω</m:t>
                    </m:r>
                  </m:e>
                  <m:sub>
                    <m:r>
                      <w:rPr>
                        <w:rFonts w:ascii="Cambria Math" w:hAnsi="Cambria Math"/>
                        <w:color w:val="000000"/>
                        <w:sz w:val="24"/>
                        <w:szCs w:val="24"/>
                      </w:rPr>
                      <m:t>oil</m:t>
                    </m:r>
                  </m:sub>
                </m:sSub>
              </m:oMath>
            </m:oMathPara>
          </w:p>
        </w:tc>
        <w:tc>
          <w:tcPr>
            <w:tcW w:w="786" w:type="dxa"/>
            <w:tcBorders>
              <w:right w:val="single" w:sz="4" w:space="0" w:color="auto"/>
            </w:tcBorders>
          </w:tcPr>
          <w:p w14:paraId="0FC1FBC1"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1.119</w:t>
            </w:r>
          </w:p>
        </w:tc>
        <w:tc>
          <w:tcPr>
            <w:tcW w:w="924" w:type="dxa"/>
            <w:tcBorders>
              <w:left w:val="single" w:sz="4" w:space="0" w:color="auto"/>
            </w:tcBorders>
          </w:tcPr>
          <w:p w14:paraId="1FE3E332" w14:textId="77777777" w:rsidR="00047399" w:rsidRPr="00BD6838" w:rsidRDefault="00047399" w:rsidP="00DB5ABE">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0.060</w:t>
            </w:r>
          </w:p>
        </w:tc>
        <w:tc>
          <w:tcPr>
            <w:tcW w:w="812" w:type="dxa"/>
            <w:tcBorders>
              <w:right w:val="single" w:sz="4" w:space="0" w:color="auto"/>
            </w:tcBorders>
          </w:tcPr>
          <w:p w14:paraId="048FC4F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-0.000</w:t>
            </w:r>
          </w:p>
        </w:tc>
        <w:tc>
          <w:tcPr>
            <w:tcW w:w="747" w:type="dxa"/>
            <w:tcBorders>
              <w:left w:val="single" w:sz="4" w:space="0" w:color="auto"/>
            </w:tcBorders>
          </w:tcPr>
          <w:p w14:paraId="1A83FC5E" w14:textId="77777777" w:rsidR="00047399" w:rsidRPr="00BD6838" w:rsidRDefault="00047399" w:rsidP="00DB5ABE">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0.081</w:t>
            </w:r>
          </w:p>
        </w:tc>
        <w:tc>
          <w:tcPr>
            <w:tcW w:w="872" w:type="dxa"/>
            <w:gridSpan w:val="2"/>
            <w:tcBorders>
              <w:right w:val="single" w:sz="4" w:space="0" w:color="auto"/>
            </w:tcBorders>
          </w:tcPr>
          <w:p w14:paraId="5475644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1</w:t>
            </w:r>
            <w:r>
              <w:rPr>
                <w:rFonts w:ascii="Times New Roman" w:hAnsi="Times New Roman"/>
                <w:color w:val="000000"/>
                <w:sz w:val="20"/>
                <w:szCs w:val="20"/>
              </w:rPr>
              <w:t>.059</w:t>
            </w:r>
          </w:p>
        </w:tc>
        <w:tc>
          <w:tcPr>
            <w:tcW w:w="798" w:type="dxa"/>
            <w:tcBorders>
              <w:left w:val="single" w:sz="4" w:space="0" w:color="auto"/>
            </w:tcBorders>
          </w:tcPr>
          <w:p w14:paraId="36961373" w14:textId="77777777" w:rsidR="00047399" w:rsidRPr="00BD6838" w:rsidRDefault="00047399" w:rsidP="00DB5ABE">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0.065</w:t>
            </w:r>
          </w:p>
        </w:tc>
        <w:tc>
          <w:tcPr>
            <w:tcW w:w="802" w:type="dxa"/>
            <w:gridSpan w:val="3"/>
            <w:tcBorders>
              <w:right w:val="single" w:sz="4" w:space="0" w:color="auto"/>
            </w:tcBorders>
          </w:tcPr>
          <w:p w14:paraId="3674FA12"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1009" w:type="dxa"/>
            <w:tcBorders>
              <w:left w:val="single" w:sz="4" w:space="0" w:color="auto"/>
            </w:tcBorders>
          </w:tcPr>
          <w:p w14:paraId="40AA4F78" w14:textId="77777777" w:rsidR="00047399" w:rsidRPr="00BD6838" w:rsidRDefault="00047399" w:rsidP="00DB5ABE">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0.150</w:t>
            </w:r>
          </w:p>
        </w:tc>
        <w:tc>
          <w:tcPr>
            <w:tcW w:w="802" w:type="dxa"/>
            <w:tcBorders>
              <w:right w:val="single" w:sz="4" w:space="0" w:color="auto"/>
            </w:tcBorders>
          </w:tcPr>
          <w:p w14:paraId="60B77AA5"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912" w:type="dxa"/>
            <w:gridSpan w:val="2"/>
            <w:tcBorders>
              <w:left w:val="single" w:sz="4" w:space="0" w:color="auto"/>
            </w:tcBorders>
          </w:tcPr>
          <w:p w14:paraId="79E8F3CA" w14:textId="77777777" w:rsidR="00047399" w:rsidRPr="00BD6838" w:rsidRDefault="00047399" w:rsidP="00DB5ABE">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0.100</w:t>
            </w:r>
          </w:p>
        </w:tc>
      </w:tr>
      <w:tr w:rsidR="00047399" w:rsidRPr="00F238BF" w14:paraId="6E2D7D47" w14:textId="77777777" w:rsidTr="003D640C">
        <w:trPr>
          <w:gridAfter w:val="1"/>
          <w:wAfter w:w="34" w:type="dxa"/>
        </w:trPr>
        <w:tc>
          <w:tcPr>
            <w:tcW w:w="1345" w:type="dxa"/>
          </w:tcPr>
          <w:p w14:paraId="64FCF888"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ω</m:t>
                    </m:r>
                  </m:e>
                  <m:sub>
                    <m:r>
                      <w:rPr>
                        <w:rFonts w:ascii="Cambria Math" w:hAnsi="Cambria Math"/>
                        <w:color w:val="000000"/>
                        <w:sz w:val="24"/>
                        <w:szCs w:val="24"/>
                      </w:rPr>
                      <m:t>s</m:t>
                    </m:r>
                  </m:sub>
                </m:sSub>
              </m:oMath>
            </m:oMathPara>
          </w:p>
        </w:tc>
        <w:tc>
          <w:tcPr>
            <w:tcW w:w="786" w:type="dxa"/>
            <w:tcBorders>
              <w:right w:val="single" w:sz="4" w:space="0" w:color="auto"/>
            </w:tcBorders>
          </w:tcPr>
          <w:p w14:paraId="57D76E5E"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2.378</w:t>
            </w:r>
          </w:p>
        </w:tc>
        <w:tc>
          <w:tcPr>
            <w:tcW w:w="924" w:type="dxa"/>
            <w:tcBorders>
              <w:left w:val="single" w:sz="4" w:space="0" w:color="auto"/>
            </w:tcBorders>
          </w:tcPr>
          <w:p w14:paraId="7EB1FABD"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w:t>
            </w:r>
            <w:r>
              <w:rPr>
                <w:rFonts w:ascii="Times New Roman" w:hAnsi="Times New Roman"/>
                <w:sz w:val="20"/>
                <w:szCs w:val="20"/>
              </w:rPr>
              <w:t>070</w:t>
            </w:r>
          </w:p>
        </w:tc>
        <w:tc>
          <w:tcPr>
            <w:tcW w:w="812" w:type="dxa"/>
            <w:tcBorders>
              <w:right w:val="single" w:sz="4" w:space="0" w:color="auto"/>
            </w:tcBorders>
          </w:tcPr>
          <w:p w14:paraId="0CED28C3"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747" w:type="dxa"/>
            <w:tcBorders>
              <w:left w:val="single" w:sz="4" w:space="0" w:color="auto"/>
            </w:tcBorders>
          </w:tcPr>
          <w:p w14:paraId="01417D50"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w:t>
            </w:r>
            <w:r>
              <w:rPr>
                <w:rFonts w:ascii="Times New Roman" w:hAnsi="Times New Roman"/>
                <w:sz w:val="20"/>
                <w:szCs w:val="20"/>
              </w:rPr>
              <w:t>910</w:t>
            </w:r>
          </w:p>
        </w:tc>
        <w:tc>
          <w:tcPr>
            <w:tcW w:w="872" w:type="dxa"/>
            <w:gridSpan w:val="2"/>
            <w:tcBorders>
              <w:right w:val="single" w:sz="4" w:space="0" w:color="auto"/>
            </w:tcBorders>
          </w:tcPr>
          <w:p w14:paraId="48710994"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1</w:t>
            </w:r>
            <w:r>
              <w:rPr>
                <w:rFonts w:ascii="Times New Roman" w:hAnsi="Times New Roman"/>
                <w:color w:val="000000"/>
                <w:sz w:val="20"/>
                <w:szCs w:val="20"/>
              </w:rPr>
              <w:t>.975</w:t>
            </w:r>
          </w:p>
        </w:tc>
        <w:tc>
          <w:tcPr>
            <w:tcW w:w="798" w:type="dxa"/>
            <w:tcBorders>
              <w:left w:val="single" w:sz="4" w:space="0" w:color="auto"/>
            </w:tcBorders>
          </w:tcPr>
          <w:p w14:paraId="3389505A"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0.095</w:t>
            </w:r>
          </w:p>
        </w:tc>
        <w:tc>
          <w:tcPr>
            <w:tcW w:w="802" w:type="dxa"/>
            <w:gridSpan w:val="3"/>
            <w:tcBorders>
              <w:right w:val="single" w:sz="4" w:space="0" w:color="auto"/>
            </w:tcBorders>
          </w:tcPr>
          <w:p w14:paraId="35DC6CFB"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1009" w:type="dxa"/>
            <w:tcBorders>
              <w:left w:val="single" w:sz="4" w:space="0" w:color="auto"/>
            </w:tcBorders>
          </w:tcPr>
          <w:p w14:paraId="644D9C51"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0.151</w:t>
            </w:r>
          </w:p>
        </w:tc>
        <w:tc>
          <w:tcPr>
            <w:tcW w:w="802" w:type="dxa"/>
            <w:tcBorders>
              <w:right w:val="single" w:sz="4" w:space="0" w:color="auto"/>
            </w:tcBorders>
          </w:tcPr>
          <w:p w14:paraId="1072C60A"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0.118</w:t>
            </w:r>
          </w:p>
        </w:tc>
        <w:tc>
          <w:tcPr>
            <w:tcW w:w="912" w:type="dxa"/>
            <w:gridSpan w:val="2"/>
            <w:tcBorders>
              <w:left w:val="single" w:sz="4" w:space="0" w:color="auto"/>
            </w:tcBorders>
          </w:tcPr>
          <w:p w14:paraId="1E2435B7"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0.651</w:t>
            </w:r>
          </w:p>
        </w:tc>
      </w:tr>
      <w:tr w:rsidR="00047399" w:rsidRPr="00F238BF" w14:paraId="31AA5CA0" w14:textId="77777777" w:rsidTr="003D640C">
        <w:trPr>
          <w:gridAfter w:val="1"/>
          <w:wAfter w:w="34" w:type="dxa"/>
        </w:trPr>
        <w:tc>
          <w:tcPr>
            <w:tcW w:w="1345" w:type="dxa"/>
          </w:tcPr>
          <w:p w14:paraId="622BF7CA"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r>
                      <w:rPr>
                        <w:rFonts w:ascii="Cambria Math" w:hAnsi="Cambria Math"/>
                        <w:color w:val="000000"/>
                        <w:sz w:val="24"/>
                        <w:szCs w:val="24"/>
                      </w:rPr>
                      <m:t>oil</m:t>
                    </m:r>
                  </m:sub>
                </m:sSub>
              </m:oMath>
            </m:oMathPara>
          </w:p>
        </w:tc>
        <w:tc>
          <w:tcPr>
            <w:tcW w:w="786" w:type="dxa"/>
            <w:tcBorders>
              <w:right w:val="single" w:sz="4" w:space="0" w:color="auto"/>
            </w:tcBorders>
          </w:tcPr>
          <w:p w14:paraId="4BCDE8E8"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0.034</w:t>
            </w:r>
          </w:p>
        </w:tc>
        <w:tc>
          <w:tcPr>
            <w:tcW w:w="924" w:type="dxa"/>
            <w:tcBorders>
              <w:left w:val="single" w:sz="4" w:space="0" w:color="auto"/>
            </w:tcBorders>
          </w:tcPr>
          <w:p w14:paraId="356CF508"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30010B33"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0.109</w:t>
            </w:r>
          </w:p>
        </w:tc>
        <w:tc>
          <w:tcPr>
            <w:tcW w:w="747" w:type="dxa"/>
            <w:tcBorders>
              <w:left w:val="single" w:sz="4" w:space="0" w:color="auto"/>
            </w:tcBorders>
          </w:tcPr>
          <w:p w14:paraId="33176E75"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24F54A8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.110</w:t>
            </w:r>
          </w:p>
        </w:tc>
        <w:tc>
          <w:tcPr>
            <w:tcW w:w="798" w:type="dxa"/>
            <w:tcBorders>
              <w:left w:val="single" w:sz="4" w:space="0" w:color="auto"/>
            </w:tcBorders>
          </w:tcPr>
          <w:p w14:paraId="713A116F"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5BBBC616"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0.108</w:t>
            </w:r>
          </w:p>
        </w:tc>
        <w:tc>
          <w:tcPr>
            <w:tcW w:w="1009" w:type="dxa"/>
            <w:tcBorders>
              <w:left w:val="single" w:sz="4" w:space="0" w:color="auto"/>
            </w:tcBorders>
          </w:tcPr>
          <w:p w14:paraId="4DAB1016"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3694EA85"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0.003</w:t>
            </w:r>
          </w:p>
        </w:tc>
        <w:tc>
          <w:tcPr>
            <w:tcW w:w="912" w:type="dxa"/>
            <w:gridSpan w:val="2"/>
            <w:tcBorders>
              <w:left w:val="single" w:sz="4" w:space="0" w:color="auto"/>
            </w:tcBorders>
          </w:tcPr>
          <w:p w14:paraId="09F5B195"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3E92AB2F" w14:textId="77777777" w:rsidTr="003D640C">
        <w:trPr>
          <w:gridAfter w:val="1"/>
          <w:wAfter w:w="34" w:type="dxa"/>
        </w:trPr>
        <w:tc>
          <w:tcPr>
            <w:tcW w:w="1345" w:type="dxa"/>
          </w:tcPr>
          <w:p w14:paraId="6FB02224"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r>
                      <w:rPr>
                        <w:rFonts w:ascii="Cambria Math" w:hAnsi="Cambria Math"/>
                        <w:color w:val="000000"/>
                        <w:sz w:val="24"/>
                        <w:szCs w:val="24"/>
                      </w:rPr>
                      <m:t>s</m:t>
                    </m:r>
                  </m:sub>
                </m:sSub>
              </m:oMath>
            </m:oMathPara>
          </w:p>
        </w:tc>
        <w:tc>
          <w:tcPr>
            <w:tcW w:w="786" w:type="dxa"/>
            <w:tcBorders>
              <w:right w:val="single" w:sz="4" w:space="0" w:color="auto"/>
            </w:tcBorders>
          </w:tcPr>
          <w:p w14:paraId="531AABE0"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1.686</w:t>
            </w:r>
          </w:p>
        </w:tc>
        <w:tc>
          <w:tcPr>
            <w:tcW w:w="924" w:type="dxa"/>
            <w:tcBorders>
              <w:left w:val="single" w:sz="4" w:space="0" w:color="auto"/>
            </w:tcBorders>
          </w:tcPr>
          <w:p w14:paraId="41408053"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6287C2B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0.297</w:t>
            </w:r>
          </w:p>
        </w:tc>
        <w:tc>
          <w:tcPr>
            <w:tcW w:w="747" w:type="dxa"/>
            <w:tcBorders>
              <w:left w:val="single" w:sz="4" w:space="0" w:color="auto"/>
            </w:tcBorders>
          </w:tcPr>
          <w:p w14:paraId="0D46137E"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54668BE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.041</w:t>
            </w:r>
          </w:p>
        </w:tc>
        <w:tc>
          <w:tcPr>
            <w:tcW w:w="798" w:type="dxa"/>
            <w:tcBorders>
              <w:left w:val="single" w:sz="4" w:space="0" w:color="auto"/>
            </w:tcBorders>
          </w:tcPr>
          <w:p w14:paraId="7D1239E4"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3F43CE46"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1.329</w:t>
            </w:r>
          </w:p>
        </w:tc>
        <w:tc>
          <w:tcPr>
            <w:tcW w:w="1009" w:type="dxa"/>
            <w:tcBorders>
              <w:left w:val="single" w:sz="4" w:space="0" w:color="auto"/>
            </w:tcBorders>
          </w:tcPr>
          <w:p w14:paraId="274D2361"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555312CF"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0.003</w:t>
            </w:r>
          </w:p>
        </w:tc>
        <w:tc>
          <w:tcPr>
            <w:tcW w:w="912" w:type="dxa"/>
            <w:gridSpan w:val="2"/>
            <w:tcBorders>
              <w:left w:val="single" w:sz="4" w:space="0" w:color="auto"/>
            </w:tcBorders>
          </w:tcPr>
          <w:p w14:paraId="6F056F7B"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488950EE" w14:textId="77777777" w:rsidTr="003D640C">
        <w:trPr>
          <w:gridAfter w:val="1"/>
          <w:wAfter w:w="34" w:type="dxa"/>
        </w:trPr>
        <w:tc>
          <w:tcPr>
            <w:tcW w:w="1345" w:type="dxa"/>
          </w:tcPr>
          <w:p w14:paraId="1BBDFA53"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sSup>
                      <m:sSupPr>
                        <m:ctrlPr>
                          <w:rPr>
                            <w:rFonts w:ascii="Cambria Math" w:hAnsi="Times New Roman"/>
                            <w:i/>
                            <w:color w:val="000000"/>
                            <w:sz w:val="24"/>
                            <w:szCs w:val="24"/>
                          </w:rPr>
                        </m:ctrlPr>
                      </m:sSupPr>
                      <m:e>
                        <m:r>
                          <w:rPr>
                            <w:rFonts w:ascii="Cambria Math" w:hAnsi="Cambria Math"/>
                            <w:color w:val="000000"/>
                            <w:sz w:val="24"/>
                            <w:szCs w:val="24"/>
                          </w:rPr>
                          <m:t>oil</m:t>
                        </m:r>
                      </m:e>
                      <m:sup>
                        <m:r>
                          <w:rPr>
                            <w:rFonts w:ascii="Cambria Math" w:hAnsi="Cambria Math"/>
                            <w:color w:val="000000"/>
                            <w:sz w:val="24"/>
                            <w:szCs w:val="24"/>
                          </w:rPr>
                          <m:t>s</m:t>
                        </m:r>
                      </m:sup>
                    </m:sSup>
                  </m:sub>
                </m:sSub>
              </m:oMath>
            </m:oMathPara>
          </w:p>
        </w:tc>
        <w:tc>
          <w:tcPr>
            <w:tcW w:w="786" w:type="dxa"/>
            <w:tcBorders>
              <w:right w:val="single" w:sz="4" w:space="0" w:color="auto"/>
            </w:tcBorders>
          </w:tcPr>
          <w:p w14:paraId="62390A3B"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1.412</w:t>
            </w:r>
          </w:p>
        </w:tc>
        <w:tc>
          <w:tcPr>
            <w:tcW w:w="924" w:type="dxa"/>
            <w:tcBorders>
              <w:left w:val="single" w:sz="4" w:space="0" w:color="auto"/>
            </w:tcBorders>
          </w:tcPr>
          <w:p w14:paraId="414A6F99"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5FA80537"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-0.031</w:t>
            </w:r>
          </w:p>
        </w:tc>
        <w:tc>
          <w:tcPr>
            <w:tcW w:w="747" w:type="dxa"/>
            <w:tcBorders>
              <w:left w:val="single" w:sz="4" w:space="0" w:color="auto"/>
            </w:tcBorders>
          </w:tcPr>
          <w:p w14:paraId="4BDCF781"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770FF89C"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4.914</w:t>
            </w:r>
          </w:p>
        </w:tc>
        <w:tc>
          <w:tcPr>
            <w:tcW w:w="798" w:type="dxa"/>
            <w:tcBorders>
              <w:left w:val="single" w:sz="4" w:space="0" w:color="auto"/>
            </w:tcBorders>
          </w:tcPr>
          <w:p w14:paraId="3AC17654"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2AE53F85"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-0.015</w:t>
            </w:r>
          </w:p>
        </w:tc>
        <w:tc>
          <w:tcPr>
            <w:tcW w:w="1009" w:type="dxa"/>
            <w:tcBorders>
              <w:left w:val="single" w:sz="4" w:space="0" w:color="auto"/>
            </w:tcBorders>
          </w:tcPr>
          <w:p w14:paraId="37C2A456"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41275AF9"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-0.080</w:t>
            </w:r>
          </w:p>
        </w:tc>
        <w:tc>
          <w:tcPr>
            <w:tcW w:w="912" w:type="dxa"/>
            <w:gridSpan w:val="2"/>
            <w:tcBorders>
              <w:left w:val="single" w:sz="4" w:space="0" w:color="auto"/>
            </w:tcBorders>
          </w:tcPr>
          <w:p w14:paraId="1DD9D33B" w14:textId="77777777" w:rsidR="00047399" w:rsidRPr="00BD6838" w:rsidRDefault="00047399" w:rsidP="00DB5ABE">
            <w:pPr>
              <w:spacing w:after="0" w:line="240" w:lineRule="auto"/>
              <w:jc w:val="center"/>
              <w:rPr>
                <w:rFonts w:ascii="Times New Roman" w:eastAsia="Times New Roman" w:hAnsi="Times New Roman"/>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7228733D" w14:textId="77777777" w:rsidTr="003D640C">
        <w:trPr>
          <w:gridAfter w:val="1"/>
          <w:wAfter w:w="34" w:type="dxa"/>
        </w:trPr>
        <w:tc>
          <w:tcPr>
            <w:tcW w:w="1345" w:type="dxa"/>
          </w:tcPr>
          <w:p w14:paraId="56F293C6"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λ</m:t>
                    </m:r>
                  </m:e>
                  <m:sub>
                    <m:sSup>
                      <m:sSupPr>
                        <m:ctrlPr>
                          <w:rPr>
                            <w:rFonts w:ascii="Cambria Math" w:hAnsi="Times New Roman"/>
                            <w:i/>
                            <w:color w:val="000000"/>
                            <w:sz w:val="24"/>
                            <w:szCs w:val="24"/>
                          </w:rPr>
                        </m:ctrlPr>
                      </m:sSupPr>
                      <m:e>
                        <m:r>
                          <w:rPr>
                            <w:rFonts w:ascii="Cambria Math" w:hAnsi="Cambria Math"/>
                            <w:color w:val="000000"/>
                            <w:sz w:val="24"/>
                            <w:szCs w:val="24"/>
                          </w:rPr>
                          <m:t>s</m:t>
                        </m:r>
                      </m:e>
                      <m:sup>
                        <m:r>
                          <w:rPr>
                            <w:rFonts w:ascii="Cambria Math" w:hAnsi="Cambria Math"/>
                            <w:color w:val="000000"/>
                            <w:sz w:val="24"/>
                            <w:szCs w:val="24"/>
                          </w:rPr>
                          <m:t>oil</m:t>
                        </m:r>
                      </m:sup>
                    </m:sSup>
                  </m:sub>
                </m:sSub>
              </m:oMath>
            </m:oMathPara>
          </w:p>
        </w:tc>
        <w:tc>
          <w:tcPr>
            <w:tcW w:w="786" w:type="dxa"/>
            <w:tcBorders>
              <w:right w:val="single" w:sz="4" w:space="0" w:color="auto"/>
            </w:tcBorders>
          </w:tcPr>
          <w:p w14:paraId="331C008D"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-0.05</w:t>
            </w:r>
            <w:r>
              <w:rPr>
                <w:rFonts w:ascii="Times New Roman" w:hAnsi="Times New Roman"/>
                <w:b/>
                <w:color w:val="000000"/>
                <w:sz w:val="20"/>
                <w:szCs w:val="20"/>
              </w:rPr>
              <w:t>0</w:t>
            </w:r>
          </w:p>
        </w:tc>
        <w:tc>
          <w:tcPr>
            <w:tcW w:w="924" w:type="dxa"/>
            <w:tcBorders>
              <w:left w:val="single" w:sz="4" w:space="0" w:color="auto"/>
            </w:tcBorders>
          </w:tcPr>
          <w:p w14:paraId="544DF118"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4D2717AF"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.055</w:t>
            </w:r>
          </w:p>
        </w:tc>
        <w:tc>
          <w:tcPr>
            <w:tcW w:w="747" w:type="dxa"/>
            <w:tcBorders>
              <w:left w:val="single" w:sz="4" w:space="0" w:color="auto"/>
            </w:tcBorders>
          </w:tcPr>
          <w:p w14:paraId="6FC478F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5F61F7F1"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0.127</w:t>
            </w:r>
          </w:p>
        </w:tc>
        <w:tc>
          <w:tcPr>
            <w:tcW w:w="798" w:type="dxa"/>
            <w:tcBorders>
              <w:left w:val="single" w:sz="4" w:space="0" w:color="auto"/>
            </w:tcBorders>
          </w:tcPr>
          <w:p w14:paraId="4C71D2C2"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45AF4022"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-0.001</w:t>
            </w:r>
          </w:p>
        </w:tc>
        <w:tc>
          <w:tcPr>
            <w:tcW w:w="1009" w:type="dxa"/>
            <w:tcBorders>
              <w:left w:val="single" w:sz="4" w:space="0" w:color="auto"/>
            </w:tcBorders>
          </w:tcPr>
          <w:p w14:paraId="6F3C2227"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70F72F25"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-0.011</w:t>
            </w:r>
          </w:p>
        </w:tc>
        <w:tc>
          <w:tcPr>
            <w:tcW w:w="912" w:type="dxa"/>
            <w:gridSpan w:val="2"/>
            <w:tcBorders>
              <w:left w:val="single" w:sz="4" w:space="0" w:color="auto"/>
            </w:tcBorders>
          </w:tcPr>
          <w:p w14:paraId="55D89DBE"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5F9C159A" w14:textId="77777777" w:rsidTr="003D640C">
        <w:trPr>
          <w:gridAfter w:val="1"/>
          <w:wAfter w:w="34" w:type="dxa"/>
        </w:trPr>
        <w:tc>
          <w:tcPr>
            <w:tcW w:w="1345" w:type="dxa"/>
          </w:tcPr>
          <w:p w14:paraId="14D9D69C"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r>
                      <w:rPr>
                        <w:rFonts w:ascii="Cambria Math" w:hAnsi="Cambria Math"/>
                        <w:color w:val="000000"/>
                        <w:sz w:val="24"/>
                        <w:szCs w:val="24"/>
                      </w:rPr>
                      <m:t>oil</m:t>
                    </m:r>
                  </m:sub>
                </m:sSub>
              </m:oMath>
            </m:oMathPara>
          </w:p>
        </w:tc>
        <w:tc>
          <w:tcPr>
            <w:tcW w:w="786" w:type="dxa"/>
            <w:tcBorders>
              <w:right w:val="single" w:sz="4" w:space="0" w:color="auto"/>
            </w:tcBorders>
          </w:tcPr>
          <w:p w14:paraId="040AE46F"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0.899</w:t>
            </w:r>
          </w:p>
        </w:tc>
        <w:tc>
          <w:tcPr>
            <w:tcW w:w="924" w:type="dxa"/>
            <w:tcBorders>
              <w:left w:val="single" w:sz="4" w:space="0" w:color="auto"/>
            </w:tcBorders>
          </w:tcPr>
          <w:p w14:paraId="30EA2DEC"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22F0880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0.842</w:t>
            </w:r>
          </w:p>
        </w:tc>
        <w:tc>
          <w:tcPr>
            <w:tcW w:w="747" w:type="dxa"/>
            <w:tcBorders>
              <w:left w:val="single" w:sz="4" w:space="0" w:color="auto"/>
            </w:tcBorders>
          </w:tcPr>
          <w:p w14:paraId="009F77D2"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00C46FC3"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.885</w:t>
            </w:r>
          </w:p>
        </w:tc>
        <w:tc>
          <w:tcPr>
            <w:tcW w:w="798" w:type="dxa"/>
            <w:tcBorders>
              <w:left w:val="single" w:sz="4" w:space="0" w:color="auto"/>
            </w:tcBorders>
          </w:tcPr>
          <w:p w14:paraId="0B002F5C"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21259F25"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0.879</w:t>
            </w:r>
          </w:p>
        </w:tc>
        <w:tc>
          <w:tcPr>
            <w:tcW w:w="1009" w:type="dxa"/>
            <w:tcBorders>
              <w:left w:val="single" w:sz="4" w:space="0" w:color="auto"/>
            </w:tcBorders>
          </w:tcPr>
          <w:p w14:paraId="3B571AE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17B066E4"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0.869</w:t>
            </w:r>
          </w:p>
        </w:tc>
        <w:tc>
          <w:tcPr>
            <w:tcW w:w="912" w:type="dxa"/>
            <w:gridSpan w:val="2"/>
            <w:tcBorders>
              <w:left w:val="single" w:sz="4" w:space="0" w:color="auto"/>
            </w:tcBorders>
          </w:tcPr>
          <w:p w14:paraId="6567F12C"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5467195C" w14:textId="77777777" w:rsidTr="003D640C">
        <w:trPr>
          <w:gridAfter w:val="1"/>
          <w:wAfter w:w="34" w:type="dxa"/>
        </w:trPr>
        <w:tc>
          <w:tcPr>
            <w:tcW w:w="1345" w:type="dxa"/>
          </w:tcPr>
          <w:p w14:paraId="01F58F03"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r>
                      <w:rPr>
                        <w:rFonts w:ascii="Cambria Math" w:hAnsi="Cambria Math"/>
                        <w:color w:val="000000"/>
                        <w:sz w:val="24"/>
                        <w:szCs w:val="24"/>
                      </w:rPr>
                      <m:t>s</m:t>
                    </m:r>
                  </m:sub>
                </m:sSub>
              </m:oMath>
            </m:oMathPara>
          </w:p>
        </w:tc>
        <w:tc>
          <w:tcPr>
            <w:tcW w:w="786" w:type="dxa"/>
            <w:tcBorders>
              <w:right w:val="single" w:sz="4" w:space="0" w:color="auto"/>
            </w:tcBorders>
          </w:tcPr>
          <w:p w14:paraId="447C264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0.423</w:t>
            </w:r>
          </w:p>
        </w:tc>
        <w:tc>
          <w:tcPr>
            <w:tcW w:w="924" w:type="dxa"/>
            <w:tcBorders>
              <w:left w:val="single" w:sz="4" w:space="0" w:color="auto"/>
            </w:tcBorders>
          </w:tcPr>
          <w:p w14:paraId="69D64B5D"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5D161523"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0.179</w:t>
            </w:r>
          </w:p>
        </w:tc>
        <w:tc>
          <w:tcPr>
            <w:tcW w:w="747" w:type="dxa"/>
            <w:tcBorders>
              <w:left w:val="single" w:sz="4" w:space="0" w:color="auto"/>
            </w:tcBorders>
          </w:tcPr>
          <w:p w14:paraId="3335BE33"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2FCE863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w:t>
            </w:r>
            <w:r>
              <w:rPr>
                <w:rFonts w:ascii="Times New Roman" w:hAnsi="Times New Roman"/>
                <w:b/>
                <w:color w:val="000000"/>
                <w:sz w:val="20"/>
                <w:szCs w:val="20"/>
              </w:rPr>
              <w:t>.074</w:t>
            </w:r>
          </w:p>
        </w:tc>
        <w:tc>
          <w:tcPr>
            <w:tcW w:w="798" w:type="dxa"/>
            <w:tcBorders>
              <w:left w:val="single" w:sz="4" w:space="0" w:color="auto"/>
            </w:tcBorders>
          </w:tcPr>
          <w:p w14:paraId="2100B897"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33B637F2"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0.008</w:t>
            </w:r>
          </w:p>
        </w:tc>
        <w:tc>
          <w:tcPr>
            <w:tcW w:w="1009" w:type="dxa"/>
            <w:tcBorders>
              <w:left w:val="single" w:sz="4" w:space="0" w:color="auto"/>
            </w:tcBorders>
          </w:tcPr>
          <w:p w14:paraId="708D1681"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6FA539AA"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0.816</w:t>
            </w:r>
          </w:p>
        </w:tc>
        <w:tc>
          <w:tcPr>
            <w:tcW w:w="912" w:type="dxa"/>
            <w:gridSpan w:val="2"/>
            <w:tcBorders>
              <w:left w:val="single" w:sz="4" w:space="0" w:color="auto"/>
            </w:tcBorders>
          </w:tcPr>
          <w:p w14:paraId="30A210B1"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52046D5C" w14:textId="77777777" w:rsidTr="003D640C">
        <w:trPr>
          <w:gridAfter w:val="1"/>
          <w:wAfter w:w="34" w:type="dxa"/>
        </w:trPr>
        <w:tc>
          <w:tcPr>
            <w:tcW w:w="1345" w:type="dxa"/>
          </w:tcPr>
          <w:p w14:paraId="1244CE11"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sSup>
                      <m:sSupPr>
                        <m:ctrlPr>
                          <w:rPr>
                            <w:rFonts w:ascii="Cambria Math" w:hAnsi="Times New Roman"/>
                            <w:i/>
                            <w:color w:val="000000"/>
                            <w:sz w:val="24"/>
                            <w:szCs w:val="24"/>
                          </w:rPr>
                        </m:ctrlPr>
                      </m:sSupPr>
                      <m:e>
                        <m:r>
                          <w:rPr>
                            <w:rFonts w:ascii="Cambria Math" w:hAnsi="Cambria Math"/>
                            <w:color w:val="000000"/>
                            <w:sz w:val="24"/>
                            <w:szCs w:val="24"/>
                          </w:rPr>
                          <m:t>oil</m:t>
                        </m:r>
                      </m:e>
                      <m:sup>
                        <m:r>
                          <w:rPr>
                            <w:rFonts w:ascii="Cambria Math" w:hAnsi="Cambria Math"/>
                            <w:color w:val="000000"/>
                            <w:sz w:val="24"/>
                            <w:szCs w:val="24"/>
                          </w:rPr>
                          <m:t>s</m:t>
                        </m:r>
                      </m:sup>
                    </m:sSup>
                  </m:sub>
                </m:sSub>
              </m:oMath>
            </m:oMathPara>
          </w:p>
        </w:tc>
        <w:tc>
          <w:tcPr>
            <w:tcW w:w="786" w:type="dxa"/>
            <w:tcBorders>
              <w:right w:val="single" w:sz="4" w:space="0" w:color="auto"/>
            </w:tcBorders>
          </w:tcPr>
          <w:p w14:paraId="74A22E60"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0.038</w:t>
            </w:r>
          </w:p>
        </w:tc>
        <w:tc>
          <w:tcPr>
            <w:tcW w:w="924" w:type="dxa"/>
            <w:tcBorders>
              <w:left w:val="single" w:sz="4" w:space="0" w:color="auto"/>
            </w:tcBorders>
          </w:tcPr>
          <w:p w14:paraId="0CDA0EAA"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w:t>
            </w:r>
            <w:r>
              <w:rPr>
                <w:rFonts w:ascii="Times New Roman" w:hAnsi="Times New Roman"/>
                <w:sz w:val="20"/>
                <w:szCs w:val="20"/>
              </w:rPr>
              <w:t>100</w:t>
            </w:r>
          </w:p>
        </w:tc>
        <w:tc>
          <w:tcPr>
            <w:tcW w:w="812" w:type="dxa"/>
            <w:tcBorders>
              <w:right w:val="single" w:sz="4" w:space="0" w:color="auto"/>
            </w:tcBorders>
          </w:tcPr>
          <w:p w14:paraId="247157EA"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14.080</w:t>
            </w:r>
          </w:p>
        </w:tc>
        <w:tc>
          <w:tcPr>
            <w:tcW w:w="747" w:type="dxa"/>
            <w:tcBorders>
              <w:left w:val="single" w:sz="4" w:space="0" w:color="auto"/>
            </w:tcBorders>
          </w:tcPr>
          <w:p w14:paraId="2B4682C7"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4B13CCCE"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0.010</w:t>
            </w:r>
          </w:p>
        </w:tc>
        <w:tc>
          <w:tcPr>
            <w:tcW w:w="798" w:type="dxa"/>
            <w:tcBorders>
              <w:left w:val="single" w:sz="4" w:space="0" w:color="auto"/>
            </w:tcBorders>
          </w:tcPr>
          <w:p w14:paraId="51A4E3BC"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3DC18887"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0.127</w:t>
            </w:r>
          </w:p>
        </w:tc>
        <w:tc>
          <w:tcPr>
            <w:tcW w:w="1009" w:type="dxa"/>
            <w:tcBorders>
              <w:left w:val="single" w:sz="4" w:space="0" w:color="auto"/>
            </w:tcBorders>
          </w:tcPr>
          <w:p w14:paraId="449F65BB"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tcBorders>
              <w:right w:val="single" w:sz="4" w:space="0" w:color="auto"/>
            </w:tcBorders>
          </w:tcPr>
          <w:p w14:paraId="320E83BC"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1.361</w:t>
            </w:r>
          </w:p>
        </w:tc>
        <w:tc>
          <w:tcPr>
            <w:tcW w:w="912" w:type="dxa"/>
            <w:gridSpan w:val="2"/>
            <w:tcBorders>
              <w:left w:val="single" w:sz="4" w:space="0" w:color="auto"/>
            </w:tcBorders>
          </w:tcPr>
          <w:p w14:paraId="71E0A41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6BC811C6" w14:textId="77777777" w:rsidTr="003D640C">
        <w:trPr>
          <w:gridAfter w:val="1"/>
          <w:wAfter w:w="34" w:type="dxa"/>
        </w:trPr>
        <w:tc>
          <w:tcPr>
            <w:tcW w:w="1345" w:type="dxa"/>
          </w:tcPr>
          <w:p w14:paraId="0EE43C44"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Cambria Math" w:hAnsi="Cambria Math"/>
                        <w:color w:val="000000"/>
                        <w:sz w:val="24"/>
                        <w:szCs w:val="24"/>
                      </w:rPr>
                      <m:t>β</m:t>
                    </m:r>
                  </m:e>
                  <m:sub>
                    <m:sSup>
                      <m:sSupPr>
                        <m:ctrlPr>
                          <w:rPr>
                            <w:rFonts w:ascii="Cambria Math" w:hAnsi="Times New Roman"/>
                            <w:i/>
                            <w:color w:val="000000"/>
                            <w:sz w:val="24"/>
                            <w:szCs w:val="24"/>
                          </w:rPr>
                        </m:ctrlPr>
                      </m:sSupPr>
                      <m:e>
                        <m:r>
                          <w:rPr>
                            <w:rFonts w:ascii="Cambria Math" w:hAnsi="Cambria Math"/>
                            <w:color w:val="000000"/>
                            <w:sz w:val="24"/>
                            <w:szCs w:val="24"/>
                          </w:rPr>
                          <m:t>s</m:t>
                        </m:r>
                      </m:e>
                      <m:sup>
                        <m:r>
                          <w:rPr>
                            <w:rFonts w:ascii="Cambria Math" w:hAnsi="Cambria Math"/>
                            <w:color w:val="000000"/>
                            <w:sz w:val="24"/>
                            <w:szCs w:val="24"/>
                          </w:rPr>
                          <m:t>oil</m:t>
                        </m:r>
                      </m:sup>
                    </m:sSup>
                  </m:sub>
                </m:sSub>
              </m:oMath>
            </m:oMathPara>
          </w:p>
        </w:tc>
        <w:tc>
          <w:tcPr>
            <w:tcW w:w="786" w:type="dxa"/>
            <w:tcBorders>
              <w:right w:val="single" w:sz="4" w:space="0" w:color="auto"/>
            </w:tcBorders>
          </w:tcPr>
          <w:p w14:paraId="64E8A802"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0.012</w:t>
            </w:r>
          </w:p>
        </w:tc>
        <w:tc>
          <w:tcPr>
            <w:tcW w:w="924" w:type="dxa"/>
            <w:tcBorders>
              <w:left w:val="single" w:sz="4" w:space="0" w:color="auto"/>
            </w:tcBorders>
          </w:tcPr>
          <w:p w14:paraId="4C82547B"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12" w:type="dxa"/>
            <w:tcBorders>
              <w:right w:val="single" w:sz="4" w:space="0" w:color="auto"/>
            </w:tcBorders>
          </w:tcPr>
          <w:p w14:paraId="3EEFC0E9"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18.372</w:t>
            </w:r>
          </w:p>
        </w:tc>
        <w:tc>
          <w:tcPr>
            <w:tcW w:w="747" w:type="dxa"/>
            <w:tcBorders>
              <w:left w:val="single" w:sz="4" w:space="0" w:color="auto"/>
            </w:tcBorders>
          </w:tcPr>
          <w:p w14:paraId="0EC87666"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72" w:type="dxa"/>
            <w:gridSpan w:val="2"/>
            <w:tcBorders>
              <w:right w:val="single" w:sz="4" w:space="0" w:color="auto"/>
            </w:tcBorders>
          </w:tcPr>
          <w:p w14:paraId="3B72F308" w14:textId="77777777" w:rsidR="00047399" w:rsidRPr="00F238BF" w:rsidRDefault="00047399" w:rsidP="00DB5ABE">
            <w:pPr>
              <w:spacing w:after="0" w:line="240" w:lineRule="auto"/>
              <w:rPr>
                <w:rFonts w:ascii="Times New Roman" w:hAnsi="Times New Roman"/>
                <w:b/>
                <w:color w:val="000000"/>
                <w:sz w:val="20"/>
                <w:szCs w:val="20"/>
              </w:rPr>
            </w:pPr>
            <w:r w:rsidRPr="00F238BF">
              <w:rPr>
                <w:rFonts w:ascii="Times New Roman" w:hAnsi="Times New Roman"/>
                <w:b/>
                <w:color w:val="000000"/>
                <w:sz w:val="20"/>
                <w:szCs w:val="20"/>
              </w:rPr>
              <w:t>-</w:t>
            </w:r>
            <w:r>
              <w:rPr>
                <w:rFonts w:ascii="Times New Roman" w:hAnsi="Times New Roman"/>
                <w:b/>
                <w:color w:val="000000"/>
                <w:sz w:val="20"/>
                <w:szCs w:val="20"/>
              </w:rPr>
              <w:t>0.052</w:t>
            </w:r>
          </w:p>
        </w:tc>
        <w:tc>
          <w:tcPr>
            <w:tcW w:w="798" w:type="dxa"/>
            <w:tcBorders>
              <w:left w:val="single" w:sz="4" w:space="0" w:color="auto"/>
            </w:tcBorders>
          </w:tcPr>
          <w:p w14:paraId="43E25ACA"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c>
          <w:tcPr>
            <w:tcW w:w="802" w:type="dxa"/>
            <w:gridSpan w:val="3"/>
            <w:tcBorders>
              <w:right w:val="single" w:sz="4" w:space="0" w:color="auto"/>
            </w:tcBorders>
          </w:tcPr>
          <w:p w14:paraId="5DC1CBE7"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0.000</w:t>
            </w:r>
          </w:p>
        </w:tc>
        <w:tc>
          <w:tcPr>
            <w:tcW w:w="1009" w:type="dxa"/>
            <w:tcBorders>
              <w:left w:val="single" w:sz="4" w:space="0" w:color="auto"/>
            </w:tcBorders>
          </w:tcPr>
          <w:p w14:paraId="6EB8328F" w14:textId="77777777" w:rsidR="00047399" w:rsidRPr="00B07762" w:rsidRDefault="00047399" w:rsidP="00DB5ABE">
            <w:pPr>
              <w:spacing w:after="0" w:line="240" w:lineRule="auto"/>
              <w:jc w:val="center"/>
              <w:rPr>
                <w:rFonts w:ascii="Times New Roman" w:hAnsi="Times New Roman"/>
                <w:sz w:val="20"/>
                <w:szCs w:val="20"/>
              </w:rPr>
            </w:pPr>
            <w:r w:rsidRPr="00B07762">
              <w:rPr>
                <w:rFonts w:ascii="Times New Roman" w:hAnsi="Times New Roman"/>
                <w:sz w:val="20"/>
                <w:szCs w:val="20"/>
              </w:rPr>
              <w:t>0.100</w:t>
            </w:r>
          </w:p>
        </w:tc>
        <w:tc>
          <w:tcPr>
            <w:tcW w:w="802" w:type="dxa"/>
            <w:tcBorders>
              <w:right w:val="single" w:sz="4" w:space="0" w:color="auto"/>
            </w:tcBorders>
          </w:tcPr>
          <w:p w14:paraId="2B788964" w14:textId="77777777" w:rsidR="00047399" w:rsidRPr="00F238BF" w:rsidRDefault="00047399" w:rsidP="00DB5ABE">
            <w:pPr>
              <w:spacing w:after="0" w:line="240" w:lineRule="auto"/>
              <w:rPr>
                <w:rFonts w:ascii="Times New Roman" w:hAnsi="Times New Roman"/>
                <w:b/>
                <w:color w:val="000000"/>
                <w:sz w:val="20"/>
                <w:szCs w:val="20"/>
              </w:rPr>
            </w:pPr>
            <w:r>
              <w:rPr>
                <w:rFonts w:ascii="Times New Roman" w:hAnsi="Times New Roman"/>
                <w:b/>
                <w:color w:val="000000"/>
                <w:sz w:val="20"/>
                <w:szCs w:val="20"/>
              </w:rPr>
              <w:t>0.036</w:t>
            </w:r>
          </w:p>
        </w:tc>
        <w:tc>
          <w:tcPr>
            <w:tcW w:w="912" w:type="dxa"/>
            <w:gridSpan w:val="2"/>
            <w:tcBorders>
              <w:left w:val="single" w:sz="4" w:space="0" w:color="auto"/>
            </w:tcBorders>
          </w:tcPr>
          <w:p w14:paraId="4A3B9B77" w14:textId="77777777" w:rsidR="00047399" w:rsidRPr="00F238BF" w:rsidRDefault="00047399" w:rsidP="00DB5ABE">
            <w:pPr>
              <w:spacing w:after="0" w:line="240" w:lineRule="auto"/>
              <w:jc w:val="center"/>
              <w:rPr>
                <w:rFonts w:ascii="Times New Roman" w:hAnsi="Times New Roman"/>
                <w:b/>
                <w:sz w:val="20"/>
                <w:szCs w:val="20"/>
              </w:rPr>
            </w:pPr>
            <w:r w:rsidRPr="00BD6838">
              <w:rPr>
                <w:rFonts w:ascii="Times New Roman" w:eastAsia="Times New Roman" w:hAnsi="Times New Roman"/>
                <w:sz w:val="20"/>
                <w:szCs w:val="20"/>
              </w:rPr>
              <w:t>0.</w:t>
            </w:r>
            <w:r>
              <w:rPr>
                <w:rFonts w:ascii="Times New Roman" w:eastAsia="Times New Roman" w:hAnsi="Times New Roman"/>
                <w:sz w:val="20"/>
                <w:szCs w:val="20"/>
              </w:rPr>
              <w:t>0</w:t>
            </w:r>
            <w:r w:rsidRPr="00BD6838">
              <w:rPr>
                <w:rFonts w:ascii="Times New Roman" w:eastAsia="Times New Roman" w:hAnsi="Times New Roman"/>
                <w:sz w:val="20"/>
                <w:szCs w:val="20"/>
              </w:rPr>
              <w:t>00</w:t>
            </w:r>
          </w:p>
        </w:tc>
      </w:tr>
      <w:tr w:rsidR="00047399" w:rsidRPr="00F238BF" w14:paraId="3FE153EF" w14:textId="77777777" w:rsidTr="003D640C">
        <w:trPr>
          <w:gridAfter w:val="1"/>
          <w:wAfter w:w="34" w:type="dxa"/>
        </w:trPr>
        <w:tc>
          <w:tcPr>
            <w:tcW w:w="2131" w:type="dxa"/>
            <w:gridSpan w:val="2"/>
            <w:tcBorders>
              <w:right w:val="single" w:sz="4" w:space="0" w:color="auto"/>
            </w:tcBorders>
          </w:tcPr>
          <w:p w14:paraId="755EC83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Leverage Effects</w:t>
            </w:r>
          </w:p>
        </w:tc>
        <w:tc>
          <w:tcPr>
            <w:tcW w:w="1736" w:type="dxa"/>
            <w:gridSpan w:val="2"/>
            <w:tcBorders>
              <w:left w:val="single" w:sz="4" w:space="0" w:color="auto"/>
              <w:right w:val="single" w:sz="4" w:space="0" w:color="auto"/>
            </w:tcBorders>
          </w:tcPr>
          <w:p w14:paraId="50331C53" w14:textId="77777777" w:rsidR="00047399" w:rsidRPr="00F238BF" w:rsidRDefault="00047399" w:rsidP="00DB5ABE">
            <w:pPr>
              <w:spacing w:after="0" w:line="240" w:lineRule="auto"/>
              <w:rPr>
                <w:rFonts w:ascii="Times New Roman" w:hAnsi="Times New Roman"/>
                <w:color w:val="000000"/>
                <w:sz w:val="20"/>
                <w:szCs w:val="20"/>
              </w:rPr>
            </w:pPr>
          </w:p>
        </w:tc>
        <w:tc>
          <w:tcPr>
            <w:tcW w:w="1619" w:type="dxa"/>
            <w:gridSpan w:val="3"/>
            <w:tcBorders>
              <w:left w:val="single" w:sz="4" w:space="0" w:color="auto"/>
              <w:right w:val="single" w:sz="4" w:space="0" w:color="auto"/>
            </w:tcBorders>
          </w:tcPr>
          <w:p w14:paraId="53D28739" w14:textId="77777777" w:rsidR="00047399" w:rsidRPr="00F238BF" w:rsidRDefault="00047399" w:rsidP="00DB5ABE">
            <w:pPr>
              <w:spacing w:after="0" w:line="240" w:lineRule="auto"/>
              <w:rPr>
                <w:rFonts w:ascii="Times New Roman" w:hAnsi="Times New Roman"/>
                <w:color w:val="000000"/>
                <w:sz w:val="20"/>
                <w:szCs w:val="20"/>
              </w:rPr>
            </w:pPr>
          </w:p>
        </w:tc>
        <w:tc>
          <w:tcPr>
            <w:tcW w:w="1600" w:type="dxa"/>
            <w:gridSpan w:val="4"/>
            <w:tcBorders>
              <w:left w:val="single" w:sz="4" w:space="0" w:color="auto"/>
              <w:right w:val="single" w:sz="4" w:space="0" w:color="auto"/>
            </w:tcBorders>
          </w:tcPr>
          <w:p w14:paraId="4E9A8533" w14:textId="77777777" w:rsidR="00047399" w:rsidRPr="00F238BF" w:rsidRDefault="00047399" w:rsidP="00DB5ABE">
            <w:pPr>
              <w:spacing w:after="0" w:line="240" w:lineRule="auto"/>
              <w:rPr>
                <w:rFonts w:ascii="Times New Roman" w:hAnsi="Times New Roman"/>
                <w:color w:val="000000"/>
                <w:sz w:val="20"/>
                <w:szCs w:val="20"/>
              </w:rPr>
            </w:pPr>
          </w:p>
        </w:tc>
        <w:tc>
          <w:tcPr>
            <w:tcW w:w="1817" w:type="dxa"/>
            <w:gridSpan w:val="3"/>
            <w:tcBorders>
              <w:left w:val="single" w:sz="4" w:space="0" w:color="auto"/>
              <w:right w:val="single" w:sz="4" w:space="0" w:color="auto"/>
            </w:tcBorders>
          </w:tcPr>
          <w:p w14:paraId="18F4DA29" w14:textId="77777777" w:rsidR="00047399" w:rsidRPr="00F238BF" w:rsidRDefault="00047399" w:rsidP="00DB5ABE">
            <w:pPr>
              <w:spacing w:after="0" w:line="240" w:lineRule="auto"/>
              <w:rPr>
                <w:rFonts w:ascii="Times New Roman" w:hAnsi="Times New Roman"/>
                <w:color w:val="000000"/>
                <w:sz w:val="20"/>
                <w:szCs w:val="20"/>
              </w:rPr>
            </w:pPr>
          </w:p>
        </w:tc>
        <w:tc>
          <w:tcPr>
            <w:tcW w:w="906" w:type="dxa"/>
            <w:tcBorders>
              <w:left w:val="single" w:sz="4" w:space="0" w:color="auto"/>
            </w:tcBorders>
          </w:tcPr>
          <w:p w14:paraId="04620834"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6E9234BC" w14:textId="77777777" w:rsidTr="003D640C">
        <w:trPr>
          <w:gridAfter w:val="1"/>
          <w:wAfter w:w="34" w:type="dxa"/>
        </w:trPr>
        <w:tc>
          <w:tcPr>
            <w:tcW w:w="1345" w:type="dxa"/>
          </w:tcPr>
          <w:p w14:paraId="425DD5A2"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Times New Roman" w:hAnsi="Cambria Math"/>
                        <w:color w:val="000000"/>
                        <w:sz w:val="24"/>
                        <w:szCs w:val="24"/>
                      </w:rPr>
                      <m:t>∅</m:t>
                    </m:r>
                  </m:e>
                  <m:sub>
                    <m:r>
                      <w:rPr>
                        <w:rFonts w:ascii="Cambria Math" w:hAnsi="Cambria Math"/>
                        <w:color w:val="000000"/>
                        <w:sz w:val="24"/>
                        <w:szCs w:val="24"/>
                      </w:rPr>
                      <m:t>oil</m:t>
                    </m:r>
                  </m:sub>
                </m:sSub>
              </m:oMath>
            </m:oMathPara>
          </w:p>
        </w:tc>
        <w:tc>
          <w:tcPr>
            <w:tcW w:w="786" w:type="dxa"/>
            <w:tcBorders>
              <w:right w:val="single" w:sz="4" w:space="0" w:color="auto"/>
            </w:tcBorders>
          </w:tcPr>
          <w:p w14:paraId="24D99194"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0.106</w:t>
            </w:r>
          </w:p>
        </w:tc>
        <w:tc>
          <w:tcPr>
            <w:tcW w:w="924" w:type="dxa"/>
            <w:tcBorders>
              <w:left w:val="single" w:sz="4" w:space="0" w:color="auto"/>
            </w:tcBorders>
          </w:tcPr>
          <w:p w14:paraId="49B2998E" w14:textId="77777777" w:rsidR="00047399" w:rsidRPr="00F238BF" w:rsidRDefault="00047399" w:rsidP="00DB5AB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0.000</w:t>
            </w:r>
          </w:p>
        </w:tc>
        <w:tc>
          <w:tcPr>
            <w:tcW w:w="812" w:type="dxa"/>
            <w:tcBorders>
              <w:right w:val="single" w:sz="4" w:space="0" w:color="auto"/>
            </w:tcBorders>
          </w:tcPr>
          <w:p w14:paraId="63B9BEAA"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747" w:type="dxa"/>
            <w:tcBorders>
              <w:left w:val="single" w:sz="4" w:space="0" w:color="auto"/>
            </w:tcBorders>
          </w:tcPr>
          <w:p w14:paraId="67D4770B" w14:textId="77777777" w:rsidR="00047399" w:rsidRPr="00F238BF" w:rsidRDefault="00047399" w:rsidP="00DB5ABE">
            <w:pPr>
              <w:spacing w:after="0" w:line="240" w:lineRule="auto"/>
              <w:rPr>
                <w:rFonts w:ascii="Times New Roman" w:hAnsi="Times New Roman"/>
                <w:color w:val="000000"/>
                <w:sz w:val="20"/>
                <w:szCs w:val="20"/>
              </w:rPr>
            </w:pPr>
          </w:p>
        </w:tc>
        <w:tc>
          <w:tcPr>
            <w:tcW w:w="872" w:type="dxa"/>
            <w:gridSpan w:val="2"/>
            <w:tcBorders>
              <w:right w:val="single" w:sz="4" w:space="0" w:color="auto"/>
            </w:tcBorders>
          </w:tcPr>
          <w:p w14:paraId="5CE7C16D"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 xml:space="preserve">    x  </w:t>
            </w:r>
          </w:p>
        </w:tc>
        <w:tc>
          <w:tcPr>
            <w:tcW w:w="824" w:type="dxa"/>
            <w:gridSpan w:val="2"/>
            <w:tcBorders>
              <w:left w:val="single" w:sz="4" w:space="0" w:color="auto"/>
            </w:tcBorders>
          </w:tcPr>
          <w:p w14:paraId="41F46A09" w14:textId="77777777" w:rsidR="00047399" w:rsidRPr="00F238BF" w:rsidRDefault="00047399" w:rsidP="00DB5ABE">
            <w:pPr>
              <w:spacing w:after="0" w:line="240" w:lineRule="auto"/>
              <w:rPr>
                <w:rFonts w:ascii="Times New Roman" w:hAnsi="Times New Roman"/>
                <w:color w:val="000000"/>
                <w:sz w:val="20"/>
                <w:szCs w:val="20"/>
              </w:rPr>
            </w:pPr>
          </w:p>
        </w:tc>
        <w:tc>
          <w:tcPr>
            <w:tcW w:w="776" w:type="dxa"/>
            <w:gridSpan w:val="2"/>
            <w:tcBorders>
              <w:right w:val="single" w:sz="4" w:space="0" w:color="auto"/>
            </w:tcBorders>
          </w:tcPr>
          <w:p w14:paraId="5894A346"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1009" w:type="dxa"/>
            <w:tcBorders>
              <w:left w:val="single" w:sz="4" w:space="0" w:color="auto"/>
            </w:tcBorders>
          </w:tcPr>
          <w:p w14:paraId="5948A39F" w14:textId="77777777" w:rsidR="00047399" w:rsidRPr="00F238BF" w:rsidRDefault="00047399" w:rsidP="00DB5ABE">
            <w:pPr>
              <w:spacing w:after="0" w:line="240" w:lineRule="auto"/>
              <w:rPr>
                <w:rFonts w:ascii="Times New Roman" w:hAnsi="Times New Roman"/>
                <w:color w:val="000000"/>
                <w:sz w:val="20"/>
                <w:szCs w:val="20"/>
              </w:rPr>
            </w:pPr>
          </w:p>
        </w:tc>
        <w:tc>
          <w:tcPr>
            <w:tcW w:w="802" w:type="dxa"/>
            <w:tcBorders>
              <w:right w:val="single" w:sz="4" w:space="0" w:color="auto"/>
            </w:tcBorders>
          </w:tcPr>
          <w:p w14:paraId="52B9F9E1"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912" w:type="dxa"/>
            <w:gridSpan w:val="2"/>
            <w:tcBorders>
              <w:left w:val="single" w:sz="4" w:space="0" w:color="auto"/>
            </w:tcBorders>
          </w:tcPr>
          <w:p w14:paraId="43B414E4"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705764A9" w14:textId="77777777" w:rsidTr="003D640C">
        <w:trPr>
          <w:gridAfter w:val="1"/>
          <w:wAfter w:w="34" w:type="dxa"/>
        </w:trPr>
        <w:tc>
          <w:tcPr>
            <w:tcW w:w="1345" w:type="dxa"/>
          </w:tcPr>
          <w:p w14:paraId="79FDFC31" w14:textId="77777777" w:rsidR="00047399" w:rsidRPr="00F238BF" w:rsidRDefault="00000000" w:rsidP="00DB5ABE">
            <w:pPr>
              <w:spacing w:after="0" w:line="240" w:lineRule="auto"/>
              <w:rPr>
                <w:rFonts w:ascii="Times New Roman" w:hAnsi="Times New Roman"/>
                <w:color w:val="000000"/>
                <w:sz w:val="20"/>
                <w:szCs w:val="20"/>
              </w:rPr>
            </w:pPr>
            <m:oMathPara>
              <m:oMath>
                <m:sSub>
                  <m:sSubPr>
                    <m:ctrlPr>
                      <w:rPr>
                        <w:rFonts w:ascii="Cambria Math" w:hAnsi="Times New Roman"/>
                        <w:i/>
                        <w:color w:val="000000"/>
                        <w:sz w:val="24"/>
                        <w:szCs w:val="24"/>
                      </w:rPr>
                    </m:ctrlPr>
                  </m:sSubPr>
                  <m:e>
                    <m:r>
                      <w:rPr>
                        <w:rFonts w:ascii="Times New Roman" w:hAnsi="Cambria Math"/>
                        <w:color w:val="000000"/>
                        <w:sz w:val="24"/>
                        <w:szCs w:val="24"/>
                      </w:rPr>
                      <m:t>∅</m:t>
                    </m:r>
                  </m:e>
                  <m:sub>
                    <m:r>
                      <w:rPr>
                        <w:rFonts w:ascii="Cambria Math" w:hAnsi="Cambria Math"/>
                        <w:color w:val="000000"/>
                        <w:sz w:val="24"/>
                        <w:szCs w:val="24"/>
                      </w:rPr>
                      <m:t>s</m:t>
                    </m:r>
                  </m:sub>
                </m:sSub>
              </m:oMath>
            </m:oMathPara>
          </w:p>
        </w:tc>
        <w:tc>
          <w:tcPr>
            <w:tcW w:w="786" w:type="dxa"/>
            <w:tcBorders>
              <w:right w:val="single" w:sz="4" w:space="0" w:color="auto"/>
            </w:tcBorders>
          </w:tcPr>
          <w:p w14:paraId="1FC0D339"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-0.088</w:t>
            </w:r>
          </w:p>
        </w:tc>
        <w:tc>
          <w:tcPr>
            <w:tcW w:w="924" w:type="dxa"/>
            <w:tcBorders>
              <w:left w:val="single" w:sz="4" w:space="0" w:color="auto"/>
            </w:tcBorders>
          </w:tcPr>
          <w:p w14:paraId="4373E914" w14:textId="77777777" w:rsidR="00047399" w:rsidRPr="00F238BF" w:rsidRDefault="00047399" w:rsidP="00DB5AB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0.000</w:t>
            </w:r>
          </w:p>
        </w:tc>
        <w:tc>
          <w:tcPr>
            <w:tcW w:w="812" w:type="dxa"/>
            <w:tcBorders>
              <w:right w:val="single" w:sz="4" w:space="0" w:color="auto"/>
            </w:tcBorders>
          </w:tcPr>
          <w:p w14:paraId="50C1870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 xml:space="preserve">    x </w:t>
            </w:r>
          </w:p>
        </w:tc>
        <w:tc>
          <w:tcPr>
            <w:tcW w:w="747" w:type="dxa"/>
            <w:tcBorders>
              <w:left w:val="single" w:sz="4" w:space="0" w:color="auto"/>
            </w:tcBorders>
          </w:tcPr>
          <w:p w14:paraId="2B65B418" w14:textId="77777777" w:rsidR="00047399" w:rsidRPr="00F238BF" w:rsidRDefault="00047399" w:rsidP="00DB5ABE">
            <w:pPr>
              <w:spacing w:after="0" w:line="240" w:lineRule="auto"/>
              <w:rPr>
                <w:rFonts w:ascii="Times New Roman" w:hAnsi="Times New Roman"/>
                <w:color w:val="000000"/>
                <w:sz w:val="20"/>
                <w:szCs w:val="20"/>
              </w:rPr>
            </w:pPr>
          </w:p>
        </w:tc>
        <w:tc>
          <w:tcPr>
            <w:tcW w:w="872" w:type="dxa"/>
            <w:gridSpan w:val="2"/>
            <w:tcBorders>
              <w:right w:val="single" w:sz="4" w:space="0" w:color="auto"/>
            </w:tcBorders>
          </w:tcPr>
          <w:p w14:paraId="77BAB80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 xml:space="preserve">    x   </w:t>
            </w:r>
          </w:p>
        </w:tc>
        <w:tc>
          <w:tcPr>
            <w:tcW w:w="824" w:type="dxa"/>
            <w:gridSpan w:val="2"/>
            <w:tcBorders>
              <w:left w:val="single" w:sz="4" w:space="0" w:color="auto"/>
            </w:tcBorders>
          </w:tcPr>
          <w:p w14:paraId="51341242" w14:textId="77777777" w:rsidR="00047399" w:rsidRPr="00F238BF" w:rsidRDefault="00047399" w:rsidP="00DB5ABE">
            <w:pPr>
              <w:spacing w:after="0" w:line="240" w:lineRule="auto"/>
              <w:rPr>
                <w:rFonts w:ascii="Times New Roman" w:hAnsi="Times New Roman"/>
                <w:color w:val="000000"/>
                <w:sz w:val="20"/>
                <w:szCs w:val="20"/>
              </w:rPr>
            </w:pPr>
          </w:p>
        </w:tc>
        <w:tc>
          <w:tcPr>
            <w:tcW w:w="776" w:type="dxa"/>
            <w:gridSpan w:val="2"/>
            <w:tcBorders>
              <w:right w:val="single" w:sz="4" w:space="0" w:color="auto"/>
            </w:tcBorders>
          </w:tcPr>
          <w:p w14:paraId="55AD3CBA"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1009" w:type="dxa"/>
            <w:tcBorders>
              <w:left w:val="single" w:sz="4" w:space="0" w:color="auto"/>
            </w:tcBorders>
          </w:tcPr>
          <w:p w14:paraId="71FF81BC" w14:textId="77777777" w:rsidR="00047399" w:rsidRPr="00F238BF" w:rsidRDefault="00047399" w:rsidP="00DB5ABE">
            <w:pPr>
              <w:spacing w:after="0" w:line="240" w:lineRule="auto"/>
              <w:rPr>
                <w:rFonts w:ascii="Times New Roman" w:hAnsi="Times New Roman"/>
                <w:color w:val="000000"/>
                <w:sz w:val="20"/>
                <w:szCs w:val="20"/>
              </w:rPr>
            </w:pPr>
          </w:p>
        </w:tc>
        <w:tc>
          <w:tcPr>
            <w:tcW w:w="802" w:type="dxa"/>
            <w:tcBorders>
              <w:right w:val="single" w:sz="4" w:space="0" w:color="auto"/>
            </w:tcBorders>
          </w:tcPr>
          <w:p w14:paraId="72210527" w14:textId="77777777" w:rsidR="00047399" w:rsidRPr="00F238BF" w:rsidRDefault="00047399" w:rsidP="00DB5ABE">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    x  </w:t>
            </w:r>
          </w:p>
        </w:tc>
        <w:tc>
          <w:tcPr>
            <w:tcW w:w="912" w:type="dxa"/>
            <w:gridSpan w:val="2"/>
            <w:tcBorders>
              <w:left w:val="single" w:sz="4" w:space="0" w:color="auto"/>
            </w:tcBorders>
          </w:tcPr>
          <w:p w14:paraId="77CF8CBF"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463C543E" w14:textId="77777777" w:rsidTr="003D640C">
        <w:trPr>
          <w:gridAfter w:val="1"/>
          <w:wAfter w:w="34" w:type="dxa"/>
        </w:trPr>
        <w:tc>
          <w:tcPr>
            <w:tcW w:w="1345" w:type="dxa"/>
          </w:tcPr>
          <w:p w14:paraId="63BD892D"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CCC</w:t>
            </w:r>
          </w:p>
        </w:tc>
        <w:tc>
          <w:tcPr>
            <w:tcW w:w="786" w:type="dxa"/>
            <w:tcBorders>
              <w:right w:val="single" w:sz="4" w:space="0" w:color="auto"/>
            </w:tcBorders>
          </w:tcPr>
          <w:p w14:paraId="79445ED5" w14:textId="77777777" w:rsidR="00047399" w:rsidRPr="00F238BF" w:rsidRDefault="00047399" w:rsidP="00DB5ABE">
            <w:pPr>
              <w:spacing w:after="0" w:line="240" w:lineRule="auto"/>
              <w:rPr>
                <w:rFonts w:ascii="Times New Roman" w:hAnsi="Times New Roman"/>
                <w:color w:val="000000"/>
                <w:sz w:val="20"/>
                <w:szCs w:val="20"/>
              </w:rPr>
            </w:pPr>
          </w:p>
        </w:tc>
        <w:tc>
          <w:tcPr>
            <w:tcW w:w="924" w:type="dxa"/>
            <w:tcBorders>
              <w:left w:val="single" w:sz="4" w:space="0" w:color="auto"/>
            </w:tcBorders>
          </w:tcPr>
          <w:p w14:paraId="4EF70943" w14:textId="77777777" w:rsidR="00047399" w:rsidRPr="00F238BF" w:rsidRDefault="00047399" w:rsidP="00DB5ABE">
            <w:pPr>
              <w:spacing w:after="0" w:line="240" w:lineRule="auto"/>
              <w:jc w:val="center"/>
              <w:rPr>
                <w:rFonts w:ascii="Times New Roman" w:hAnsi="Times New Roman"/>
                <w:color w:val="000000"/>
                <w:sz w:val="20"/>
                <w:szCs w:val="20"/>
              </w:rPr>
            </w:pPr>
          </w:p>
        </w:tc>
        <w:tc>
          <w:tcPr>
            <w:tcW w:w="812" w:type="dxa"/>
            <w:tcBorders>
              <w:right w:val="single" w:sz="4" w:space="0" w:color="auto"/>
            </w:tcBorders>
          </w:tcPr>
          <w:p w14:paraId="762B4127" w14:textId="77777777" w:rsidR="00047399" w:rsidRPr="00F238BF" w:rsidRDefault="00047399" w:rsidP="00DB5ABE">
            <w:pPr>
              <w:spacing w:after="0" w:line="240" w:lineRule="auto"/>
              <w:rPr>
                <w:rFonts w:ascii="Times New Roman" w:hAnsi="Times New Roman"/>
                <w:color w:val="000000"/>
                <w:sz w:val="20"/>
                <w:szCs w:val="20"/>
              </w:rPr>
            </w:pPr>
          </w:p>
        </w:tc>
        <w:tc>
          <w:tcPr>
            <w:tcW w:w="747" w:type="dxa"/>
            <w:tcBorders>
              <w:left w:val="single" w:sz="4" w:space="0" w:color="auto"/>
            </w:tcBorders>
          </w:tcPr>
          <w:p w14:paraId="746F71FF" w14:textId="77777777" w:rsidR="00047399" w:rsidRPr="00F238BF" w:rsidRDefault="00047399" w:rsidP="00DB5ABE">
            <w:pPr>
              <w:spacing w:after="0" w:line="240" w:lineRule="auto"/>
              <w:rPr>
                <w:rFonts w:ascii="Times New Roman" w:hAnsi="Times New Roman"/>
                <w:color w:val="000000"/>
                <w:sz w:val="20"/>
                <w:szCs w:val="20"/>
              </w:rPr>
            </w:pPr>
          </w:p>
        </w:tc>
        <w:tc>
          <w:tcPr>
            <w:tcW w:w="872" w:type="dxa"/>
            <w:gridSpan w:val="2"/>
            <w:tcBorders>
              <w:right w:val="single" w:sz="4" w:space="0" w:color="auto"/>
            </w:tcBorders>
          </w:tcPr>
          <w:p w14:paraId="72753526" w14:textId="77777777" w:rsidR="00047399" w:rsidRPr="00F238BF" w:rsidRDefault="00047399" w:rsidP="00DB5ABE">
            <w:pPr>
              <w:spacing w:after="0" w:line="240" w:lineRule="auto"/>
              <w:rPr>
                <w:rFonts w:ascii="Times New Roman" w:hAnsi="Times New Roman"/>
                <w:color w:val="000000"/>
                <w:sz w:val="20"/>
                <w:szCs w:val="20"/>
              </w:rPr>
            </w:pPr>
          </w:p>
        </w:tc>
        <w:tc>
          <w:tcPr>
            <w:tcW w:w="824" w:type="dxa"/>
            <w:gridSpan w:val="2"/>
            <w:tcBorders>
              <w:left w:val="single" w:sz="4" w:space="0" w:color="auto"/>
            </w:tcBorders>
          </w:tcPr>
          <w:p w14:paraId="1584FA34" w14:textId="77777777" w:rsidR="00047399" w:rsidRPr="00F238BF" w:rsidRDefault="00047399" w:rsidP="00DB5ABE">
            <w:pPr>
              <w:spacing w:after="0" w:line="240" w:lineRule="auto"/>
              <w:rPr>
                <w:rFonts w:ascii="Times New Roman" w:hAnsi="Times New Roman"/>
                <w:color w:val="000000"/>
                <w:sz w:val="20"/>
                <w:szCs w:val="20"/>
              </w:rPr>
            </w:pPr>
          </w:p>
        </w:tc>
        <w:tc>
          <w:tcPr>
            <w:tcW w:w="776" w:type="dxa"/>
            <w:gridSpan w:val="2"/>
            <w:tcBorders>
              <w:right w:val="single" w:sz="4" w:space="0" w:color="auto"/>
            </w:tcBorders>
          </w:tcPr>
          <w:p w14:paraId="297F590F" w14:textId="77777777" w:rsidR="00047399" w:rsidRPr="00F238BF" w:rsidRDefault="00047399" w:rsidP="00DB5ABE">
            <w:pPr>
              <w:spacing w:after="0" w:line="240" w:lineRule="auto"/>
              <w:rPr>
                <w:rFonts w:ascii="Times New Roman" w:hAnsi="Times New Roman"/>
                <w:color w:val="000000"/>
                <w:sz w:val="20"/>
                <w:szCs w:val="20"/>
              </w:rPr>
            </w:pPr>
          </w:p>
        </w:tc>
        <w:tc>
          <w:tcPr>
            <w:tcW w:w="1009" w:type="dxa"/>
            <w:tcBorders>
              <w:left w:val="single" w:sz="4" w:space="0" w:color="auto"/>
            </w:tcBorders>
          </w:tcPr>
          <w:p w14:paraId="158868D2" w14:textId="77777777" w:rsidR="00047399" w:rsidRPr="00F238BF" w:rsidRDefault="00047399" w:rsidP="00DB5ABE">
            <w:pPr>
              <w:spacing w:after="0" w:line="240" w:lineRule="auto"/>
              <w:rPr>
                <w:rFonts w:ascii="Times New Roman" w:hAnsi="Times New Roman"/>
                <w:color w:val="000000"/>
                <w:sz w:val="20"/>
                <w:szCs w:val="20"/>
              </w:rPr>
            </w:pPr>
          </w:p>
        </w:tc>
        <w:tc>
          <w:tcPr>
            <w:tcW w:w="802" w:type="dxa"/>
            <w:tcBorders>
              <w:right w:val="single" w:sz="4" w:space="0" w:color="auto"/>
            </w:tcBorders>
          </w:tcPr>
          <w:p w14:paraId="2D2A07FF" w14:textId="77777777" w:rsidR="00047399" w:rsidRPr="00F238BF" w:rsidRDefault="00047399" w:rsidP="00DB5ABE">
            <w:pPr>
              <w:spacing w:after="0" w:line="240" w:lineRule="auto"/>
              <w:rPr>
                <w:rFonts w:ascii="Times New Roman" w:hAnsi="Times New Roman"/>
                <w:color w:val="000000"/>
                <w:sz w:val="20"/>
                <w:szCs w:val="20"/>
              </w:rPr>
            </w:pPr>
          </w:p>
        </w:tc>
        <w:tc>
          <w:tcPr>
            <w:tcW w:w="912" w:type="dxa"/>
            <w:gridSpan w:val="2"/>
            <w:tcBorders>
              <w:left w:val="single" w:sz="4" w:space="0" w:color="auto"/>
            </w:tcBorders>
          </w:tcPr>
          <w:p w14:paraId="408194F5" w14:textId="77777777" w:rsidR="00047399" w:rsidRPr="00F238BF" w:rsidRDefault="00047399" w:rsidP="00DB5ABE">
            <w:pPr>
              <w:spacing w:after="0" w:line="240" w:lineRule="auto"/>
              <w:rPr>
                <w:rFonts w:ascii="Times New Roman" w:hAnsi="Times New Roman"/>
                <w:color w:val="000000"/>
                <w:sz w:val="20"/>
                <w:szCs w:val="20"/>
              </w:rPr>
            </w:pPr>
          </w:p>
        </w:tc>
      </w:tr>
      <w:tr w:rsidR="00047399" w:rsidRPr="00F238BF" w14:paraId="28FA53B2" w14:textId="77777777" w:rsidTr="003D640C">
        <w:trPr>
          <w:gridAfter w:val="1"/>
          <w:wAfter w:w="34" w:type="dxa"/>
        </w:trPr>
        <w:tc>
          <w:tcPr>
            <w:tcW w:w="1345" w:type="dxa"/>
          </w:tcPr>
          <w:p w14:paraId="1378B52E" w14:textId="77777777" w:rsidR="00047399" w:rsidRPr="00F238BF" w:rsidRDefault="00000000" w:rsidP="00DB5ABE">
            <w:pPr>
              <w:spacing w:after="0" w:line="240" w:lineRule="auto"/>
              <w:rPr>
                <w:rFonts w:ascii="Times New Roman" w:hAnsi="Times New Roman"/>
                <w:sz w:val="20"/>
                <w:szCs w:val="20"/>
              </w:rPr>
            </w:pPr>
            <m:oMathPara>
              <m:oMath>
                <m:sSup>
                  <m:sSupPr>
                    <m:ctrlPr>
                      <w:rPr>
                        <w:rFonts w:ascii="Cambria Math" w:hAnsi="Times New Roman"/>
                        <w:i/>
                        <w:sz w:val="24"/>
                        <w:szCs w:val="24"/>
                      </w:rPr>
                    </m:ctrlPr>
                  </m:sSupPr>
                  <m:e>
                    <m:r>
                      <w:rPr>
                        <w:rFonts w:ascii="Cambria Math" w:hAnsi="Cambria Math"/>
                        <w:sz w:val="24"/>
                        <w:szCs w:val="24"/>
                      </w:rPr>
                      <m:t>ρ</m:t>
                    </m:r>
                  </m:e>
                  <m:sup>
                    <m:r>
                      <w:rPr>
                        <w:rFonts w:ascii="Cambria Math" w:hAnsi="Cambria Math"/>
                        <w:sz w:val="24"/>
                        <w:szCs w:val="24"/>
                      </w:rPr>
                      <m:t>so</m:t>
                    </m:r>
                  </m:sup>
                </m:sSup>
              </m:oMath>
            </m:oMathPara>
          </w:p>
        </w:tc>
        <w:tc>
          <w:tcPr>
            <w:tcW w:w="786" w:type="dxa"/>
            <w:tcBorders>
              <w:right w:val="single" w:sz="4" w:space="0" w:color="auto"/>
            </w:tcBorders>
          </w:tcPr>
          <w:p w14:paraId="18CB5358" w14:textId="77777777" w:rsidR="00047399" w:rsidRPr="00F238BF" w:rsidRDefault="00047399" w:rsidP="00DB5ABE">
            <w:pPr>
              <w:spacing w:after="0" w:line="240" w:lineRule="auto"/>
              <w:rPr>
                <w:rFonts w:ascii="Times New Roman" w:hAnsi="Times New Roman"/>
                <w:sz w:val="20"/>
                <w:szCs w:val="20"/>
              </w:rPr>
            </w:pPr>
            <w:r>
              <w:rPr>
                <w:rFonts w:ascii="Times New Roman" w:hAnsi="Times New Roman"/>
                <w:sz w:val="20"/>
                <w:szCs w:val="20"/>
              </w:rPr>
              <w:t>9.020</w:t>
            </w:r>
          </w:p>
        </w:tc>
        <w:tc>
          <w:tcPr>
            <w:tcW w:w="924" w:type="dxa"/>
            <w:tcBorders>
              <w:left w:val="single" w:sz="4" w:space="0" w:color="auto"/>
            </w:tcBorders>
          </w:tcPr>
          <w:p w14:paraId="4B492232" w14:textId="77777777" w:rsidR="00047399" w:rsidRPr="00F238BF" w:rsidRDefault="00047399" w:rsidP="00DB5ABE">
            <w:pPr>
              <w:spacing w:after="0" w:line="240" w:lineRule="auto"/>
              <w:rPr>
                <w:rFonts w:ascii="Times New Roman" w:hAnsi="Times New Roman"/>
                <w:sz w:val="20"/>
                <w:szCs w:val="20"/>
              </w:rPr>
            </w:pPr>
          </w:p>
        </w:tc>
        <w:tc>
          <w:tcPr>
            <w:tcW w:w="812" w:type="dxa"/>
            <w:tcBorders>
              <w:right w:val="single" w:sz="4" w:space="0" w:color="auto"/>
            </w:tcBorders>
          </w:tcPr>
          <w:p w14:paraId="4FB1C017"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0.007</w:t>
            </w:r>
          </w:p>
        </w:tc>
        <w:tc>
          <w:tcPr>
            <w:tcW w:w="747" w:type="dxa"/>
            <w:tcBorders>
              <w:left w:val="single" w:sz="4" w:space="0" w:color="auto"/>
            </w:tcBorders>
          </w:tcPr>
          <w:p w14:paraId="712309B8" w14:textId="77777777" w:rsidR="00047399" w:rsidRPr="00F238BF" w:rsidRDefault="00047399" w:rsidP="00DB5ABE">
            <w:pPr>
              <w:spacing w:after="0" w:line="240" w:lineRule="auto"/>
              <w:rPr>
                <w:rFonts w:ascii="Times New Roman" w:hAnsi="Times New Roman"/>
                <w:sz w:val="20"/>
                <w:szCs w:val="20"/>
              </w:rPr>
            </w:pPr>
          </w:p>
        </w:tc>
        <w:tc>
          <w:tcPr>
            <w:tcW w:w="872" w:type="dxa"/>
            <w:gridSpan w:val="2"/>
            <w:tcBorders>
              <w:right w:val="single" w:sz="4" w:space="0" w:color="auto"/>
            </w:tcBorders>
          </w:tcPr>
          <w:p w14:paraId="6838D01A"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0.037</w:t>
            </w:r>
          </w:p>
        </w:tc>
        <w:tc>
          <w:tcPr>
            <w:tcW w:w="824" w:type="dxa"/>
            <w:gridSpan w:val="2"/>
            <w:tcBorders>
              <w:left w:val="single" w:sz="4" w:space="0" w:color="auto"/>
            </w:tcBorders>
          </w:tcPr>
          <w:p w14:paraId="669463D0" w14:textId="77777777" w:rsidR="00047399" w:rsidRPr="00F238BF" w:rsidRDefault="00047399" w:rsidP="00DB5ABE">
            <w:pPr>
              <w:spacing w:after="0" w:line="240" w:lineRule="auto"/>
              <w:rPr>
                <w:rFonts w:ascii="Times New Roman" w:hAnsi="Times New Roman"/>
                <w:sz w:val="20"/>
                <w:szCs w:val="20"/>
              </w:rPr>
            </w:pPr>
          </w:p>
        </w:tc>
        <w:tc>
          <w:tcPr>
            <w:tcW w:w="776" w:type="dxa"/>
            <w:gridSpan w:val="2"/>
            <w:tcBorders>
              <w:right w:val="single" w:sz="4" w:space="0" w:color="auto"/>
            </w:tcBorders>
          </w:tcPr>
          <w:p w14:paraId="65C611C1" w14:textId="77777777" w:rsidR="00047399" w:rsidRPr="00F238BF" w:rsidRDefault="00047399" w:rsidP="00DB5ABE">
            <w:pPr>
              <w:spacing w:after="0" w:line="240" w:lineRule="auto"/>
              <w:rPr>
                <w:rFonts w:ascii="Times New Roman" w:hAnsi="Times New Roman"/>
                <w:sz w:val="20"/>
                <w:szCs w:val="20"/>
              </w:rPr>
            </w:pPr>
            <w:r w:rsidRPr="00F238BF">
              <w:rPr>
                <w:rFonts w:ascii="Times New Roman" w:hAnsi="Times New Roman"/>
                <w:sz w:val="20"/>
                <w:szCs w:val="20"/>
              </w:rPr>
              <w:t>0</w:t>
            </w:r>
            <w:r>
              <w:rPr>
                <w:rFonts w:ascii="Times New Roman" w:hAnsi="Times New Roman"/>
                <w:sz w:val="20"/>
                <w:szCs w:val="20"/>
              </w:rPr>
              <w:t>.019</w:t>
            </w:r>
          </w:p>
        </w:tc>
        <w:tc>
          <w:tcPr>
            <w:tcW w:w="1009" w:type="dxa"/>
            <w:tcBorders>
              <w:left w:val="single" w:sz="4" w:space="0" w:color="auto"/>
            </w:tcBorders>
          </w:tcPr>
          <w:p w14:paraId="7AA4083B" w14:textId="77777777" w:rsidR="00047399" w:rsidRPr="00F238BF" w:rsidRDefault="00047399" w:rsidP="00DB5ABE">
            <w:pPr>
              <w:spacing w:after="0" w:line="240" w:lineRule="auto"/>
              <w:rPr>
                <w:rFonts w:ascii="Times New Roman" w:hAnsi="Times New Roman"/>
                <w:sz w:val="20"/>
                <w:szCs w:val="20"/>
              </w:rPr>
            </w:pPr>
          </w:p>
        </w:tc>
        <w:tc>
          <w:tcPr>
            <w:tcW w:w="802" w:type="dxa"/>
            <w:tcBorders>
              <w:right w:val="single" w:sz="4" w:space="0" w:color="auto"/>
            </w:tcBorders>
          </w:tcPr>
          <w:p w14:paraId="01DCA797" w14:textId="77777777" w:rsidR="00047399" w:rsidRPr="00F238BF" w:rsidRDefault="00047399" w:rsidP="00DB5ABE">
            <w:pPr>
              <w:spacing w:after="0" w:line="240" w:lineRule="auto"/>
              <w:ind w:left="-303" w:firstLine="303"/>
              <w:rPr>
                <w:rFonts w:ascii="Times New Roman" w:hAnsi="Times New Roman"/>
                <w:sz w:val="20"/>
                <w:szCs w:val="20"/>
              </w:rPr>
            </w:pPr>
            <w:r>
              <w:rPr>
                <w:rFonts w:ascii="Times New Roman" w:hAnsi="Times New Roman"/>
                <w:sz w:val="20"/>
                <w:szCs w:val="20"/>
              </w:rPr>
              <w:t>0.006</w:t>
            </w:r>
          </w:p>
        </w:tc>
        <w:tc>
          <w:tcPr>
            <w:tcW w:w="912" w:type="dxa"/>
            <w:gridSpan w:val="2"/>
            <w:tcBorders>
              <w:left w:val="single" w:sz="4" w:space="0" w:color="auto"/>
            </w:tcBorders>
          </w:tcPr>
          <w:p w14:paraId="0915EB8E" w14:textId="77777777" w:rsidR="00047399" w:rsidRPr="00F238BF" w:rsidRDefault="00047399" w:rsidP="00DB5ABE">
            <w:pPr>
              <w:spacing w:after="0" w:line="240" w:lineRule="auto"/>
              <w:rPr>
                <w:rFonts w:ascii="Times New Roman" w:hAnsi="Times New Roman"/>
                <w:sz w:val="20"/>
                <w:szCs w:val="20"/>
              </w:rPr>
            </w:pPr>
          </w:p>
        </w:tc>
      </w:tr>
      <w:tr w:rsidR="00047399" w:rsidRPr="00F238BF" w14:paraId="3EE4070E" w14:textId="77777777" w:rsidTr="003D640C">
        <w:tc>
          <w:tcPr>
            <w:tcW w:w="9843" w:type="dxa"/>
            <w:gridSpan w:val="16"/>
          </w:tcPr>
          <w:p w14:paraId="2669AB79"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 xml:space="preserve">Residual Diagnostics </w:t>
            </w:r>
          </w:p>
        </w:tc>
      </w:tr>
      <w:tr w:rsidR="00047399" w:rsidRPr="00F238BF" w14:paraId="1A7BF85C" w14:textId="77777777" w:rsidTr="003D640C">
        <w:trPr>
          <w:gridAfter w:val="1"/>
          <w:wAfter w:w="34" w:type="dxa"/>
        </w:trPr>
        <w:tc>
          <w:tcPr>
            <w:tcW w:w="1345" w:type="dxa"/>
          </w:tcPr>
          <w:p w14:paraId="4CEF67DC" w14:textId="77777777" w:rsidR="00047399" w:rsidRPr="00F238BF" w:rsidRDefault="00047399" w:rsidP="00DB5ABE">
            <w:pPr>
              <w:spacing w:after="0" w:line="240" w:lineRule="auto"/>
              <w:ind w:right="-108"/>
              <w:rPr>
                <w:rFonts w:ascii="Times New Roman" w:hAnsi="Times New Roman"/>
                <w:color w:val="000000"/>
                <w:sz w:val="20"/>
                <w:szCs w:val="20"/>
              </w:rPr>
            </w:pPr>
            <w:proofErr w:type="spellStart"/>
            <w:r w:rsidRPr="00F238BF">
              <w:rPr>
                <w:rFonts w:ascii="Times New Roman" w:hAnsi="Times New Roman"/>
                <w:color w:val="000000"/>
                <w:sz w:val="20"/>
                <w:szCs w:val="20"/>
              </w:rPr>
              <w:t>Ljung</w:t>
            </w:r>
            <w:proofErr w:type="spellEnd"/>
            <w:r w:rsidRPr="00F238BF">
              <w:rPr>
                <w:rFonts w:ascii="Times New Roman" w:hAnsi="Times New Roman"/>
                <w:color w:val="000000"/>
                <w:sz w:val="20"/>
                <w:szCs w:val="20"/>
              </w:rPr>
              <w:t>-Box (PV)</w:t>
            </w:r>
          </w:p>
        </w:tc>
        <w:tc>
          <w:tcPr>
            <w:tcW w:w="1710" w:type="dxa"/>
            <w:gridSpan w:val="2"/>
          </w:tcPr>
          <w:p w14:paraId="177034E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0.5382</w:t>
            </w:r>
          </w:p>
        </w:tc>
        <w:tc>
          <w:tcPr>
            <w:tcW w:w="1565" w:type="dxa"/>
            <w:gridSpan w:val="3"/>
          </w:tcPr>
          <w:p w14:paraId="46AA041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0.2689</w:t>
            </w:r>
          </w:p>
        </w:tc>
        <w:tc>
          <w:tcPr>
            <w:tcW w:w="1709" w:type="dxa"/>
            <w:gridSpan w:val="4"/>
          </w:tcPr>
          <w:p w14:paraId="036BCA7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0.8051</w:t>
            </w:r>
          </w:p>
        </w:tc>
        <w:tc>
          <w:tcPr>
            <w:tcW w:w="1766" w:type="dxa"/>
            <w:gridSpan w:val="2"/>
          </w:tcPr>
          <w:p w14:paraId="5942DE1E"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0.4507</w:t>
            </w:r>
          </w:p>
        </w:tc>
        <w:tc>
          <w:tcPr>
            <w:tcW w:w="1714" w:type="dxa"/>
            <w:gridSpan w:val="3"/>
          </w:tcPr>
          <w:p w14:paraId="75500926"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0.7351</w:t>
            </w:r>
          </w:p>
        </w:tc>
      </w:tr>
      <w:tr w:rsidR="00047399" w:rsidRPr="00F238BF" w14:paraId="5C83F757" w14:textId="77777777" w:rsidTr="003D640C">
        <w:trPr>
          <w:gridAfter w:val="1"/>
          <w:wAfter w:w="34" w:type="dxa"/>
        </w:trPr>
        <w:tc>
          <w:tcPr>
            <w:tcW w:w="1345" w:type="dxa"/>
          </w:tcPr>
          <w:p w14:paraId="20F39726" w14:textId="77777777" w:rsidR="00047399" w:rsidRPr="00F238BF" w:rsidRDefault="00047399" w:rsidP="00DB5ABE">
            <w:pPr>
              <w:spacing w:after="0" w:line="240" w:lineRule="auto"/>
              <w:ind w:right="-108"/>
              <w:rPr>
                <w:rFonts w:ascii="Times New Roman" w:hAnsi="Times New Roman"/>
                <w:color w:val="000000"/>
                <w:sz w:val="20"/>
                <w:szCs w:val="20"/>
              </w:rPr>
            </w:pPr>
            <w:proofErr w:type="spellStart"/>
            <w:r w:rsidRPr="00F238BF">
              <w:rPr>
                <w:rFonts w:ascii="Times New Roman" w:hAnsi="Times New Roman"/>
                <w:color w:val="000000"/>
                <w:sz w:val="20"/>
                <w:szCs w:val="20"/>
              </w:rPr>
              <w:t>Mcleoid</w:t>
            </w:r>
            <w:proofErr w:type="spellEnd"/>
            <w:r w:rsidRPr="00F238BF">
              <w:rPr>
                <w:rFonts w:ascii="Times New Roman" w:hAnsi="Times New Roman"/>
                <w:color w:val="000000"/>
                <w:sz w:val="20"/>
                <w:szCs w:val="20"/>
              </w:rPr>
              <w:t>–Li (PV)</w:t>
            </w:r>
          </w:p>
        </w:tc>
        <w:tc>
          <w:tcPr>
            <w:tcW w:w="1710" w:type="dxa"/>
            <w:gridSpan w:val="2"/>
          </w:tcPr>
          <w:p w14:paraId="3BFA4959"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0.2469</w:t>
            </w:r>
          </w:p>
        </w:tc>
        <w:tc>
          <w:tcPr>
            <w:tcW w:w="1565" w:type="dxa"/>
            <w:gridSpan w:val="3"/>
          </w:tcPr>
          <w:p w14:paraId="0BDCAC2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0.9397</w:t>
            </w:r>
          </w:p>
        </w:tc>
        <w:tc>
          <w:tcPr>
            <w:tcW w:w="1709" w:type="dxa"/>
            <w:gridSpan w:val="4"/>
          </w:tcPr>
          <w:p w14:paraId="2BC63A2D"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0.1438</w:t>
            </w:r>
          </w:p>
        </w:tc>
        <w:tc>
          <w:tcPr>
            <w:tcW w:w="1766" w:type="dxa"/>
            <w:gridSpan w:val="2"/>
          </w:tcPr>
          <w:p w14:paraId="6EB2A58A"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0.1268</w:t>
            </w:r>
          </w:p>
        </w:tc>
        <w:tc>
          <w:tcPr>
            <w:tcW w:w="1714" w:type="dxa"/>
            <w:gridSpan w:val="3"/>
          </w:tcPr>
          <w:p w14:paraId="56858D20"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0.0549</w:t>
            </w:r>
          </w:p>
        </w:tc>
      </w:tr>
      <w:tr w:rsidR="00047399" w:rsidRPr="00F238BF" w14:paraId="453C7424" w14:textId="77777777" w:rsidTr="003D640C">
        <w:trPr>
          <w:gridAfter w:val="1"/>
          <w:wAfter w:w="34" w:type="dxa"/>
        </w:trPr>
        <w:tc>
          <w:tcPr>
            <w:tcW w:w="1345" w:type="dxa"/>
          </w:tcPr>
          <w:p w14:paraId="4DB4A1F7" w14:textId="77777777" w:rsidR="00047399" w:rsidRPr="00F238BF" w:rsidRDefault="00047399" w:rsidP="00DB5ABE">
            <w:pPr>
              <w:spacing w:after="0" w:line="240" w:lineRule="auto"/>
              <w:ind w:right="-108"/>
              <w:rPr>
                <w:rFonts w:ascii="Times New Roman" w:hAnsi="Times New Roman"/>
                <w:color w:val="000000"/>
                <w:sz w:val="20"/>
                <w:szCs w:val="20"/>
              </w:rPr>
            </w:pPr>
            <w:r w:rsidRPr="00F238BF">
              <w:rPr>
                <w:rFonts w:ascii="Times New Roman" w:hAnsi="Times New Roman"/>
                <w:color w:val="000000"/>
                <w:sz w:val="20"/>
                <w:szCs w:val="20"/>
              </w:rPr>
              <w:t>Vol Persistence (oil)</w:t>
            </w:r>
          </w:p>
        </w:tc>
        <w:tc>
          <w:tcPr>
            <w:tcW w:w="1710" w:type="dxa"/>
            <w:gridSpan w:val="2"/>
          </w:tcPr>
          <w:p w14:paraId="25B66702"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0.93</w:t>
            </w:r>
          </w:p>
        </w:tc>
        <w:tc>
          <w:tcPr>
            <w:tcW w:w="1565" w:type="dxa"/>
            <w:gridSpan w:val="3"/>
          </w:tcPr>
          <w:p w14:paraId="619A8F3E"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0.95</w:t>
            </w:r>
          </w:p>
        </w:tc>
        <w:tc>
          <w:tcPr>
            <w:tcW w:w="1709" w:type="dxa"/>
            <w:gridSpan w:val="4"/>
          </w:tcPr>
          <w:p w14:paraId="01761D5C" w14:textId="77777777" w:rsidR="00047399" w:rsidRPr="00F238BF" w:rsidRDefault="00047399" w:rsidP="00DB5ABE">
            <w:pPr>
              <w:spacing w:after="0" w:line="240" w:lineRule="auto"/>
              <w:rPr>
                <w:rFonts w:ascii="Times New Roman" w:hAnsi="Times New Roman"/>
                <w:color w:val="000000"/>
                <w:sz w:val="20"/>
                <w:szCs w:val="20"/>
              </w:rPr>
            </w:pPr>
          </w:p>
        </w:tc>
        <w:tc>
          <w:tcPr>
            <w:tcW w:w="1766" w:type="dxa"/>
            <w:gridSpan w:val="2"/>
          </w:tcPr>
          <w:p w14:paraId="2B51121D"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0.98</w:t>
            </w:r>
          </w:p>
        </w:tc>
        <w:tc>
          <w:tcPr>
            <w:tcW w:w="1714" w:type="dxa"/>
            <w:gridSpan w:val="3"/>
          </w:tcPr>
          <w:p w14:paraId="6030A525"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0.99</w:t>
            </w:r>
          </w:p>
        </w:tc>
      </w:tr>
      <w:tr w:rsidR="00047399" w:rsidRPr="00F238BF" w14:paraId="1B2630FC" w14:textId="77777777" w:rsidTr="003D640C">
        <w:trPr>
          <w:gridAfter w:val="1"/>
          <w:wAfter w:w="34" w:type="dxa"/>
        </w:trPr>
        <w:tc>
          <w:tcPr>
            <w:tcW w:w="1345" w:type="dxa"/>
          </w:tcPr>
          <w:p w14:paraId="3B405641" w14:textId="77777777" w:rsidR="00047399" w:rsidRPr="00F238BF" w:rsidRDefault="00047399" w:rsidP="00DB5ABE">
            <w:pPr>
              <w:spacing w:after="0" w:line="240" w:lineRule="auto"/>
              <w:ind w:right="-108"/>
              <w:rPr>
                <w:rFonts w:ascii="Times New Roman" w:hAnsi="Times New Roman"/>
                <w:color w:val="000000"/>
                <w:sz w:val="20"/>
                <w:szCs w:val="20"/>
              </w:rPr>
            </w:pPr>
            <w:r w:rsidRPr="00F238BF">
              <w:rPr>
                <w:rFonts w:ascii="Times New Roman" w:hAnsi="Times New Roman"/>
                <w:color w:val="000000"/>
                <w:sz w:val="20"/>
                <w:szCs w:val="20"/>
              </w:rPr>
              <w:t>Vol Persistence (stock)</w:t>
            </w:r>
          </w:p>
        </w:tc>
        <w:tc>
          <w:tcPr>
            <w:tcW w:w="1710" w:type="dxa"/>
            <w:gridSpan w:val="2"/>
          </w:tcPr>
          <w:p w14:paraId="2E39D8E7"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0.42</w:t>
            </w:r>
          </w:p>
        </w:tc>
        <w:tc>
          <w:tcPr>
            <w:tcW w:w="1565" w:type="dxa"/>
            <w:gridSpan w:val="3"/>
          </w:tcPr>
          <w:p w14:paraId="7C42CEDC"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0.48</w:t>
            </w:r>
          </w:p>
        </w:tc>
        <w:tc>
          <w:tcPr>
            <w:tcW w:w="1709" w:type="dxa"/>
            <w:gridSpan w:val="4"/>
          </w:tcPr>
          <w:p w14:paraId="2A06CFED" w14:textId="77777777" w:rsidR="00047399" w:rsidRPr="00F238BF" w:rsidRDefault="00047399" w:rsidP="00DB5ABE">
            <w:pPr>
              <w:spacing w:after="0" w:line="240" w:lineRule="auto"/>
              <w:rPr>
                <w:rFonts w:ascii="Times New Roman" w:hAnsi="Times New Roman"/>
                <w:color w:val="000000"/>
                <w:sz w:val="20"/>
                <w:szCs w:val="20"/>
              </w:rPr>
            </w:pPr>
          </w:p>
        </w:tc>
        <w:tc>
          <w:tcPr>
            <w:tcW w:w="1766" w:type="dxa"/>
            <w:gridSpan w:val="2"/>
          </w:tcPr>
          <w:p w14:paraId="62637044"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1.33</w:t>
            </w:r>
          </w:p>
        </w:tc>
        <w:tc>
          <w:tcPr>
            <w:tcW w:w="1714" w:type="dxa"/>
            <w:gridSpan w:val="3"/>
          </w:tcPr>
          <w:p w14:paraId="1BD6D13F" w14:textId="77777777" w:rsidR="00047399" w:rsidRPr="00F238BF" w:rsidRDefault="00047399" w:rsidP="00DB5ABE">
            <w:pPr>
              <w:spacing w:after="0" w:line="240" w:lineRule="auto"/>
              <w:rPr>
                <w:rFonts w:ascii="Times New Roman" w:hAnsi="Times New Roman"/>
                <w:color w:val="000000"/>
                <w:sz w:val="20"/>
                <w:szCs w:val="20"/>
              </w:rPr>
            </w:pPr>
            <w:r w:rsidRPr="00F238BF">
              <w:rPr>
                <w:rFonts w:ascii="Times New Roman" w:hAnsi="Times New Roman"/>
                <w:color w:val="000000"/>
                <w:sz w:val="20"/>
                <w:szCs w:val="20"/>
              </w:rPr>
              <w:t>0.81</w:t>
            </w:r>
          </w:p>
        </w:tc>
      </w:tr>
    </w:tbl>
    <w:bookmarkEnd w:id="0"/>
    <w:p w14:paraId="648DCEA1" w14:textId="77777777" w:rsidR="009A3B0B" w:rsidRDefault="00047399" w:rsidP="009A3B0B">
      <w:pPr>
        <w:spacing w:after="0" w:line="240" w:lineRule="auto"/>
        <w:rPr>
          <w:rFonts w:ascii="Times New Roman" w:eastAsia="Times New Roman" w:hAnsi="Times New Roman"/>
          <w:color w:val="000000"/>
          <w:sz w:val="24"/>
          <w:szCs w:val="24"/>
        </w:rPr>
      </w:pPr>
      <w:r w:rsidRPr="0058577E">
        <w:rPr>
          <w:rFonts w:ascii="Times New Roman" w:eastAsia="Times New Roman" w:hAnsi="Times New Roman"/>
          <w:b/>
          <w:color w:val="000000"/>
          <w:sz w:val="24"/>
          <w:szCs w:val="24"/>
        </w:rPr>
        <w:t>Source:</w:t>
      </w:r>
      <w:r>
        <w:rPr>
          <w:rFonts w:ascii="Times New Roman" w:eastAsia="Times New Roman" w:hAnsi="Times New Roman"/>
          <w:color w:val="000000"/>
          <w:sz w:val="24"/>
          <w:szCs w:val="24"/>
        </w:rPr>
        <w:t xml:space="preserve"> Author’s Computation based on </w:t>
      </w:r>
      <w:proofErr w:type="spellStart"/>
      <w:r>
        <w:rPr>
          <w:rFonts w:ascii="Times New Roman" w:eastAsia="Times New Roman" w:hAnsi="Times New Roman"/>
          <w:color w:val="000000"/>
          <w:sz w:val="24"/>
          <w:szCs w:val="24"/>
        </w:rPr>
        <w:t>Oxmetrics</w:t>
      </w:r>
      <w:proofErr w:type="spellEnd"/>
      <w:r>
        <w:rPr>
          <w:rFonts w:ascii="Times New Roman" w:eastAsia="Times New Roman" w:hAnsi="Times New Roman"/>
          <w:color w:val="000000"/>
          <w:sz w:val="24"/>
          <w:szCs w:val="24"/>
        </w:rPr>
        <w:t xml:space="preserve"> and RATS Output</w:t>
      </w:r>
    </w:p>
    <w:p w14:paraId="1DAA9675" w14:textId="77777777" w:rsidR="009A3B0B" w:rsidRDefault="009A3B0B" w:rsidP="00AE5F68">
      <w:pPr>
        <w:spacing w:after="0" w:line="240" w:lineRule="auto"/>
        <w:rPr>
          <w:rFonts w:ascii="Times New Roman" w:eastAsia="Times New Roman" w:hAnsi="Times New Roman"/>
          <w:color w:val="000000"/>
          <w:sz w:val="24"/>
          <w:szCs w:val="24"/>
        </w:rPr>
      </w:pPr>
    </w:p>
    <w:p w14:paraId="3F46C268" w14:textId="60A46459" w:rsidR="00AE5F68" w:rsidRPr="009A3B0B" w:rsidRDefault="00AE5F68" w:rsidP="00AE5F68">
      <w:pPr>
        <w:spacing w:after="0" w:line="240" w:lineRule="auto"/>
        <w:rPr>
          <w:rFonts w:ascii="Times New Roman" w:eastAsia="Times New Roman" w:hAnsi="Times New Roman"/>
          <w:color w:val="000000"/>
          <w:sz w:val="24"/>
          <w:szCs w:val="24"/>
        </w:rPr>
        <w:sectPr w:rsidR="00AE5F68" w:rsidRPr="009A3B0B" w:rsidSect="009A3B0B">
          <w:type w:val="continuous"/>
          <w:pgSz w:w="12240" w:h="15840"/>
          <w:pgMar w:top="851" w:right="1440" w:bottom="1276" w:left="1440" w:header="720" w:footer="720" w:gutter="0"/>
          <w:cols w:space="720"/>
          <w:docGrid w:linePitch="360"/>
        </w:sectPr>
      </w:pPr>
    </w:p>
    <w:p w14:paraId="36EF6FFC" w14:textId="6A7AA194" w:rsidR="00047399" w:rsidRPr="00AE5F68" w:rsidRDefault="00047399" w:rsidP="00AE5F68">
      <w:pPr>
        <w:spacing w:after="0" w:line="240" w:lineRule="auto"/>
        <w:rPr>
          <w:rFonts w:ascii="Times New Roman" w:eastAsia="Times New Roman" w:hAnsi="Times New Roman"/>
          <w:color w:val="000000"/>
          <w:sz w:val="24"/>
          <w:szCs w:val="24"/>
        </w:rPr>
      </w:pPr>
      <w:r w:rsidRPr="00AE5F68">
        <w:rPr>
          <w:rFonts w:ascii="Times New Roman" w:hAnsi="Times New Roman"/>
          <w:b/>
          <w:sz w:val="24"/>
          <w:szCs w:val="24"/>
        </w:rPr>
        <w:t>Conditional return (mean equation)</w:t>
      </w:r>
    </w:p>
    <w:p w14:paraId="1AA7EC58" w14:textId="5BD8D599" w:rsidR="00594F51" w:rsidRDefault="00047399" w:rsidP="009F2198">
      <w:pPr>
        <w:spacing w:line="240" w:lineRule="auto"/>
        <w:ind w:left="-540"/>
        <w:rPr>
          <w:rFonts w:ascii="Times New Roman" w:hAnsi="Times New Roman"/>
          <w:sz w:val="24"/>
          <w:szCs w:val="24"/>
        </w:rPr>
      </w:pPr>
      <w:r w:rsidRPr="00592086">
        <w:rPr>
          <w:rFonts w:ascii="Times New Roman" w:hAnsi="Times New Roman"/>
          <w:sz w:val="24"/>
          <w:szCs w:val="24"/>
        </w:rPr>
        <w:t xml:space="preserve">Evidence from the mean (return) equation from table </w:t>
      </w:r>
      <w:r>
        <w:rPr>
          <w:rFonts w:ascii="Times New Roman" w:hAnsi="Times New Roman"/>
          <w:sz w:val="24"/>
          <w:szCs w:val="24"/>
        </w:rPr>
        <w:t xml:space="preserve">5 </w:t>
      </w:r>
      <w:r w:rsidRPr="00592086">
        <w:rPr>
          <w:rFonts w:ascii="Times New Roman" w:hAnsi="Times New Roman"/>
          <w:sz w:val="24"/>
          <w:szCs w:val="24"/>
        </w:rPr>
        <w:t>show</w:t>
      </w:r>
      <w:r w:rsidR="009878F4">
        <w:rPr>
          <w:rFonts w:ascii="Times New Roman" w:hAnsi="Times New Roman"/>
          <w:sz w:val="24"/>
          <w:szCs w:val="24"/>
        </w:rPr>
        <w:t>ed</w:t>
      </w:r>
      <w:r w:rsidRPr="00592086">
        <w:rPr>
          <w:rFonts w:ascii="Times New Roman" w:hAnsi="Times New Roman"/>
          <w:sz w:val="24"/>
          <w:szCs w:val="24"/>
        </w:rPr>
        <w:t xml:space="preserve"> that lagged returns are included in the conditional mean equation, the purpose and reason for which is to remove serial correlation and to ensure that spillover effects are not mistaken for serial dependence. This is in line with T</w:t>
      </w:r>
      <w:r>
        <w:rPr>
          <w:rFonts w:ascii="Times New Roman" w:hAnsi="Times New Roman"/>
          <w:sz w:val="24"/>
          <w:szCs w:val="24"/>
        </w:rPr>
        <w:t>u</w:t>
      </w:r>
      <w:r w:rsidRPr="00592086">
        <w:rPr>
          <w:rFonts w:ascii="Times New Roman" w:hAnsi="Times New Roman"/>
          <w:sz w:val="24"/>
          <w:szCs w:val="24"/>
        </w:rPr>
        <w:t xml:space="preserve">le et al </w:t>
      </w:r>
      <w:r>
        <w:rPr>
          <w:rFonts w:ascii="Times New Roman" w:hAnsi="Times New Roman"/>
          <w:sz w:val="24"/>
          <w:szCs w:val="24"/>
        </w:rPr>
        <w:t>(</w:t>
      </w:r>
      <w:r w:rsidRPr="00592086">
        <w:rPr>
          <w:rFonts w:ascii="Times New Roman" w:hAnsi="Times New Roman"/>
          <w:sz w:val="24"/>
          <w:szCs w:val="24"/>
        </w:rPr>
        <w:t>2018, 2017</w:t>
      </w:r>
      <w:r>
        <w:rPr>
          <w:rFonts w:ascii="Times New Roman" w:hAnsi="Times New Roman"/>
          <w:sz w:val="24"/>
          <w:szCs w:val="24"/>
        </w:rPr>
        <w:t>)</w:t>
      </w:r>
      <w:r w:rsidRPr="00592086">
        <w:rPr>
          <w:rFonts w:ascii="Times New Roman" w:hAnsi="Times New Roman"/>
          <w:sz w:val="24"/>
          <w:szCs w:val="24"/>
        </w:rPr>
        <w:t xml:space="preserve">, </w:t>
      </w:r>
      <w:proofErr w:type="spellStart"/>
      <w:r w:rsidRPr="00592086">
        <w:rPr>
          <w:rFonts w:ascii="Times New Roman" w:hAnsi="Times New Roman"/>
          <w:sz w:val="24"/>
          <w:szCs w:val="24"/>
        </w:rPr>
        <w:t>Uzonwanne</w:t>
      </w:r>
      <w:proofErr w:type="spellEnd"/>
      <w:r>
        <w:rPr>
          <w:rFonts w:ascii="Times New Roman" w:hAnsi="Times New Roman"/>
          <w:sz w:val="24"/>
          <w:szCs w:val="24"/>
        </w:rPr>
        <w:t xml:space="preserve"> (</w:t>
      </w:r>
      <w:r w:rsidRPr="00592086">
        <w:rPr>
          <w:rFonts w:ascii="Times New Roman" w:hAnsi="Times New Roman"/>
          <w:sz w:val="24"/>
          <w:szCs w:val="24"/>
        </w:rPr>
        <w:t>2021</w:t>
      </w:r>
      <w:r>
        <w:rPr>
          <w:rFonts w:ascii="Times New Roman" w:hAnsi="Times New Roman"/>
          <w:sz w:val="24"/>
          <w:szCs w:val="24"/>
        </w:rPr>
        <w:t>)</w:t>
      </w:r>
      <w:r w:rsidRPr="00592086">
        <w:rPr>
          <w:rFonts w:ascii="Times New Roman" w:hAnsi="Times New Roman"/>
          <w:sz w:val="24"/>
          <w:szCs w:val="24"/>
        </w:rPr>
        <w:t>, Yousuf</w:t>
      </w:r>
      <w:r>
        <w:rPr>
          <w:rFonts w:ascii="Times New Roman" w:hAnsi="Times New Roman"/>
          <w:sz w:val="24"/>
          <w:szCs w:val="24"/>
        </w:rPr>
        <w:t xml:space="preserve"> (</w:t>
      </w:r>
      <w:r w:rsidRPr="00592086">
        <w:rPr>
          <w:rFonts w:ascii="Times New Roman" w:hAnsi="Times New Roman"/>
          <w:sz w:val="24"/>
          <w:szCs w:val="24"/>
        </w:rPr>
        <w:t>2020</w:t>
      </w:r>
      <w:r>
        <w:rPr>
          <w:rFonts w:ascii="Times New Roman" w:hAnsi="Times New Roman"/>
          <w:sz w:val="24"/>
          <w:szCs w:val="24"/>
        </w:rPr>
        <w:t>)</w:t>
      </w:r>
      <w:r w:rsidRPr="00592086">
        <w:rPr>
          <w:rFonts w:ascii="Times New Roman" w:hAnsi="Times New Roman"/>
          <w:sz w:val="24"/>
          <w:szCs w:val="24"/>
        </w:rPr>
        <w:t xml:space="preserve"> among others. </w:t>
      </w:r>
      <w:r w:rsidR="009A3B0B">
        <w:rPr>
          <w:rFonts w:ascii="Times New Roman" w:hAnsi="Times New Roman"/>
          <w:sz w:val="24"/>
          <w:szCs w:val="24"/>
        </w:rPr>
        <w:t xml:space="preserve"> </w:t>
      </w:r>
      <w:r w:rsidRPr="00592086">
        <w:rPr>
          <w:rFonts w:ascii="Times New Roman" w:hAnsi="Times New Roman"/>
          <w:sz w:val="24"/>
          <w:szCs w:val="24"/>
        </w:rPr>
        <w:t xml:space="preserve">It </w:t>
      </w:r>
      <w:r w:rsidR="009878F4" w:rsidRPr="00085DAE">
        <w:rPr>
          <w:rFonts w:ascii="Times New Roman" w:hAnsi="Times New Roman"/>
          <w:sz w:val="24"/>
          <w:szCs w:val="24"/>
        </w:rPr>
        <w:t>was</w:t>
      </w:r>
      <w:r w:rsidR="009878F4">
        <w:rPr>
          <w:rFonts w:ascii="Times New Roman" w:hAnsi="Times New Roman"/>
          <w:sz w:val="24"/>
          <w:szCs w:val="24"/>
        </w:rPr>
        <w:t xml:space="preserve"> </w:t>
      </w:r>
      <w:r w:rsidRPr="00592086">
        <w:rPr>
          <w:rFonts w:ascii="Times New Roman" w:hAnsi="Times New Roman"/>
          <w:sz w:val="24"/>
          <w:szCs w:val="24"/>
        </w:rPr>
        <w:t>observed that own lagged returns are statistically significance and positive for most of the sector stocks except few. For instance, the lagged return</w:t>
      </w:r>
      <w:r w:rsidR="00AE5F68">
        <w:rPr>
          <w:rFonts w:ascii="Times New Roman" w:hAnsi="Times New Roman"/>
          <w:sz w:val="24"/>
          <w:szCs w:val="24"/>
        </w:rPr>
        <w:t xml:space="preserve"> </w:t>
      </w:r>
      <w:r w:rsidRPr="00592086">
        <w:rPr>
          <w:rFonts w:ascii="Times New Roman" w:hAnsi="Times New Roman"/>
          <w:sz w:val="24"/>
          <w:szCs w:val="24"/>
        </w:rPr>
        <w:t xml:space="preserve">for the pair of agricultures, </w:t>
      </w:r>
      <w:r w:rsidRPr="00592086">
        <w:rPr>
          <w:rFonts w:ascii="Times New Roman" w:hAnsi="Times New Roman"/>
          <w:sz w:val="24"/>
          <w:szCs w:val="24"/>
        </w:rPr>
        <w:t xml:space="preserve">conglomerates, consumer goods, health care, natural resources and services were positive, but not significant while that of Construction and real Estate, financial services ICT, Industrial goods, Oil and Gas were all statistically significant indicating evidence of </w:t>
      </w:r>
      <w:r w:rsidR="009878F4" w:rsidRPr="00592086">
        <w:rPr>
          <w:rFonts w:ascii="Times New Roman" w:hAnsi="Times New Roman"/>
          <w:sz w:val="24"/>
          <w:szCs w:val="24"/>
        </w:rPr>
        <w:t>short-term</w:t>
      </w:r>
      <w:r w:rsidRPr="00592086">
        <w:rPr>
          <w:rFonts w:ascii="Times New Roman" w:hAnsi="Times New Roman"/>
          <w:sz w:val="24"/>
          <w:szCs w:val="24"/>
        </w:rPr>
        <w:t xml:space="preserve"> predictability in prices for these sectors. Own lagged returns for oil in the oil-stock pain was statistically significant for the sectors except oil-conglomerates, oil consumer goods and oil Health care. </w:t>
      </w:r>
    </w:p>
    <w:p w14:paraId="37229E9F" w14:textId="77777777" w:rsidR="00594F51" w:rsidRDefault="00047399" w:rsidP="009F2198">
      <w:pPr>
        <w:spacing w:line="240" w:lineRule="auto"/>
        <w:ind w:left="-540"/>
        <w:rPr>
          <w:rFonts w:ascii="Times New Roman" w:hAnsi="Times New Roman"/>
          <w:sz w:val="24"/>
          <w:szCs w:val="24"/>
        </w:rPr>
      </w:pPr>
      <w:r w:rsidRPr="00592086">
        <w:rPr>
          <w:rFonts w:ascii="Times New Roman" w:hAnsi="Times New Roman"/>
          <w:sz w:val="24"/>
          <w:szCs w:val="24"/>
        </w:rPr>
        <w:lastRenderedPageBreak/>
        <w:t xml:space="preserve">Turning to the return cross effects, we observe positive and significant return spillover from </w:t>
      </w:r>
      <w:r>
        <w:rPr>
          <w:rFonts w:ascii="Times New Roman" w:hAnsi="Times New Roman"/>
          <w:sz w:val="24"/>
          <w:szCs w:val="24"/>
        </w:rPr>
        <w:t xml:space="preserve">some </w:t>
      </w:r>
      <w:r w:rsidRPr="00592086">
        <w:rPr>
          <w:rFonts w:ascii="Times New Roman" w:hAnsi="Times New Roman"/>
          <w:sz w:val="24"/>
          <w:szCs w:val="24"/>
        </w:rPr>
        <w:t>stock sectors to oil</w:t>
      </w:r>
      <w:r>
        <w:rPr>
          <w:rFonts w:ascii="Times New Roman" w:hAnsi="Times New Roman"/>
          <w:sz w:val="24"/>
          <w:szCs w:val="24"/>
        </w:rPr>
        <w:t>.</w:t>
      </w:r>
      <w:r w:rsidRPr="00592086">
        <w:rPr>
          <w:rFonts w:ascii="Times New Roman" w:hAnsi="Times New Roman"/>
          <w:sz w:val="24"/>
          <w:szCs w:val="24"/>
        </w:rPr>
        <w:t xml:space="preserve"> For example, the return spillover from agriculture sector to oil is significant at 0.0</w:t>
      </w:r>
      <w:r>
        <w:rPr>
          <w:rFonts w:ascii="Times New Roman" w:hAnsi="Times New Roman"/>
          <w:sz w:val="24"/>
          <w:szCs w:val="24"/>
        </w:rPr>
        <w:t>000</w:t>
      </w:r>
      <w:r w:rsidRPr="00592086">
        <w:rPr>
          <w:rFonts w:ascii="Times New Roman" w:hAnsi="Times New Roman"/>
          <w:sz w:val="24"/>
          <w:szCs w:val="24"/>
        </w:rPr>
        <w:t>; Construction and real estate significant at 0.0</w:t>
      </w:r>
      <w:r>
        <w:rPr>
          <w:rFonts w:ascii="Times New Roman" w:hAnsi="Times New Roman"/>
          <w:sz w:val="24"/>
          <w:szCs w:val="24"/>
        </w:rPr>
        <w:t>000</w:t>
      </w:r>
      <w:r w:rsidRPr="00592086">
        <w:rPr>
          <w:rFonts w:ascii="Times New Roman" w:hAnsi="Times New Roman"/>
          <w:sz w:val="24"/>
          <w:szCs w:val="24"/>
        </w:rPr>
        <w:t>, Consumer goods (0.</w:t>
      </w:r>
      <w:r>
        <w:rPr>
          <w:rFonts w:ascii="Times New Roman" w:hAnsi="Times New Roman"/>
          <w:sz w:val="24"/>
          <w:szCs w:val="24"/>
        </w:rPr>
        <w:t>0000</w:t>
      </w:r>
      <w:r w:rsidRPr="00592086">
        <w:rPr>
          <w:rFonts w:ascii="Times New Roman" w:hAnsi="Times New Roman"/>
          <w:sz w:val="24"/>
          <w:szCs w:val="24"/>
        </w:rPr>
        <w:t>) Financial services (0.0</w:t>
      </w:r>
      <w:r>
        <w:rPr>
          <w:rFonts w:ascii="Times New Roman" w:hAnsi="Times New Roman"/>
          <w:sz w:val="24"/>
          <w:szCs w:val="24"/>
        </w:rPr>
        <w:t>000</w:t>
      </w:r>
      <w:r w:rsidRPr="00592086">
        <w:rPr>
          <w:rFonts w:ascii="Times New Roman" w:hAnsi="Times New Roman"/>
          <w:sz w:val="24"/>
          <w:szCs w:val="24"/>
        </w:rPr>
        <w:t>) ICT (</w:t>
      </w:r>
      <w:r>
        <w:rPr>
          <w:rFonts w:ascii="Times New Roman" w:hAnsi="Times New Roman"/>
          <w:sz w:val="24"/>
          <w:szCs w:val="24"/>
        </w:rPr>
        <w:t>0.0000</w:t>
      </w:r>
      <w:r w:rsidRPr="00592086">
        <w:rPr>
          <w:rFonts w:ascii="Times New Roman" w:hAnsi="Times New Roman"/>
          <w:sz w:val="24"/>
          <w:szCs w:val="24"/>
        </w:rPr>
        <w:t>) Natural Resources (0.0</w:t>
      </w:r>
      <w:r>
        <w:rPr>
          <w:rFonts w:ascii="Times New Roman" w:hAnsi="Times New Roman"/>
          <w:sz w:val="24"/>
          <w:szCs w:val="24"/>
        </w:rPr>
        <w:t>000) oil and gas (0.000</w:t>
      </w:r>
      <w:r w:rsidRPr="00592086">
        <w:rPr>
          <w:rFonts w:ascii="Times New Roman" w:hAnsi="Times New Roman"/>
          <w:sz w:val="24"/>
          <w:szCs w:val="24"/>
        </w:rPr>
        <w:t>0) and services at 0.0</w:t>
      </w:r>
      <w:r>
        <w:rPr>
          <w:rFonts w:ascii="Times New Roman" w:hAnsi="Times New Roman"/>
          <w:sz w:val="24"/>
          <w:szCs w:val="24"/>
        </w:rPr>
        <w:t>000</w:t>
      </w:r>
      <w:r w:rsidRPr="00592086">
        <w:rPr>
          <w:rFonts w:ascii="Times New Roman" w:hAnsi="Times New Roman"/>
          <w:sz w:val="24"/>
          <w:szCs w:val="24"/>
        </w:rPr>
        <w:t>.</w:t>
      </w:r>
    </w:p>
    <w:p w14:paraId="2C292F5B" w14:textId="77777777" w:rsidR="00AE5F68" w:rsidRDefault="00047399" w:rsidP="00AE5F68">
      <w:pPr>
        <w:spacing w:line="240" w:lineRule="auto"/>
        <w:ind w:left="-540"/>
        <w:rPr>
          <w:rFonts w:ascii="Times New Roman" w:hAnsi="Times New Roman"/>
          <w:sz w:val="24"/>
          <w:szCs w:val="24"/>
        </w:rPr>
      </w:pPr>
      <w:r w:rsidRPr="00592086">
        <w:rPr>
          <w:rFonts w:ascii="Times New Roman" w:hAnsi="Times New Roman"/>
          <w:sz w:val="24"/>
          <w:szCs w:val="24"/>
        </w:rPr>
        <w:t>Results from the</w:t>
      </w:r>
      <w:r>
        <w:rPr>
          <w:rFonts w:ascii="Times New Roman" w:hAnsi="Times New Roman"/>
          <w:sz w:val="24"/>
          <w:szCs w:val="24"/>
        </w:rPr>
        <w:t xml:space="preserve"> return (</w:t>
      </w:r>
      <w:r w:rsidRPr="00592086">
        <w:rPr>
          <w:rFonts w:ascii="Times New Roman" w:hAnsi="Times New Roman"/>
          <w:sz w:val="24"/>
          <w:szCs w:val="24"/>
        </w:rPr>
        <w:t>mean</w:t>
      </w:r>
      <w:r>
        <w:rPr>
          <w:rFonts w:ascii="Times New Roman" w:hAnsi="Times New Roman"/>
          <w:sz w:val="24"/>
          <w:szCs w:val="24"/>
        </w:rPr>
        <w:t>)equation also reveal high</w:t>
      </w:r>
      <w:r w:rsidRPr="00592086">
        <w:rPr>
          <w:rFonts w:ascii="Times New Roman" w:hAnsi="Times New Roman"/>
          <w:sz w:val="24"/>
          <w:szCs w:val="24"/>
        </w:rPr>
        <w:t xml:space="preserve"> return spillovers from the oil to stock sectors except conglomerates whose return is positive, though not significant. For instance, the return spillover from oil market to agriculture sector -0.1135, Construction and real estate at 0.148099. We can infer from the result that the highest return spillover is from the oil market of 0.272896 is to financial services sector, while the lease (lowest) return spillover from oil of 4.146E-03 is to information and communication technology; ICT sector. </w:t>
      </w:r>
    </w:p>
    <w:p w14:paraId="22C25A96" w14:textId="593D9FD2" w:rsidR="00594F51" w:rsidRPr="00AE5F68" w:rsidRDefault="00047399" w:rsidP="00AE5F68">
      <w:pPr>
        <w:spacing w:line="240" w:lineRule="auto"/>
        <w:ind w:left="-540"/>
        <w:rPr>
          <w:rFonts w:ascii="Times New Roman" w:hAnsi="Times New Roman"/>
          <w:sz w:val="24"/>
          <w:szCs w:val="24"/>
        </w:rPr>
      </w:pPr>
      <w:r w:rsidRPr="00AE5F68">
        <w:rPr>
          <w:rFonts w:ascii="Times New Roman" w:eastAsia="Times New Roman" w:hAnsi="Times New Roman"/>
          <w:b/>
          <w:color w:val="000000"/>
          <w:sz w:val="24"/>
          <w:szCs w:val="24"/>
        </w:rPr>
        <w:t>Conditional Variance Equation</w:t>
      </w:r>
    </w:p>
    <w:p w14:paraId="1519F699" w14:textId="7AFCBA02" w:rsidR="00594F51" w:rsidRDefault="00047399" w:rsidP="009F2198">
      <w:pPr>
        <w:spacing w:line="240" w:lineRule="auto"/>
        <w:ind w:left="-540"/>
        <w:rPr>
          <w:rFonts w:ascii="Times New Roman" w:hAnsi="Times New Roman"/>
          <w:sz w:val="24"/>
          <w:szCs w:val="24"/>
        </w:rPr>
      </w:pPr>
      <w:r>
        <w:rPr>
          <w:rFonts w:ascii="Times New Roman" w:eastAsia="Times New Roman" w:hAnsi="Times New Roman"/>
          <w:color w:val="000000"/>
          <w:sz w:val="24"/>
          <w:szCs w:val="24"/>
        </w:rPr>
        <w:t>E</w:t>
      </w:r>
      <w:r w:rsidRPr="00AE4EA1">
        <w:rPr>
          <w:rFonts w:ascii="Times New Roman" w:eastAsia="Times New Roman" w:hAnsi="Times New Roman"/>
          <w:color w:val="000000"/>
          <w:sz w:val="24"/>
          <w:szCs w:val="24"/>
        </w:rPr>
        <w:t>stimated results of the conditional variance equation is as re</w:t>
      </w:r>
      <w:r>
        <w:rPr>
          <w:rFonts w:ascii="Times New Roman" w:eastAsia="Times New Roman" w:hAnsi="Times New Roman"/>
          <w:color w:val="000000"/>
          <w:sz w:val="24"/>
          <w:szCs w:val="24"/>
        </w:rPr>
        <w:t>ported on table 5 a and b abov</w:t>
      </w:r>
      <w:r w:rsidRPr="00AE4EA1">
        <w:rPr>
          <w:rFonts w:ascii="Times New Roman" w:eastAsia="Times New Roman" w:hAnsi="Times New Roman"/>
          <w:color w:val="000000"/>
          <w:sz w:val="24"/>
          <w:szCs w:val="24"/>
        </w:rPr>
        <w:t xml:space="preserve">e. Results show that the coefficients of </w:t>
      </w:r>
      <w:proofErr w:type="spellStart"/>
      <w:r w:rsidRPr="00AE4EA1">
        <w:rPr>
          <w:rFonts w:ascii="Times New Roman" w:eastAsia="Times New Roman" w:hAnsi="Times New Roman"/>
          <w:color w:val="000000"/>
          <w:sz w:val="24"/>
          <w:szCs w:val="24"/>
        </w:rPr>
        <w:t>Autoregessive</w:t>
      </w:r>
      <w:proofErr w:type="spellEnd"/>
      <w:r w:rsidRPr="00AE4EA1">
        <w:rPr>
          <w:rFonts w:ascii="Times New Roman" w:eastAsia="Times New Roman" w:hAnsi="Times New Roman"/>
          <w:color w:val="000000"/>
          <w:sz w:val="24"/>
          <w:szCs w:val="24"/>
        </w:rPr>
        <w:t xml:space="preserve"> conditional </w:t>
      </w:r>
      <w:proofErr w:type="spellStart"/>
      <w:r w:rsidRPr="00AE4EA1">
        <w:rPr>
          <w:rFonts w:ascii="Times New Roman" w:eastAsia="Times New Roman" w:hAnsi="Times New Roman"/>
          <w:color w:val="000000"/>
          <w:sz w:val="24"/>
          <w:szCs w:val="24"/>
        </w:rPr>
        <w:t>heteroeadoshaty</w:t>
      </w:r>
      <w:proofErr w:type="spellEnd"/>
      <w:r w:rsidRPr="00AE4EA1">
        <w:rPr>
          <w:rFonts w:ascii="Times New Roman" w:eastAsia="Times New Roman" w:hAnsi="Times New Roman"/>
          <w:color w:val="000000"/>
          <w:sz w:val="24"/>
          <w:szCs w:val="24"/>
        </w:rPr>
        <w:t xml:space="preserve"> (ARCH) and the generalized autoregressive conditional </w:t>
      </w:r>
      <w:proofErr w:type="spellStart"/>
      <w:r w:rsidRPr="00AE4EA1">
        <w:rPr>
          <w:rFonts w:ascii="Times New Roman" w:eastAsia="Times New Roman" w:hAnsi="Times New Roman"/>
          <w:color w:val="000000"/>
          <w:sz w:val="24"/>
          <w:szCs w:val="24"/>
        </w:rPr>
        <w:t>heterecasdesticity</w:t>
      </w:r>
      <w:proofErr w:type="spellEnd"/>
      <w:r w:rsidRPr="00AE4EA1">
        <w:rPr>
          <w:rFonts w:ascii="Times New Roman" w:eastAsia="Times New Roman" w:hAnsi="Times New Roman"/>
          <w:color w:val="000000"/>
          <w:sz w:val="24"/>
          <w:szCs w:val="24"/>
        </w:rPr>
        <w:t xml:space="preserve"> (GARCH) are all significant for the eleven sectors. Similar to the work of Umm and </w:t>
      </w:r>
      <w:proofErr w:type="spellStart"/>
      <w:r w:rsidRPr="00AE4EA1">
        <w:rPr>
          <w:rFonts w:ascii="Times New Roman" w:eastAsia="Times New Roman" w:hAnsi="Times New Roman"/>
          <w:color w:val="000000"/>
          <w:sz w:val="24"/>
          <w:szCs w:val="24"/>
        </w:rPr>
        <w:t>Zatang</w:t>
      </w:r>
      <w:proofErr w:type="spellEnd"/>
      <w:r w:rsidRPr="00AE4EA1">
        <w:rPr>
          <w:rFonts w:ascii="Times New Roman" w:eastAsia="Times New Roman" w:hAnsi="Times New Roman"/>
          <w:color w:val="000000"/>
          <w:sz w:val="24"/>
          <w:szCs w:val="24"/>
        </w:rPr>
        <w:t xml:space="preserve"> (2020)</w:t>
      </w:r>
      <w:r>
        <w:rPr>
          <w:rFonts w:ascii="Times New Roman" w:eastAsia="Times New Roman" w:hAnsi="Times New Roman"/>
          <w:color w:val="000000"/>
          <w:sz w:val="24"/>
          <w:szCs w:val="24"/>
        </w:rPr>
        <w:t>, e</w:t>
      </w:r>
      <w:r w:rsidRPr="00AE4EA1">
        <w:rPr>
          <w:rFonts w:ascii="Times New Roman" w:eastAsia="Times New Roman" w:hAnsi="Times New Roman"/>
          <w:color w:val="000000"/>
          <w:sz w:val="24"/>
          <w:szCs w:val="24"/>
        </w:rPr>
        <w:t>vidence further indicates current volatility of sectorial returns depends on their past shocks and past conditional volatility. For instance, the conditional volatility of agriculture sector depends strongly on its own past unexpected shock (</w:t>
      </w:r>
      <m:oMath>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λ</m:t>
            </m:r>
          </m:e>
          <m:sub>
            <m:r>
              <w:rPr>
                <w:rFonts w:ascii="Cambria Math" w:eastAsia="Times New Roman" w:hAnsi="Cambria Math"/>
                <w:color w:val="000000"/>
                <w:sz w:val="24"/>
                <w:szCs w:val="24"/>
              </w:rPr>
              <m:t>s</m:t>
            </m:r>
          </m:sub>
        </m:sSub>
      </m:oMath>
      <w:r w:rsidRPr="00AE4EA1">
        <w:rPr>
          <w:rFonts w:ascii="Times New Roman" w:eastAsia="Times New Roman" w:hAnsi="Times New Roman"/>
          <w:color w:val="000000"/>
          <w:sz w:val="24"/>
          <w:szCs w:val="24"/>
        </w:rPr>
        <w:t>) and own past volatility (</w:t>
      </w:r>
      <m:oMath>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β</m:t>
            </m:r>
          </m:e>
          <m:sub>
            <m:r>
              <w:rPr>
                <w:rFonts w:ascii="Cambria Math" w:eastAsia="Times New Roman" w:hAnsi="Cambria Math"/>
                <w:color w:val="000000"/>
                <w:sz w:val="24"/>
                <w:szCs w:val="24"/>
              </w:rPr>
              <m:t>s</m:t>
            </m:r>
          </m:sub>
        </m:sSub>
      </m:oMath>
      <w:r w:rsidRPr="00AE4EA1">
        <w:rPr>
          <w:rFonts w:ascii="Times New Roman" w:eastAsia="Times New Roman" w:hAnsi="Times New Roman"/>
          <w:color w:val="000000"/>
          <w:sz w:val="24"/>
          <w:szCs w:val="24"/>
        </w:rPr>
        <w:t xml:space="preserve">) all at significant levels. </w:t>
      </w:r>
    </w:p>
    <w:p w14:paraId="201617B6" w14:textId="11B8C652" w:rsidR="00594F51" w:rsidRDefault="00047399" w:rsidP="009F2198">
      <w:pPr>
        <w:spacing w:line="240" w:lineRule="auto"/>
        <w:ind w:left="-540"/>
        <w:rPr>
          <w:rFonts w:ascii="Times New Roman" w:hAnsi="Times New Roman"/>
          <w:sz w:val="24"/>
          <w:szCs w:val="24"/>
        </w:rPr>
      </w:pPr>
      <w:r w:rsidRPr="00AE4EA1">
        <w:rPr>
          <w:rFonts w:ascii="Times New Roman" w:eastAsia="Times New Roman" w:hAnsi="Times New Roman"/>
          <w:color w:val="000000"/>
          <w:sz w:val="24"/>
          <w:szCs w:val="24"/>
        </w:rPr>
        <w:t xml:space="preserve">The volatility of all the stock sectors depends on their own lag shocks (ARCH) and lag volatility (GARCH) going by their significant coefficient values. For instance, the own ARCH effect of natural resources is 0.2419, while its response to own volatility is about 0.7431. For financial services, its own short term shock effect </w:t>
      </w:r>
      <w:r w:rsidR="005464FC">
        <w:rPr>
          <w:rFonts w:ascii="Times New Roman" w:eastAsia="Times New Roman" w:hAnsi="Times New Roman"/>
          <w:color w:val="000000"/>
          <w:sz w:val="24"/>
          <w:szCs w:val="24"/>
        </w:rPr>
        <w:t>was</w:t>
      </w:r>
      <w:r w:rsidRPr="00AE4EA1">
        <w:rPr>
          <w:rFonts w:ascii="Times New Roman" w:eastAsia="Times New Roman" w:hAnsi="Times New Roman"/>
          <w:color w:val="000000"/>
          <w:sz w:val="24"/>
          <w:szCs w:val="24"/>
        </w:rPr>
        <w:t xml:space="preserve"> 0.1265 while </w:t>
      </w:r>
      <w:proofErr w:type="spellStart"/>
      <w:proofErr w:type="gramStart"/>
      <w:r w:rsidRPr="00AE4EA1">
        <w:rPr>
          <w:rFonts w:ascii="Times New Roman" w:eastAsia="Times New Roman" w:hAnsi="Times New Roman"/>
          <w:color w:val="000000"/>
          <w:sz w:val="24"/>
          <w:szCs w:val="24"/>
        </w:rPr>
        <w:t>it’s</w:t>
      </w:r>
      <w:proofErr w:type="spellEnd"/>
      <w:proofErr w:type="gramEnd"/>
      <w:r w:rsidRPr="00AE4EA1">
        <w:rPr>
          <w:rFonts w:ascii="Times New Roman" w:eastAsia="Times New Roman" w:hAnsi="Times New Roman"/>
          <w:color w:val="000000"/>
          <w:sz w:val="24"/>
          <w:szCs w:val="24"/>
        </w:rPr>
        <w:t xml:space="preserve"> own volatility </w:t>
      </w:r>
      <w:r w:rsidR="005464FC">
        <w:rPr>
          <w:rFonts w:ascii="Times New Roman" w:eastAsia="Times New Roman" w:hAnsi="Times New Roman"/>
          <w:color w:val="000000"/>
          <w:sz w:val="24"/>
          <w:szCs w:val="24"/>
        </w:rPr>
        <w:t>was</w:t>
      </w:r>
      <w:r w:rsidRPr="00AE4EA1">
        <w:rPr>
          <w:rFonts w:ascii="Times New Roman" w:eastAsia="Times New Roman" w:hAnsi="Times New Roman"/>
          <w:color w:val="000000"/>
          <w:sz w:val="24"/>
          <w:szCs w:val="24"/>
        </w:rPr>
        <w:t xml:space="preserve"> </w:t>
      </w:r>
      <w:r w:rsidRPr="00AE4EA1">
        <w:rPr>
          <w:rFonts w:ascii="Times New Roman" w:eastAsia="Times New Roman" w:hAnsi="Times New Roman"/>
          <w:color w:val="000000"/>
          <w:sz w:val="24"/>
          <w:szCs w:val="24"/>
        </w:rPr>
        <w:t xml:space="preserve">low at -0.0492, though significant indicating it’s non-sensitivity to own volatility. </w:t>
      </w:r>
      <w:r w:rsidR="00594F51">
        <w:rPr>
          <w:rFonts w:ascii="Times New Roman" w:hAnsi="Times New Roman"/>
          <w:sz w:val="24"/>
          <w:szCs w:val="24"/>
        </w:rPr>
        <w:t xml:space="preserve"> </w:t>
      </w:r>
      <w:r w:rsidRPr="00AE4EA1">
        <w:rPr>
          <w:rFonts w:ascii="Times New Roman" w:eastAsia="Times New Roman" w:hAnsi="Times New Roman"/>
          <w:color w:val="000000"/>
          <w:sz w:val="24"/>
          <w:szCs w:val="24"/>
        </w:rPr>
        <w:t xml:space="preserve">Overall, it can be observed that the highest own shock (ARCH) is absorbed by the oil and gas sector followed by the agriculture sector, with the ICT sector absorbing the least indicating that volatility of the ICT </w:t>
      </w:r>
      <w:r w:rsidR="005464FC">
        <w:rPr>
          <w:rFonts w:ascii="Times New Roman" w:eastAsia="Times New Roman" w:hAnsi="Times New Roman"/>
          <w:color w:val="000000"/>
          <w:sz w:val="24"/>
          <w:szCs w:val="24"/>
        </w:rPr>
        <w:t>was</w:t>
      </w:r>
      <w:r w:rsidRPr="00AE4EA1">
        <w:rPr>
          <w:rFonts w:ascii="Times New Roman" w:eastAsia="Times New Roman" w:hAnsi="Times New Roman"/>
          <w:color w:val="000000"/>
          <w:sz w:val="24"/>
          <w:szCs w:val="24"/>
        </w:rPr>
        <w:t xml:space="preserve"> not driven by its own shocks. For the GARCH effects we observe that the services sector volatility </w:t>
      </w:r>
      <w:r w:rsidR="005464FC">
        <w:rPr>
          <w:rFonts w:ascii="Times New Roman" w:eastAsia="Times New Roman" w:hAnsi="Times New Roman"/>
          <w:color w:val="000000"/>
          <w:sz w:val="24"/>
          <w:szCs w:val="24"/>
        </w:rPr>
        <w:t>was</w:t>
      </w:r>
      <w:r w:rsidRPr="00AE4EA1">
        <w:rPr>
          <w:rFonts w:ascii="Times New Roman" w:eastAsia="Times New Roman" w:hAnsi="Times New Roman"/>
          <w:color w:val="000000"/>
          <w:sz w:val="24"/>
          <w:szCs w:val="24"/>
        </w:rPr>
        <w:t xml:space="preserve"> heavily driven by its own volatility at 0.01604 with low ARCH effects; t</w:t>
      </w:r>
      <w:r>
        <w:rPr>
          <w:rFonts w:ascii="Times New Roman" w:eastAsia="Times New Roman" w:hAnsi="Times New Roman"/>
          <w:color w:val="000000"/>
          <w:sz w:val="24"/>
          <w:szCs w:val="24"/>
        </w:rPr>
        <w:t>he conglomerates, construction, and</w:t>
      </w:r>
      <w:r w:rsidRPr="00AE4EA1">
        <w:rPr>
          <w:rFonts w:ascii="Times New Roman" w:eastAsia="Times New Roman" w:hAnsi="Times New Roman"/>
          <w:color w:val="000000"/>
          <w:sz w:val="24"/>
          <w:szCs w:val="24"/>
        </w:rPr>
        <w:t xml:space="preserve"> natural resources and ICT sectors </w:t>
      </w:r>
      <w:r w:rsidR="005464FC">
        <w:rPr>
          <w:rFonts w:ascii="Times New Roman" w:eastAsia="Times New Roman" w:hAnsi="Times New Roman"/>
          <w:color w:val="000000"/>
          <w:sz w:val="24"/>
          <w:szCs w:val="24"/>
        </w:rPr>
        <w:t>were</w:t>
      </w:r>
      <w:r w:rsidRPr="00AE4EA1">
        <w:rPr>
          <w:rFonts w:ascii="Times New Roman" w:eastAsia="Times New Roman" w:hAnsi="Times New Roman"/>
          <w:color w:val="000000"/>
          <w:sz w:val="24"/>
          <w:szCs w:val="24"/>
        </w:rPr>
        <w:t xml:space="preserve"> all driven by their own volatility or GARCH effects going by the magnitudes.</w:t>
      </w:r>
    </w:p>
    <w:p w14:paraId="0A986994" w14:textId="73834C1C" w:rsidR="00594F51" w:rsidRDefault="00047399" w:rsidP="009F2198">
      <w:pPr>
        <w:spacing w:line="240" w:lineRule="auto"/>
        <w:ind w:left="-540"/>
        <w:rPr>
          <w:rFonts w:ascii="Times New Roman" w:hAnsi="Times New Roman"/>
          <w:sz w:val="24"/>
          <w:szCs w:val="24"/>
        </w:rPr>
      </w:pPr>
      <w:r>
        <w:rPr>
          <w:rFonts w:ascii="Times New Roman" w:eastAsia="Times New Roman" w:hAnsi="Times New Roman"/>
          <w:color w:val="000000"/>
          <w:sz w:val="24"/>
          <w:szCs w:val="24"/>
        </w:rPr>
        <w:t xml:space="preserve">Turning to the volatility of </w:t>
      </w:r>
      <w:r w:rsidRPr="00AE4EA1">
        <w:rPr>
          <w:rFonts w:ascii="Times New Roman" w:eastAsia="Times New Roman" w:hAnsi="Times New Roman"/>
          <w:color w:val="000000"/>
          <w:sz w:val="24"/>
          <w:szCs w:val="24"/>
        </w:rPr>
        <w:t xml:space="preserve">brent oil, we observe that it’s estimated coefficient values of ARCH coefficients are very though significant, while the </w:t>
      </w:r>
      <w:r w:rsidR="009878F4" w:rsidRPr="00AE4EA1">
        <w:rPr>
          <w:rFonts w:ascii="Times New Roman" w:eastAsia="Times New Roman" w:hAnsi="Times New Roman"/>
          <w:color w:val="000000"/>
          <w:sz w:val="24"/>
          <w:szCs w:val="24"/>
        </w:rPr>
        <w:t>long-term</w:t>
      </w:r>
      <w:r w:rsidRPr="00AE4EA1">
        <w:rPr>
          <w:rFonts w:ascii="Times New Roman" w:eastAsia="Times New Roman" w:hAnsi="Times New Roman"/>
          <w:color w:val="000000"/>
          <w:sz w:val="24"/>
          <w:szCs w:val="24"/>
        </w:rPr>
        <w:t xml:space="preserve"> volatility or GARCH coefficient</w:t>
      </w:r>
      <w:r>
        <w:rPr>
          <w:rFonts w:ascii="Times New Roman" w:eastAsia="Times New Roman" w:hAnsi="Times New Roman"/>
          <w:color w:val="000000"/>
          <w:sz w:val="24"/>
          <w:szCs w:val="24"/>
        </w:rPr>
        <w:t>s</w:t>
      </w:r>
      <w:r w:rsidRPr="00AE4EA1">
        <w:rPr>
          <w:rFonts w:ascii="Times New Roman" w:eastAsia="Times New Roman" w:hAnsi="Times New Roman"/>
          <w:color w:val="000000"/>
          <w:sz w:val="24"/>
          <w:szCs w:val="24"/>
        </w:rPr>
        <w:t xml:space="preserve"> are very high and significant in all the oil – stock pairs. This indicates that unexpected stocks in the oil market have little effect on the volatility is driven more by its own volatility.</w:t>
      </w:r>
      <w:r w:rsidR="00594F51">
        <w:rPr>
          <w:rFonts w:ascii="Times New Roman" w:hAnsi="Times New Roman"/>
          <w:sz w:val="24"/>
          <w:szCs w:val="24"/>
        </w:rPr>
        <w:t xml:space="preserve"> </w:t>
      </w:r>
      <w:r w:rsidRPr="00AE4EA1">
        <w:rPr>
          <w:rFonts w:ascii="Times New Roman" w:eastAsia="Times New Roman" w:hAnsi="Times New Roman"/>
          <w:color w:val="000000"/>
          <w:sz w:val="24"/>
          <w:szCs w:val="24"/>
        </w:rPr>
        <w:t>Volatility i</w:t>
      </w:r>
      <w:r>
        <w:rPr>
          <w:rFonts w:ascii="Times New Roman" w:eastAsia="Times New Roman" w:hAnsi="Times New Roman"/>
          <w:color w:val="000000"/>
          <w:sz w:val="24"/>
          <w:szCs w:val="24"/>
        </w:rPr>
        <w:t>n the oil returns ranges from 0.68% to about 0.9</w:t>
      </w:r>
      <w:r w:rsidRPr="00AE4EA1">
        <w:rPr>
          <w:rFonts w:ascii="Times New Roman" w:eastAsia="Times New Roman" w:hAnsi="Times New Roman"/>
          <w:color w:val="000000"/>
          <w:sz w:val="24"/>
          <w:szCs w:val="24"/>
        </w:rPr>
        <w:t>% in different pairs of oil – stocks sectors with the highe</w:t>
      </w:r>
      <w:r>
        <w:rPr>
          <w:rFonts w:ascii="Times New Roman" w:eastAsia="Times New Roman" w:hAnsi="Times New Roman"/>
          <w:color w:val="000000"/>
          <w:sz w:val="24"/>
          <w:szCs w:val="24"/>
        </w:rPr>
        <w:t>st been that of ICT sector at 0.9% and the lowest 0.68</w:t>
      </w:r>
      <w:r w:rsidRPr="00AE4EA1">
        <w:rPr>
          <w:rFonts w:ascii="Times New Roman" w:eastAsia="Times New Roman" w:hAnsi="Times New Roman"/>
          <w:color w:val="000000"/>
          <w:sz w:val="24"/>
          <w:szCs w:val="24"/>
        </w:rPr>
        <w:t>% for the oil consumer goods sector.</w:t>
      </w:r>
      <w:r w:rsidR="00594F51">
        <w:rPr>
          <w:rFonts w:ascii="Times New Roman" w:hAnsi="Times New Roman"/>
          <w:sz w:val="24"/>
          <w:szCs w:val="24"/>
        </w:rPr>
        <w:t xml:space="preserve"> </w:t>
      </w:r>
      <w:r w:rsidRPr="00AE4EA1">
        <w:rPr>
          <w:rFonts w:ascii="Times New Roman" w:eastAsia="Times New Roman" w:hAnsi="Times New Roman"/>
          <w:color w:val="000000"/>
          <w:sz w:val="24"/>
          <w:szCs w:val="24"/>
        </w:rPr>
        <w:t>Turning to the cross effects, we observe</w:t>
      </w:r>
      <w:r w:rsidR="00BC6166">
        <w:rPr>
          <w:rFonts w:ascii="Times New Roman" w:eastAsia="Times New Roman" w:hAnsi="Times New Roman"/>
          <w:color w:val="000000"/>
          <w:sz w:val="24"/>
          <w:szCs w:val="24"/>
        </w:rPr>
        <w:t>d</w:t>
      </w:r>
      <w:r w:rsidRPr="00AE4EA1">
        <w:rPr>
          <w:rFonts w:ascii="Times New Roman" w:eastAsia="Times New Roman" w:hAnsi="Times New Roman"/>
          <w:color w:val="000000"/>
          <w:sz w:val="24"/>
          <w:szCs w:val="24"/>
        </w:rPr>
        <w:t xml:space="preserve"> cross spillover among oil stock pairs. For instance, the shock spillover from stock sectors to oil (</w:t>
      </w:r>
      <m:oMath>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λ</m:t>
            </m:r>
          </m:e>
          <m:sub>
            <m:r>
              <w:rPr>
                <w:rFonts w:ascii="Cambria Math" w:eastAsia="Times New Roman" w:hAnsi="Cambria Math"/>
                <w:color w:val="000000"/>
                <w:sz w:val="24"/>
                <w:szCs w:val="24"/>
              </w:rPr>
              <m:t>oil</m:t>
            </m:r>
            <m:r>
              <w:rPr>
                <w:rFonts w:ascii="Cambria Math" w:eastAsia="Times New Roman" w:hAnsi="Times New Roman"/>
                <w:color w:val="000000"/>
                <w:sz w:val="24"/>
                <w:szCs w:val="24"/>
              </w:rPr>
              <m:t xml:space="preserve">, </m:t>
            </m:r>
            <m:r>
              <w:rPr>
                <w:rFonts w:ascii="Cambria Math" w:eastAsia="Times New Roman" w:hAnsi="Cambria Math"/>
                <w:color w:val="000000"/>
                <w:sz w:val="24"/>
                <w:szCs w:val="24"/>
              </w:rPr>
              <m:t>s</m:t>
            </m:r>
          </m:sub>
        </m:sSub>
      </m:oMath>
      <w:r w:rsidRPr="00AE4EA1">
        <w:rPr>
          <w:rFonts w:ascii="Times New Roman" w:eastAsia="Times New Roman" w:hAnsi="Times New Roman"/>
          <w:color w:val="000000"/>
          <w:sz w:val="24"/>
          <w:szCs w:val="24"/>
        </w:rPr>
        <w:t>) is significant for agriculture and oil and gas sectors only, while for the remaining nine sector, it’s not significant.</w:t>
      </w:r>
    </w:p>
    <w:p w14:paraId="4BB101F1" w14:textId="77777777" w:rsidR="00AE5F68" w:rsidRDefault="00047399" w:rsidP="00AE5F68">
      <w:pPr>
        <w:spacing w:line="240" w:lineRule="auto"/>
        <w:ind w:left="-540"/>
        <w:rPr>
          <w:rFonts w:ascii="Times New Roman" w:hAnsi="Times New Roman"/>
          <w:sz w:val="24"/>
          <w:szCs w:val="24"/>
        </w:rPr>
      </w:pPr>
      <w:r>
        <w:rPr>
          <w:rFonts w:ascii="Times New Roman" w:eastAsia="Times New Roman" w:hAnsi="Times New Roman"/>
          <w:color w:val="000000"/>
          <w:sz w:val="24"/>
          <w:szCs w:val="24"/>
        </w:rPr>
        <w:t>For instance, the shock</w:t>
      </w:r>
      <w:r w:rsidRPr="00AE4EA1">
        <w:rPr>
          <w:rFonts w:ascii="Times New Roman" w:eastAsia="Times New Roman" w:hAnsi="Times New Roman"/>
          <w:color w:val="000000"/>
          <w:sz w:val="24"/>
          <w:szCs w:val="24"/>
        </w:rPr>
        <w:t xml:space="preserve"> spillover fro</w:t>
      </w:r>
      <w:r>
        <w:rPr>
          <w:rFonts w:ascii="Times New Roman" w:eastAsia="Times New Roman" w:hAnsi="Times New Roman"/>
          <w:color w:val="000000"/>
          <w:sz w:val="24"/>
          <w:szCs w:val="24"/>
        </w:rPr>
        <w:t>m agriculture to oil is about 0.29% while</w:t>
      </w:r>
      <w:r w:rsidRPr="00AE4EA1">
        <w:rPr>
          <w:rFonts w:ascii="Times New Roman" w:eastAsia="Times New Roman" w:hAnsi="Times New Roman"/>
          <w:color w:val="000000"/>
          <w:sz w:val="24"/>
          <w:szCs w:val="24"/>
        </w:rPr>
        <w:t xml:space="preserve"> for oil and gas rector, its negligible </w:t>
      </w:r>
      <w:r>
        <w:rPr>
          <w:rFonts w:ascii="Times New Roman" w:eastAsia="Times New Roman" w:hAnsi="Times New Roman"/>
          <w:color w:val="000000"/>
          <w:sz w:val="24"/>
          <w:szCs w:val="24"/>
        </w:rPr>
        <w:t>at less than one percent. The sh</w:t>
      </w:r>
      <w:r w:rsidRPr="00AE4EA1">
        <w:rPr>
          <w:rFonts w:ascii="Times New Roman" w:eastAsia="Times New Roman" w:hAnsi="Times New Roman"/>
          <w:color w:val="000000"/>
          <w:sz w:val="24"/>
          <w:szCs w:val="24"/>
        </w:rPr>
        <w:t>ock spillover from oil to each of the rectors is however significant for all oil-stock p</w:t>
      </w:r>
      <w:r>
        <w:rPr>
          <w:rFonts w:ascii="Times New Roman" w:eastAsia="Times New Roman" w:hAnsi="Times New Roman"/>
          <w:color w:val="000000"/>
          <w:sz w:val="24"/>
          <w:szCs w:val="24"/>
        </w:rPr>
        <w:t>airs as expected. The highest shock spillover from oil of 0.29</w:t>
      </w:r>
      <w:r w:rsidRPr="00AE4EA1">
        <w:rPr>
          <w:rFonts w:ascii="Times New Roman" w:eastAsia="Times New Roman" w:hAnsi="Times New Roman"/>
          <w:color w:val="000000"/>
          <w:sz w:val="24"/>
          <w:szCs w:val="24"/>
        </w:rPr>
        <w:t>% goes to the agricul</w:t>
      </w:r>
      <w:r>
        <w:rPr>
          <w:rFonts w:ascii="Times New Roman" w:eastAsia="Times New Roman" w:hAnsi="Times New Roman"/>
          <w:color w:val="000000"/>
          <w:sz w:val="24"/>
          <w:szCs w:val="24"/>
        </w:rPr>
        <w:t>ture rector while the services s</w:t>
      </w:r>
      <w:r w:rsidRPr="00AE4EA1">
        <w:rPr>
          <w:rFonts w:ascii="Times New Roman" w:eastAsia="Times New Roman" w:hAnsi="Times New Roman"/>
          <w:color w:val="000000"/>
          <w:sz w:val="24"/>
          <w:szCs w:val="24"/>
        </w:rPr>
        <w:t xml:space="preserve">ector has the least. For the long term (volatility spillover effects, we observe volatility spillover from stock sectors to oil market, though surprisingly. The volatility spillover from conglomerates as consumer goods to oil show high values while the least is from natural resources. Conversely, the volatility spillover from oil to each of the </w:t>
      </w:r>
      <w:r w:rsidRPr="00AE4EA1">
        <w:rPr>
          <w:rFonts w:ascii="Times New Roman" w:eastAsia="Times New Roman" w:hAnsi="Times New Roman"/>
          <w:color w:val="000000"/>
          <w:sz w:val="24"/>
          <w:szCs w:val="24"/>
        </w:rPr>
        <w:lastRenderedPageBreak/>
        <w:t>sector show significant values in all sectors. High values are observed from oil to conglomerates, constructions and real estate, industrial goods and health care result indicates bidirectional volatility spillovers between oil-stock repairs.</w:t>
      </w:r>
      <w:r w:rsidR="00594F51">
        <w:rPr>
          <w:rFonts w:ascii="Times New Roman" w:hAnsi="Times New Roman"/>
          <w:sz w:val="24"/>
          <w:szCs w:val="24"/>
        </w:rPr>
        <w:t xml:space="preserve"> </w:t>
      </w:r>
      <w:r>
        <w:rPr>
          <w:rFonts w:ascii="Times New Roman" w:eastAsia="Times New Roman" w:hAnsi="Times New Roman"/>
          <w:color w:val="000000"/>
          <w:sz w:val="24"/>
          <w:szCs w:val="24"/>
        </w:rPr>
        <w:t>Concerning</w:t>
      </w:r>
      <w:r w:rsidRPr="00AE4EA1">
        <w:rPr>
          <w:rFonts w:ascii="Times New Roman" w:eastAsia="Times New Roman" w:hAnsi="Times New Roman"/>
          <w:color w:val="000000"/>
          <w:sz w:val="24"/>
          <w:szCs w:val="24"/>
        </w:rPr>
        <w:t xml:space="preserve"> the asymmetric effects, we observe that the coefficient of leverage (asy</w:t>
      </w:r>
      <w:r>
        <w:rPr>
          <w:rFonts w:ascii="Times New Roman" w:eastAsia="Times New Roman" w:hAnsi="Times New Roman"/>
          <w:color w:val="000000"/>
          <w:sz w:val="24"/>
          <w:szCs w:val="24"/>
        </w:rPr>
        <w:t>mmetry) is significant for crude</w:t>
      </w:r>
      <w:r w:rsidRPr="00AE4EA1">
        <w:rPr>
          <w:rFonts w:ascii="Times New Roman" w:eastAsia="Times New Roman" w:hAnsi="Times New Roman"/>
          <w:color w:val="000000"/>
          <w:sz w:val="24"/>
          <w:szCs w:val="24"/>
        </w:rPr>
        <w:t xml:space="preserve"> oil returns among the three oil-stock parts. In a similar view, asymmetric coefficient is significant and positive fo</w:t>
      </w:r>
      <w:r>
        <w:rPr>
          <w:rFonts w:ascii="Times New Roman" w:eastAsia="Times New Roman" w:hAnsi="Times New Roman"/>
          <w:color w:val="000000"/>
          <w:sz w:val="24"/>
          <w:szCs w:val="24"/>
        </w:rPr>
        <w:t>r agriculture and construction sectors and negative for the ICT sect</w:t>
      </w:r>
    </w:p>
    <w:p w14:paraId="504F019A" w14:textId="2B53DF79" w:rsidR="0048466B" w:rsidRPr="00AE5F68" w:rsidRDefault="00047399" w:rsidP="00AE5F68">
      <w:pPr>
        <w:spacing w:line="240" w:lineRule="auto"/>
        <w:ind w:left="-540"/>
        <w:rPr>
          <w:rFonts w:ascii="Times New Roman" w:hAnsi="Times New Roman"/>
          <w:sz w:val="24"/>
          <w:szCs w:val="24"/>
        </w:rPr>
      </w:pPr>
      <w:r w:rsidRPr="00AE5F68">
        <w:rPr>
          <w:rFonts w:ascii="Times New Roman" w:eastAsia="Times New Roman" w:hAnsi="Times New Roman"/>
          <w:b/>
          <w:color w:val="000000"/>
          <w:sz w:val="24"/>
          <w:szCs w:val="24"/>
        </w:rPr>
        <w:t>Conditional Co-variance Equation</w:t>
      </w:r>
    </w:p>
    <w:p w14:paraId="01FD5B59" w14:textId="1947FD5C" w:rsidR="0048466B" w:rsidRDefault="005464FC" w:rsidP="009F2198">
      <w:pPr>
        <w:spacing w:line="240" w:lineRule="auto"/>
        <w:ind w:left="-540"/>
        <w:rPr>
          <w:rFonts w:ascii="Times New Roman" w:hAnsi="Times New Roman"/>
          <w:sz w:val="24"/>
          <w:szCs w:val="24"/>
        </w:rPr>
      </w:pPr>
      <w:r>
        <w:rPr>
          <w:rFonts w:ascii="Times New Roman" w:eastAsia="Times New Roman" w:hAnsi="Times New Roman"/>
          <w:sz w:val="24"/>
          <w:szCs w:val="24"/>
        </w:rPr>
        <w:t>Findings</w:t>
      </w:r>
      <w:r w:rsidR="00047399" w:rsidRPr="002103B6">
        <w:rPr>
          <w:rFonts w:ascii="Times New Roman" w:eastAsia="Times New Roman" w:hAnsi="Times New Roman"/>
          <w:sz w:val="24"/>
          <w:szCs w:val="24"/>
        </w:rPr>
        <w:t xml:space="preserve"> reveal</w:t>
      </w:r>
      <w:r>
        <w:rPr>
          <w:rFonts w:ascii="Times New Roman" w:eastAsia="Times New Roman" w:hAnsi="Times New Roman"/>
          <w:sz w:val="24"/>
          <w:szCs w:val="24"/>
        </w:rPr>
        <w:t>ed</w:t>
      </w:r>
      <w:r w:rsidR="00047399" w:rsidRPr="002103B6">
        <w:rPr>
          <w:rFonts w:ascii="Times New Roman" w:eastAsia="Times New Roman" w:hAnsi="Times New Roman"/>
          <w:sz w:val="24"/>
          <w:szCs w:val="24"/>
        </w:rPr>
        <w:t xml:space="preserve"> that the CCC estimate for all the oil- shock, validat</w:t>
      </w:r>
      <w:r>
        <w:rPr>
          <w:rFonts w:ascii="Times New Roman" w:eastAsia="Times New Roman" w:hAnsi="Times New Roman"/>
          <w:sz w:val="24"/>
          <w:szCs w:val="24"/>
        </w:rPr>
        <w:t>ed the</w:t>
      </w:r>
      <w:r w:rsidR="00047399">
        <w:rPr>
          <w:rFonts w:ascii="Times New Roman" w:eastAsia="Times New Roman" w:hAnsi="Times New Roman"/>
          <w:sz w:val="24"/>
          <w:szCs w:val="24"/>
        </w:rPr>
        <w:t xml:space="preserve"> </w:t>
      </w:r>
      <w:r w:rsidR="00047399" w:rsidRPr="002103B6">
        <w:rPr>
          <w:rFonts w:ascii="Times New Roman" w:eastAsia="Times New Roman" w:hAnsi="Times New Roman"/>
          <w:sz w:val="24"/>
          <w:szCs w:val="24"/>
        </w:rPr>
        <w:t>assumption of constant correct</w:t>
      </w:r>
      <w:r w:rsidR="00047399">
        <w:rPr>
          <w:rFonts w:ascii="Times New Roman" w:eastAsia="Times New Roman" w:hAnsi="Times New Roman"/>
          <w:sz w:val="24"/>
          <w:szCs w:val="24"/>
        </w:rPr>
        <w:t>ion among and between the oil-st</w:t>
      </w:r>
      <w:r w:rsidR="00047399" w:rsidRPr="002103B6">
        <w:rPr>
          <w:rFonts w:ascii="Times New Roman" w:eastAsia="Times New Roman" w:hAnsi="Times New Roman"/>
          <w:sz w:val="24"/>
          <w:szCs w:val="24"/>
        </w:rPr>
        <w:t xml:space="preserve">ock pairs. </w:t>
      </w:r>
      <w:r w:rsidR="00047399">
        <w:rPr>
          <w:rFonts w:ascii="Times New Roman" w:eastAsia="Times New Roman" w:hAnsi="Times New Roman"/>
          <w:sz w:val="24"/>
          <w:szCs w:val="24"/>
        </w:rPr>
        <w:t xml:space="preserve">The highest CCC is between construction/real estate this impact is due to the fact this sector is sensitive to oil price changes. </w:t>
      </w:r>
      <w:r w:rsidR="00047399" w:rsidRPr="002103B6">
        <w:rPr>
          <w:rFonts w:ascii="Times New Roman" w:eastAsia="Times New Roman" w:hAnsi="Times New Roman"/>
          <w:sz w:val="24"/>
          <w:szCs w:val="24"/>
        </w:rPr>
        <w:t>Low conditional correction is an indication of the existence of potential g</w:t>
      </w:r>
      <w:r w:rsidR="00047399">
        <w:rPr>
          <w:rFonts w:ascii="Times New Roman" w:eastAsia="Times New Roman" w:hAnsi="Times New Roman"/>
          <w:sz w:val="24"/>
          <w:szCs w:val="24"/>
        </w:rPr>
        <w:t>ains by in</w:t>
      </w:r>
      <w:r w:rsidR="00047399" w:rsidRPr="002103B6">
        <w:rPr>
          <w:rFonts w:ascii="Times New Roman" w:eastAsia="Times New Roman" w:hAnsi="Times New Roman"/>
          <w:sz w:val="24"/>
          <w:szCs w:val="24"/>
        </w:rPr>
        <w:t>ve</w:t>
      </w:r>
      <w:r w:rsidR="00047399">
        <w:rPr>
          <w:rFonts w:ascii="Times New Roman" w:eastAsia="Times New Roman" w:hAnsi="Times New Roman"/>
          <w:sz w:val="24"/>
          <w:szCs w:val="24"/>
        </w:rPr>
        <w:t>stors from inves</w:t>
      </w:r>
      <w:r w:rsidR="00047399" w:rsidRPr="002103B6">
        <w:rPr>
          <w:rFonts w:ascii="Times New Roman" w:eastAsia="Times New Roman" w:hAnsi="Times New Roman"/>
          <w:sz w:val="24"/>
          <w:szCs w:val="24"/>
        </w:rPr>
        <w:t>t</w:t>
      </w:r>
      <w:r w:rsidR="00047399">
        <w:rPr>
          <w:rFonts w:ascii="Times New Roman" w:eastAsia="Times New Roman" w:hAnsi="Times New Roman"/>
          <w:sz w:val="24"/>
          <w:szCs w:val="24"/>
        </w:rPr>
        <w:t>ing</w:t>
      </w:r>
      <w:r w:rsidR="00047399" w:rsidRPr="002103B6">
        <w:rPr>
          <w:rFonts w:ascii="Times New Roman" w:eastAsia="Times New Roman" w:hAnsi="Times New Roman"/>
          <w:sz w:val="24"/>
          <w:szCs w:val="24"/>
        </w:rPr>
        <w:t xml:space="preserve"> in both </w:t>
      </w:r>
      <w:r w:rsidR="00047399">
        <w:rPr>
          <w:rFonts w:ascii="Times New Roman" w:eastAsia="Times New Roman" w:hAnsi="Times New Roman"/>
          <w:sz w:val="24"/>
          <w:szCs w:val="24"/>
        </w:rPr>
        <w:t>oil and stock markets</w:t>
      </w:r>
      <w:r w:rsidR="00047399" w:rsidRPr="002103B6">
        <w:rPr>
          <w:rFonts w:ascii="Times New Roman" w:eastAsia="Times New Roman" w:hAnsi="Times New Roman"/>
          <w:sz w:val="24"/>
          <w:szCs w:val="24"/>
        </w:rPr>
        <w:t>. These findings can therefore be used to construct portfolio weight and hedge ratios to guide investor and investment decision.</w:t>
      </w:r>
      <w:r w:rsidR="0048466B">
        <w:rPr>
          <w:rFonts w:ascii="Times New Roman" w:hAnsi="Times New Roman"/>
          <w:sz w:val="24"/>
          <w:szCs w:val="24"/>
        </w:rPr>
        <w:t xml:space="preserve"> </w:t>
      </w:r>
      <w:r w:rsidR="00047399" w:rsidRPr="002103B6">
        <w:rPr>
          <w:rFonts w:ascii="Times New Roman" w:eastAsia="Times New Roman" w:hAnsi="Times New Roman"/>
          <w:sz w:val="24"/>
          <w:szCs w:val="24"/>
        </w:rPr>
        <w:t xml:space="preserve">The diagnostic tests on table </w:t>
      </w:r>
      <w:r w:rsidR="00BC6166">
        <w:rPr>
          <w:rFonts w:ascii="Times New Roman" w:eastAsia="Times New Roman" w:hAnsi="Times New Roman"/>
          <w:sz w:val="24"/>
          <w:szCs w:val="24"/>
        </w:rPr>
        <w:t>4</w:t>
      </w:r>
      <w:r w:rsidR="00047399" w:rsidRPr="002103B6">
        <w:rPr>
          <w:rFonts w:ascii="Times New Roman" w:eastAsia="Times New Roman" w:hAnsi="Times New Roman"/>
          <w:sz w:val="24"/>
          <w:szCs w:val="24"/>
        </w:rPr>
        <w:t xml:space="preserve"> are for </w:t>
      </w:r>
      <w:r>
        <w:rPr>
          <w:rFonts w:ascii="Times New Roman" w:eastAsia="Times New Roman" w:hAnsi="Times New Roman"/>
          <w:sz w:val="24"/>
          <w:szCs w:val="24"/>
        </w:rPr>
        <w:t xml:space="preserve">the </w:t>
      </w:r>
      <w:r w:rsidR="00047399" w:rsidRPr="002103B6">
        <w:rPr>
          <w:rFonts w:ascii="Times New Roman" w:eastAsia="Times New Roman" w:hAnsi="Times New Roman"/>
          <w:sz w:val="24"/>
          <w:szCs w:val="24"/>
        </w:rPr>
        <w:t xml:space="preserve">remaining ARCH effects and serial correction. Results of the Mcleod-Li test </w:t>
      </w:r>
      <w:r>
        <w:rPr>
          <w:rFonts w:ascii="Times New Roman" w:eastAsia="Times New Roman" w:hAnsi="Times New Roman"/>
          <w:sz w:val="24"/>
          <w:szCs w:val="24"/>
        </w:rPr>
        <w:t>was</w:t>
      </w:r>
      <w:r w:rsidR="00047399" w:rsidRPr="002103B6">
        <w:rPr>
          <w:rFonts w:ascii="Times New Roman" w:eastAsia="Times New Roman" w:hAnsi="Times New Roman"/>
          <w:sz w:val="24"/>
          <w:szCs w:val="24"/>
        </w:rPr>
        <w:t xml:space="preserve"> used to test for the presence of ARCH effect </w:t>
      </w:r>
      <w:r>
        <w:rPr>
          <w:rFonts w:ascii="Times New Roman" w:eastAsia="Times New Roman" w:hAnsi="Times New Roman"/>
          <w:sz w:val="24"/>
          <w:szCs w:val="24"/>
        </w:rPr>
        <w:t xml:space="preserve">and </w:t>
      </w:r>
      <w:r w:rsidR="00047399" w:rsidRPr="002103B6">
        <w:rPr>
          <w:rFonts w:ascii="Times New Roman" w:eastAsia="Times New Roman" w:hAnsi="Times New Roman"/>
          <w:sz w:val="24"/>
          <w:szCs w:val="24"/>
        </w:rPr>
        <w:t>we observe</w:t>
      </w:r>
      <w:r>
        <w:rPr>
          <w:rFonts w:ascii="Times New Roman" w:eastAsia="Times New Roman" w:hAnsi="Times New Roman"/>
          <w:sz w:val="24"/>
          <w:szCs w:val="24"/>
        </w:rPr>
        <w:t>d</w:t>
      </w:r>
      <w:r w:rsidR="00047399" w:rsidRPr="002103B6">
        <w:rPr>
          <w:rFonts w:ascii="Times New Roman" w:eastAsia="Times New Roman" w:hAnsi="Times New Roman"/>
          <w:sz w:val="24"/>
          <w:szCs w:val="24"/>
        </w:rPr>
        <w:t xml:space="preserve"> that going by the p values, there are no remaining ARCH effects of our </w:t>
      </w:r>
      <w:proofErr w:type="spellStart"/>
      <w:r w:rsidR="00047399" w:rsidRPr="002103B6">
        <w:rPr>
          <w:rFonts w:ascii="Times New Roman" w:eastAsia="Times New Roman" w:hAnsi="Times New Roman"/>
          <w:sz w:val="24"/>
          <w:szCs w:val="24"/>
        </w:rPr>
        <w:t>Lj</w:t>
      </w:r>
      <w:r w:rsidR="00047399">
        <w:rPr>
          <w:rFonts w:ascii="Times New Roman" w:eastAsia="Times New Roman" w:hAnsi="Times New Roman"/>
          <w:sz w:val="24"/>
          <w:szCs w:val="24"/>
        </w:rPr>
        <w:t>u</w:t>
      </w:r>
      <w:r w:rsidR="00047399" w:rsidRPr="002103B6">
        <w:rPr>
          <w:rFonts w:ascii="Times New Roman" w:eastAsia="Times New Roman" w:hAnsi="Times New Roman"/>
          <w:sz w:val="24"/>
          <w:szCs w:val="24"/>
        </w:rPr>
        <w:t>ng</w:t>
      </w:r>
      <w:proofErr w:type="spellEnd"/>
      <w:r w:rsidR="00047399" w:rsidRPr="002103B6">
        <w:rPr>
          <w:rFonts w:ascii="Times New Roman" w:eastAsia="Times New Roman" w:hAnsi="Times New Roman"/>
          <w:sz w:val="24"/>
          <w:szCs w:val="24"/>
        </w:rPr>
        <w:t xml:space="preserve">-Box test show that is no more evidence of serial correction the returns series.   </w:t>
      </w:r>
    </w:p>
    <w:p w14:paraId="6FA6161C" w14:textId="7A681725" w:rsidR="0048466B" w:rsidRDefault="005464FC" w:rsidP="009F2198">
      <w:pPr>
        <w:spacing w:line="240" w:lineRule="auto"/>
        <w:ind w:left="-540"/>
        <w:rPr>
          <w:rFonts w:ascii="Times New Roman" w:hAnsi="Times New Roman"/>
          <w:sz w:val="24"/>
          <w:szCs w:val="24"/>
        </w:rPr>
      </w:pPr>
      <w:r w:rsidRPr="00AE4EA1">
        <w:rPr>
          <w:rFonts w:ascii="Times New Roman" w:eastAsia="Times New Roman" w:hAnsi="Times New Roman"/>
          <w:b/>
          <w:color w:val="000000"/>
          <w:sz w:val="24"/>
          <w:szCs w:val="24"/>
        </w:rPr>
        <w:t>DISCUSSION</w:t>
      </w:r>
      <w:r>
        <w:rPr>
          <w:rFonts w:ascii="Times New Roman" w:eastAsia="Times New Roman" w:hAnsi="Times New Roman"/>
          <w:b/>
          <w:color w:val="000000"/>
          <w:sz w:val="24"/>
          <w:szCs w:val="24"/>
        </w:rPr>
        <w:t>S</w:t>
      </w:r>
      <w:r w:rsidR="00047399" w:rsidRPr="00AE4EA1">
        <w:rPr>
          <w:rFonts w:ascii="Times New Roman" w:eastAsia="Times New Roman" w:hAnsi="Times New Roman"/>
          <w:b/>
          <w:color w:val="000000"/>
          <w:sz w:val="24"/>
          <w:szCs w:val="24"/>
        </w:rPr>
        <w:t xml:space="preserve"> </w:t>
      </w:r>
    </w:p>
    <w:p w14:paraId="51AB1387" w14:textId="77777777" w:rsidR="0048466B" w:rsidRDefault="00047399" w:rsidP="009F2198">
      <w:pPr>
        <w:spacing w:line="240" w:lineRule="auto"/>
        <w:ind w:left="-540"/>
        <w:rPr>
          <w:rFonts w:ascii="Times New Roman" w:hAnsi="Times New Roman"/>
          <w:sz w:val="24"/>
          <w:szCs w:val="24"/>
        </w:rPr>
      </w:pPr>
      <w:r>
        <w:rPr>
          <w:rFonts w:ascii="Times New Roman" w:hAnsi="Times New Roman"/>
          <w:sz w:val="24"/>
          <w:szCs w:val="24"/>
        </w:rPr>
        <w:t xml:space="preserve">Following is the discussion of findings from the results. From </w:t>
      </w:r>
      <w:r w:rsidRPr="00592086">
        <w:rPr>
          <w:rFonts w:ascii="Times New Roman" w:hAnsi="Times New Roman"/>
          <w:sz w:val="24"/>
          <w:szCs w:val="24"/>
        </w:rPr>
        <w:t xml:space="preserve">the return </w:t>
      </w:r>
      <w:r>
        <w:rPr>
          <w:rFonts w:ascii="Times New Roman" w:hAnsi="Times New Roman"/>
          <w:sz w:val="24"/>
          <w:szCs w:val="24"/>
        </w:rPr>
        <w:t>(</w:t>
      </w:r>
      <w:r w:rsidRPr="00592086">
        <w:rPr>
          <w:rFonts w:ascii="Times New Roman" w:hAnsi="Times New Roman"/>
          <w:sz w:val="24"/>
          <w:szCs w:val="24"/>
        </w:rPr>
        <w:t>mean</w:t>
      </w:r>
      <w:r>
        <w:rPr>
          <w:rFonts w:ascii="Times New Roman" w:hAnsi="Times New Roman"/>
          <w:sz w:val="24"/>
          <w:szCs w:val="24"/>
        </w:rPr>
        <w:t xml:space="preserve">) </w:t>
      </w:r>
      <w:r w:rsidRPr="00592086">
        <w:rPr>
          <w:rFonts w:ascii="Times New Roman" w:hAnsi="Times New Roman"/>
          <w:sz w:val="24"/>
          <w:szCs w:val="24"/>
        </w:rPr>
        <w:t xml:space="preserve">equation results, the </w:t>
      </w:r>
      <w:r>
        <w:rPr>
          <w:rFonts w:ascii="Times New Roman" w:hAnsi="Times New Roman"/>
          <w:sz w:val="24"/>
          <w:szCs w:val="24"/>
        </w:rPr>
        <w:t>parameter</w:t>
      </w:r>
      <w:r w:rsidRPr="00592086">
        <w:rPr>
          <w:rFonts w:ascii="Times New Roman" w:hAnsi="Times New Roman"/>
          <w:sz w:val="24"/>
          <w:szCs w:val="24"/>
        </w:rPr>
        <w:t xml:space="preserve">s of interest are </w:t>
      </w:r>
      <w:proofErr w:type="spellStart"/>
      <w:r w:rsidRPr="00911C21">
        <w:rPr>
          <w:rFonts w:ascii="Times New Roman" w:hAnsi="Times New Roman"/>
          <w:i/>
          <w:sz w:val="24"/>
          <w:szCs w:val="24"/>
        </w:rPr>
        <w:t>φoil</w:t>
      </w:r>
      <w:r w:rsidRPr="00911C21">
        <w:rPr>
          <w:rFonts w:ascii="Times New Roman" w:hAnsi="Times New Roman"/>
          <w:i/>
          <w:sz w:val="24"/>
          <w:szCs w:val="24"/>
          <w:vertAlign w:val="superscript"/>
        </w:rPr>
        <w:t>s</w:t>
      </w:r>
      <w:proofErr w:type="spellEnd"/>
      <w:r w:rsidRPr="00592086">
        <w:rPr>
          <w:rFonts w:ascii="Times New Roman" w:hAnsi="Times New Roman"/>
          <w:sz w:val="24"/>
          <w:szCs w:val="24"/>
        </w:rPr>
        <w:t xml:space="preserve">, and </w:t>
      </w:r>
      <w:proofErr w:type="spellStart"/>
      <w:r w:rsidRPr="00911C21">
        <w:rPr>
          <w:rFonts w:ascii="Times New Roman" w:hAnsi="Times New Roman"/>
          <w:i/>
          <w:sz w:val="24"/>
          <w:szCs w:val="24"/>
        </w:rPr>
        <w:t>φ</w:t>
      </w:r>
      <w:r w:rsidRPr="00911C21">
        <w:rPr>
          <w:rFonts w:ascii="Times New Roman" w:hAnsi="Times New Roman"/>
          <w:i/>
          <w:sz w:val="24"/>
          <w:szCs w:val="24"/>
          <w:vertAlign w:val="subscript"/>
        </w:rPr>
        <w:t>s</w:t>
      </w:r>
      <w:r w:rsidRPr="00911C21">
        <w:rPr>
          <w:rFonts w:ascii="Times New Roman" w:hAnsi="Times New Roman"/>
          <w:i/>
          <w:sz w:val="24"/>
          <w:szCs w:val="24"/>
          <w:vertAlign w:val="superscript"/>
        </w:rPr>
        <w:t>oil</w:t>
      </w:r>
      <w:proofErr w:type="spellEnd"/>
      <w:r w:rsidRPr="00592086">
        <w:rPr>
          <w:rFonts w:ascii="Times New Roman" w:hAnsi="Times New Roman"/>
          <w:sz w:val="24"/>
          <w:szCs w:val="24"/>
        </w:rPr>
        <w:t xml:space="preserve"> the return spillover effects between oil market and the sector returns, nonetheless, as is convent</w:t>
      </w:r>
      <w:r>
        <w:rPr>
          <w:rFonts w:ascii="Times New Roman" w:hAnsi="Times New Roman"/>
          <w:sz w:val="24"/>
          <w:szCs w:val="24"/>
        </w:rPr>
        <w:t>ion</w:t>
      </w:r>
      <w:r w:rsidRPr="00592086">
        <w:rPr>
          <w:rFonts w:ascii="Times New Roman" w:hAnsi="Times New Roman"/>
          <w:sz w:val="24"/>
          <w:szCs w:val="24"/>
        </w:rPr>
        <w:t xml:space="preserve">al with financial times series of high frequency dimension, we include own lagged returns </w:t>
      </w:r>
      <w:proofErr w:type="spellStart"/>
      <w:r w:rsidRPr="00911C21">
        <w:rPr>
          <w:rFonts w:ascii="Times New Roman" w:hAnsi="Times New Roman"/>
          <w:i/>
          <w:sz w:val="24"/>
          <w:szCs w:val="24"/>
        </w:rPr>
        <w:t>φoil</w:t>
      </w:r>
      <w:proofErr w:type="spellEnd"/>
      <w:r w:rsidRPr="00592086">
        <w:rPr>
          <w:rFonts w:ascii="Times New Roman" w:hAnsi="Times New Roman"/>
          <w:sz w:val="24"/>
          <w:szCs w:val="24"/>
        </w:rPr>
        <w:t xml:space="preserve">, and </w:t>
      </w:r>
      <w:proofErr w:type="spellStart"/>
      <w:r w:rsidRPr="00911C21">
        <w:rPr>
          <w:rFonts w:ascii="Times New Roman" w:hAnsi="Times New Roman"/>
          <w:i/>
          <w:sz w:val="24"/>
          <w:szCs w:val="24"/>
        </w:rPr>
        <w:t>φ</w:t>
      </w:r>
      <w:r w:rsidRPr="00911C21">
        <w:rPr>
          <w:rFonts w:ascii="Times New Roman" w:hAnsi="Times New Roman"/>
          <w:i/>
          <w:sz w:val="24"/>
          <w:szCs w:val="24"/>
          <w:vertAlign w:val="subscript"/>
        </w:rPr>
        <w:t>s</w:t>
      </w:r>
      <w:r w:rsidRPr="00592086">
        <w:rPr>
          <w:rFonts w:ascii="Times New Roman" w:hAnsi="Times New Roman"/>
          <w:sz w:val="24"/>
          <w:szCs w:val="24"/>
        </w:rPr>
        <w:t>in</w:t>
      </w:r>
      <w:proofErr w:type="spellEnd"/>
      <w:r w:rsidRPr="00592086">
        <w:rPr>
          <w:rFonts w:ascii="Times New Roman" w:hAnsi="Times New Roman"/>
          <w:sz w:val="24"/>
          <w:szCs w:val="24"/>
        </w:rPr>
        <w:t xml:space="preserve"> the conditional </w:t>
      </w:r>
      <w:r>
        <w:rPr>
          <w:rFonts w:ascii="Times New Roman" w:hAnsi="Times New Roman"/>
          <w:sz w:val="24"/>
          <w:szCs w:val="24"/>
        </w:rPr>
        <w:t>return (</w:t>
      </w:r>
      <w:r w:rsidRPr="00592086">
        <w:rPr>
          <w:rFonts w:ascii="Times New Roman" w:hAnsi="Times New Roman"/>
          <w:sz w:val="24"/>
          <w:szCs w:val="24"/>
        </w:rPr>
        <w:t>mean</w:t>
      </w:r>
      <w:r>
        <w:rPr>
          <w:rFonts w:ascii="Times New Roman" w:hAnsi="Times New Roman"/>
          <w:sz w:val="24"/>
          <w:szCs w:val="24"/>
        </w:rPr>
        <w:t>)</w:t>
      </w:r>
      <w:r w:rsidRPr="00592086">
        <w:rPr>
          <w:rFonts w:ascii="Times New Roman" w:hAnsi="Times New Roman"/>
          <w:sz w:val="24"/>
          <w:szCs w:val="24"/>
        </w:rPr>
        <w:t xml:space="preserve"> equations to make sure that spillover effects are not mistaken </w:t>
      </w:r>
      <w:r>
        <w:rPr>
          <w:rFonts w:ascii="Times New Roman" w:hAnsi="Times New Roman"/>
          <w:sz w:val="24"/>
          <w:szCs w:val="24"/>
        </w:rPr>
        <w:t xml:space="preserve">or confused </w:t>
      </w:r>
      <w:r w:rsidRPr="00592086">
        <w:rPr>
          <w:rFonts w:ascii="Times New Roman" w:hAnsi="Times New Roman"/>
          <w:sz w:val="24"/>
          <w:szCs w:val="24"/>
        </w:rPr>
        <w:t xml:space="preserve">for serial dependence. </w:t>
      </w:r>
      <w:r>
        <w:rPr>
          <w:rFonts w:ascii="Times New Roman" w:hAnsi="Times New Roman"/>
          <w:sz w:val="24"/>
          <w:szCs w:val="24"/>
        </w:rPr>
        <w:t xml:space="preserve">Salisu (2019) Yaya et al (2016), </w:t>
      </w:r>
      <w:r>
        <w:rPr>
          <w:rFonts w:ascii="Times New Roman" w:hAnsi="Times New Roman"/>
          <w:sz w:val="24"/>
          <w:szCs w:val="24"/>
        </w:rPr>
        <w:t>Tule et al (2018).</w:t>
      </w:r>
      <w:r w:rsidR="0048466B">
        <w:rPr>
          <w:rFonts w:ascii="Times New Roman" w:hAnsi="Times New Roman"/>
          <w:sz w:val="24"/>
          <w:szCs w:val="24"/>
        </w:rPr>
        <w:t xml:space="preserve"> </w:t>
      </w:r>
      <w:r w:rsidRPr="00592086">
        <w:rPr>
          <w:rFonts w:ascii="Times New Roman" w:hAnsi="Times New Roman"/>
          <w:sz w:val="24"/>
          <w:szCs w:val="24"/>
        </w:rPr>
        <w:t>Results from table 4.</w:t>
      </w:r>
      <w:r>
        <w:rPr>
          <w:rFonts w:ascii="Times New Roman" w:hAnsi="Times New Roman"/>
          <w:sz w:val="24"/>
          <w:szCs w:val="24"/>
        </w:rPr>
        <w:t>5</w:t>
      </w:r>
      <w:r w:rsidRPr="00592086">
        <w:rPr>
          <w:rFonts w:ascii="Times New Roman" w:hAnsi="Times New Roman"/>
          <w:sz w:val="24"/>
          <w:szCs w:val="24"/>
        </w:rPr>
        <w:t xml:space="preserve"> show</w:t>
      </w:r>
      <w:r>
        <w:rPr>
          <w:rFonts w:ascii="Times New Roman" w:hAnsi="Times New Roman"/>
          <w:sz w:val="24"/>
          <w:szCs w:val="24"/>
        </w:rPr>
        <w:t>s</w:t>
      </w:r>
      <w:r w:rsidRPr="00592086">
        <w:rPr>
          <w:rFonts w:ascii="Times New Roman" w:hAnsi="Times New Roman"/>
          <w:sz w:val="24"/>
          <w:szCs w:val="24"/>
        </w:rPr>
        <w:t xml:space="preserve"> that own lagged oil returns for the oil st</w:t>
      </w:r>
      <w:r>
        <w:rPr>
          <w:rFonts w:ascii="Times New Roman" w:hAnsi="Times New Roman"/>
          <w:sz w:val="24"/>
          <w:szCs w:val="24"/>
        </w:rPr>
        <w:t>o</w:t>
      </w:r>
      <w:r w:rsidRPr="00592086">
        <w:rPr>
          <w:rFonts w:ascii="Times New Roman" w:hAnsi="Times New Roman"/>
          <w:sz w:val="24"/>
          <w:szCs w:val="24"/>
        </w:rPr>
        <w:t>ck pairs are statistically significant for oil-</w:t>
      </w:r>
      <w:proofErr w:type="spellStart"/>
      <w:r w:rsidRPr="00592086">
        <w:rPr>
          <w:rFonts w:ascii="Times New Roman" w:hAnsi="Times New Roman"/>
          <w:sz w:val="24"/>
          <w:szCs w:val="24"/>
        </w:rPr>
        <w:t>agric</w:t>
      </w:r>
      <w:proofErr w:type="spellEnd"/>
      <w:r w:rsidRPr="00592086">
        <w:rPr>
          <w:rFonts w:ascii="Times New Roman" w:hAnsi="Times New Roman"/>
          <w:sz w:val="24"/>
          <w:szCs w:val="24"/>
        </w:rPr>
        <w:t>, oil-construction, oil-financial services, oil-</w:t>
      </w:r>
      <w:proofErr w:type="spellStart"/>
      <w:r w:rsidRPr="00592086">
        <w:rPr>
          <w:rFonts w:ascii="Times New Roman" w:hAnsi="Times New Roman"/>
          <w:sz w:val="24"/>
          <w:szCs w:val="24"/>
        </w:rPr>
        <w:t>ict</w:t>
      </w:r>
      <w:proofErr w:type="spellEnd"/>
      <w:r w:rsidRPr="00592086">
        <w:rPr>
          <w:rFonts w:ascii="Times New Roman" w:hAnsi="Times New Roman"/>
          <w:sz w:val="24"/>
          <w:szCs w:val="24"/>
        </w:rPr>
        <w:t xml:space="preserve">, oil-natural resources, and oil-services pairs. This indicates that investors take into consideration the immediate past information of individual market </w:t>
      </w:r>
      <w:r>
        <w:rPr>
          <w:rFonts w:ascii="Times New Roman" w:hAnsi="Times New Roman"/>
          <w:sz w:val="24"/>
          <w:szCs w:val="24"/>
        </w:rPr>
        <w:t xml:space="preserve">returns </w:t>
      </w:r>
      <w:r w:rsidRPr="00592086">
        <w:rPr>
          <w:rFonts w:ascii="Times New Roman" w:hAnsi="Times New Roman"/>
          <w:sz w:val="24"/>
          <w:szCs w:val="24"/>
        </w:rPr>
        <w:t xml:space="preserve">in their investment decision making process. However, the own lagged oil returns </w:t>
      </w:r>
      <w:proofErr w:type="gramStart"/>
      <w:r>
        <w:rPr>
          <w:rFonts w:ascii="Times New Roman" w:hAnsi="Times New Roman"/>
          <w:sz w:val="24"/>
          <w:szCs w:val="24"/>
        </w:rPr>
        <w:t>does</w:t>
      </w:r>
      <w:proofErr w:type="gramEnd"/>
      <w:r>
        <w:rPr>
          <w:rFonts w:ascii="Times New Roman" w:hAnsi="Times New Roman"/>
          <w:sz w:val="24"/>
          <w:szCs w:val="24"/>
        </w:rPr>
        <w:t xml:space="preserve"> not have any </w:t>
      </w:r>
      <w:r w:rsidRPr="00592086">
        <w:rPr>
          <w:rFonts w:ascii="Times New Roman" w:hAnsi="Times New Roman"/>
          <w:sz w:val="24"/>
          <w:szCs w:val="24"/>
        </w:rPr>
        <w:t xml:space="preserve">significantly </w:t>
      </w:r>
      <w:r>
        <w:rPr>
          <w:rFonts w:ascii="Times New Roman" w:hAnsi="Times New Roman"/>
          <w:sz w:val="24"/>
          <w:szCs w:val="24"/>
        </w:rPr>
        <w:t xml:space="preserve">effect on </w:t>
      </w:r>
      <w:r w:rsidRPr="00592086">
        <w:rPr>
          <w:rFonts w:ascii="Times New Roman" w:hAnsi="Times New Roman"/>
          <w:sz w:val="24"/>
          <w:szCs w:val="24"/>
        </w:rPr>
        <w:t>the remaining oil-stock pairs for oil-conglomerates, oil-consumer goods, oil-healthcare, oil-industri</w:t>
      </w:r>
      <w:r>
        <w:rPr>
          <w:rFonts w:ascii="Times New Roman" w:hAnsi="Times New Roman"/>
          <w:sz w:val="24"/>
          <w:szCs w:val="24"/>
        </w:rPr>
        <w:t xml:space="preserve">al goods and oil-oil/gas pairs which means that immediate past returns have no effect on investment </w:t>
      </w:r>
      <w:proofErr w:type="spellStart"/>
      <w:r>
        <w:rPr>
          <w:rFonts w:ascii="Times New Roman" w:hAnsi="Times New Roman"/>
          <w:sz w:val="24"/>
          <w:szCs w:val="24"/>
        </w:rPr>
        <w:t>behaviour</w:t>
      </w:r>
      <w:proofErr w:type="spellEnd"/>
      <w:r>
        <w:rPr>
          <w:rFonts w:ascii="Times New Roman" w:hAnsi="Times New Roman"/>
          <w:sz w:val="24"/>
          <w:szCs w:val="24"/>
        </w:rPr>
        <w:t xml:space="preserve"> at present.</w:t>
      </w:r>
    </w:p>
    <w:p w14:paraId="2B190D6B" w14:textId="4387A028" w:rsidR="0048466B" w:rsidRDefault="00047399" w:rsidP="009F2198">
      <w:pPr>
        <w:spacing w:line="240" w:lineRule="auto"/>
        <w:ind w:left="-540"/>
        <w:rPr>
          <w:rFonts w:ascii="Times New Roman" w:hAnsi="Times New Roman"/>
          <w:sz w:val="24"/>
          <w:szCs w:val="24"/>
        </w:rPr>
      </w:pPr>
      <w:r w:rsidRPr="00592086">
        <w:rPr>
          <w:rFonts w:ascii="Times New Roman" w:hAnsi="Times New Roman"/>
          <w:sz w:val="24"/>
          <w:szCs w:val="24"/>
        </w:rPr>
        <w:t xml:space="preserve">Turning to the industrial sectors, we observe significant effect of own lagged returns on current returns in construction/real estate, financial services, </w:t>
      </w:r>
      <w:proofErr w:type="spellStart"/>
      <w:r w:rsidRPr="00592086">
        <w:rPr>
          <w:rFonts w:ascii="Times New Roman" w:hAnsi="Times New Roman"/>
          <w:sz w:val="24"/>
          <w:szCs w:val="24"/>
        </w:rPr>
        <w:t>Ict</w:t>
      </w:r>
      <w:proofErr w:type="spellEnd"/>
      <w:r w:rsidRPr="00592086">
        <w:rPr>
          <w:rFonts w:ascii="Times New Roman" w:hAnsi="Times New Roman"/>
          <w:sz w:val="24"/>
          <w:szCs w:val="24"/>
        </w:rPr>
        <w:t xml:space="preserve">, industrial goods, and oil and gas sectors indicating that the present returns on these sectors can be predicted based on their past returns. This is in line with Abdalla (2014) </w:t>
      </w:r>
      <w:proofErr w:type="spellStart"/>
      <w:r w:rsidRPr="00592086">
        <w:rPr>
          <w:rFonts w:ascii="Times New Roman" w:hAnsi="Times New Roman"/>
          <w:sz w:val="24"/>
          <w:szCs w:val="24"/>
        </w:rPr>
        <w:t>Abeng</w:t>
      </w:r>
      <w:proofErr w:type="spellEnd"/>
      <w:r w:rsidRPr="00592086">
        <w:rPr>
          <w:rFonts w:ascii="Times New Roman" w:hAnsi="Times New Roman"/>
          <w:sz w:val="24"/>
          <w:szCs w:val="24"/>
        </w:rPr>
        <w:t xml:space="preserve"> (2017). </w:t>
      </w:r>
      <w:r>
        <w:rPr>
          <w:rFonts w:ascii="Times New Roman" w:hAnsi="Times New Roman"/>
          <w:sz w:val="24"/>
          <w:szCs w:val="24"/>
        </w:rPr>
        <w:t xml:space="preserve"> This also means that returns are predicted from past realizations and thus are not informationally efficient according to the weak-form efficient market hypothesis as evidenced in the works of Elder and </w:t>
      </w:r>
      <w:proofErr w:type="spellStart"/>
      <w:r>
        <w:rPr>
          <w:rFonts w:ascii="Times New Roman" w:hAnsi="Times New Roman"/>
          <w:sz w:val="24"/>
          <w:szCs w:val="24"/>
        </w:rPr>
        <w:t>Serlites</w:t>
      </w:r>
      <w:proofErr w:type="spellEnd"/>
      <w:r>
        <w:rPr>
          <w:rFonts w:ascii="Times New Roman" w:hAnsi="Times New Roman"/>
          <w:sz w:val="24"/>
          <w:szCs w:val="24"/>
        </w:rPr>
        <w:t xml:space="preserve"> (2008), </w:t>
      </w:r>
      <w:proofErr w:type="spellStart"/>
      <w:r>
        <w:rPr>
          <w:rFonts w:ascii="Times New Roman" w:hAnsi="Times New Roman"/>
          <w:sz w:val="24"/>
          <w:szCs w:val="24"/>
        </w:rPr>
        <w:t>Arouri</w:t>
      </w:r>
      <w:proofErr w:type="spellEnd"/>
      <w:r>
        <w:rPr>
          <w:rFonts w:ascii="Times New Roman" w:hAnsi="Times New Roman"/>
          <w:sz w:val="24"/>
          <w:szCs w:val="24"/>
        </w:rPr>
        <w:t xml:space="preserve"> et al, (2011)</w:t>
      </w:r>
      <w:r w:rsidR="00BC6166">
        <w:rPr>
          <w:rFonts w:ascii="Times New Roman" w:hAnsi="Times New Roman"/>
          <w:sz w:val="24"/>
          <w:szCs w:val="24"/>
        </w:rPr>
        <w:t>.</w:t>
      </w:r>
      <w:r>
        <w:rPr>
          <w:rFonts w:ascii="Times New Roman" w:hAnsi="Times New Roman"/>
          <w:sz w:val="24"/>
          <w:szCs w:val="24"/>
        </w:rPr>
        <w:t xml:space="preserve"> </w:t>
      </w:r>
      <w:r w:rsidRPr="00592086">
        <w:rPr>
          <w:rFonts w:ascii="Times New Roman" w:hAnsi="Times New Roman"/>
          <w:sz w:val="24"/>
          <w:szCs w:val="24"/>
        </w:rPr>
        <w:t>However, the own past returns on the remaining sectors are not statistically significant,</w:t>
      </w:r>
      <w:r>
        <w:rPr>
          <w:rFonts w:ascii="Times New Roman" w:hAnsi="Times New Roman"/>
          <w:sz w:val="24"/>
          <w:szCs w:val="24"/>
        </w:rPr>
        <w:t xml:space="preserve"> going by their probability valu</w:t>
      </w:r>
      <w:r w:rsidRPr="00592086">
        <w:rPr>
          <w:rFonts w:ascii="Times New Roman" w:hAnsi="Times New Roman"/>
          <w:sz w:val="24"/>
          <w:szCs w:val="24"/>
        </w:rPr>
        <w:t xml:space="preserve">es. The results of the main equation also indicate evidence of </w:t>
      </w:r>
      <w:r w:rsidR="00085DAE" w:rsidRPr="00592086">
        <w:rPr>
          <w:rFonts w:ascii="Times New Roman" w:hAnsi="Times New Roman"/>
          <w:sz w:val="24"/>
          <w:szCs w:val="24"/>
        </w:rPr>
        <w:t>short-term</w:t>
      </w:r>
      <w:r w:rsidRPr="00592086">
        <w:rPr>
          <w:rFonts w:ascii="Times New Roman" w:hAnsi="Times New Roman"/>
          <w:sz w:val="24"/>
          <w:szCs w:val="24"/>
        </w:rPr>
        <w:t xml:space="preserve"> price predictability in sector price changes which is consistent with existing literature; </w:t>
      </w:r>
      <w:proofErr w:type="spellStart"/>
      <w:r w:rsidRPr="00592086">
        <w:rPr>
          <w:rFonts w:ascii="Times New Roman" w:hAnsi="Times New Roman"/>
          <w:sz w:val="24"/>
          <w:szCs w:val="24"/>
        </w:rPr>
        <w:t>Arouri</w:t>
      </w:r>
      <w:proofErr w:type="spellEnd"/>
      <w:r w:rsidRPr="00592086">
        <w:rPr>
          <w:rFonts w:ascii="Times New Roman" w:hAnsi="Times New Roman"/>
          <w:sz w:val="24"/>
          <w:szCs w:val="24"/>
        </w:rPr>
        <w:t xml:space="preserve"> and Nguyen 2010, </w:t>
      </w:r>
      <w:proofErr w:type="spellStart"/>
      <w:r w:rsidRPr="00592086">
        <w:rPr>
          <w:rFonts w:ascii="Times New Roman" w:hAnsi="Times New Roman"/>
          <w:sz w:val="24"/>
          <w:szCs w:val="24"/>
        </w:rPr>
        <w:t>Arourietal</w:t>
      </w:r>
      <w:proofErr w:type="spellEnd"/>
      <w:r w:rsidRPr="00592086">
        <w:rPr>
          <w:rFonts w:ascii="Times New Roman" w:hAnsi="Times New Roman"/>
          <w:sz w:val="24"/>
          <w:szCs w:val="24"/>
        </w:rPr>
        <w:t xml:space="preserve"> </w:t>
      </w:r>
      <w:r>
        <w:rPr>
          <w:rFonts w:ascii="Times New Roman" w:hAnsi="Times New Roman"/>
          <w:sz w:val="24"/>
          <w:szCs w:val="24"/>
        </w:rPr>
        <w:t>(</w:t>
      </w:r>
      <w:r w:rsidRPr="00592086">
        <w:rPr>
          <w:rFonts w:ascii="Times New Roman" w:hAnsi="Times New Roman"/>
          <w:sz w:val="24"/>
          <w:szCs w:val="24"/>
        </w:rPr>
        <w:t>2012</w:t>
      </w:r>
      <w:r>
        <w:rPr>
          <w:rFonts w:ascii="Times New Roman" w:hAnsi="Times New Roman"/>
          <w:sz w:val="24"/>
          <w:szCs w:val="24"/>
        </w:rPr>
        <w:t>)</w:t>
      </w:r>
      <w:r w:rsidRPr="00592086">
        <w:rPr>
          <w:rFonts w:ascii="Times New Roman" w:hAnsi="Times New Roman"/>
          <w:sz w:val="24"/>
          <w:szCs w:val="24"/>
        </w:rPr>
        <w:t>, Malik and Rashid (2017)</w:t>
      </w:r>
      <w:r>
        <w:rPr>
          <w:rFonts w:ascii="Times New Roman" w:hAnsi="Times New Roman"/>
          <w:sz w:val="24"/>
          <w:szCs w:val="24"/>
        </w:rPr>
        <w:t xml:space="preserve">. This means that returns </w:t>
      </w:r>
      <w:r w:rsidR="00BC6166">
        <w:rPr>
          <w:rFonts w:ascii="Times New Roman" w:hAnsi="Times New Roman"/>
          <w:sz w:val="24"/>
          <w:szCs w:val="24"/>
        </w:rPr>
        <w:t>o</w:t>
      </w:r>
      <w:r>
        <w:rPr>
          <w:rFonts w:ascii="Times New Roman" w:hAnsi="Times New Roman"/>
          <w:sz w:val="24"/>
          <w:szCs w:val="24"/>
        </w:rPr>
        <w:t xml:space="preserve">n these sectors can be predicted using the immediate previous returns   </w:t>
      </w:r>
      <w:r w:rsidRPr="00592086">
        <w:rPr>
          <w:rFonts w:ascii="Times New Roman" w:hAnsi="Times New Roman"/>
          <w:sz w:val="24"/>
          <w:szCs w:val="24"/>
        </w:rPr>
        <w:t>Regarding to return spillover effects, we observe significant returns spillover from each of the sector indices to oil market for agriculture, construction, consumer goods, financial services, ICT, natural resources, oil and gas and the services sector. This means tha</w:t>
      </w:r>
      <w:r>
        <w:rPr>
          <w:rFonts w:ascii="Times New Roman" w:hAnsi="Times New Roman"/>
          <w:sz w:val="24"/>
          <w:szCs w:val="24"/>
        </w:rPr>
        <w:t xml:space="preserve">t the returns </w:t>
      </w:r>
      <w:r w:rsidR="00BC6166">
        <w:rPr>
          <w:rFonts w:ascii="Times New Roman" w:hAnsi="Times New Roman"/>
          <w:sz w:val="24"/>
          <w:szCs w:val="24"/>
        </w:rPr>
        <w:t>o</w:t>
      </w:r>
      <w:r>
        <w:rPr>
          <w:rFonts w:ascii="Times New Roman" w:hAnsi="Times New Roman"/>
          <w:sz w:val="24"/>
          <w:szCs w:val="24"/>
        </w:rPr>
        <w:t xml:space="preserve">n the oil market </w:t>
      </w:r>
      <w:r w:rsidR="00BC6166">
        <w:rPr>
          <w:rFonts w:ascii="Times New Roman" w:hAnsi="Times New Roman"/>
          <w:sz w:val="24"/>
          <w:szCs w:val="24"/>
        </w:rPr>
        <w:t>were</w:t>
      </w:r>
      <w:r w:rsidRPr="00592086">
        <w:rPr>
          <w:rFonts w:ascii="Times New Roman" w:hAnsi="Times New Roman"/>
          <w:sz w:val="24"/>
          <w:szCs w:val="24"/>
        </w:rPr>
        <w:t xml:space="preserve"> influenced by the returns in these sectors, though magnitudes of the estimated parameters </w:t>
      </w:r>
      <w:r w:rsidR="00BC6166">
        <w:rPr>
          <w:rFonts w:ascii="Times New Roman" w:hAnsi="Times New Roman"/>
          <w:sz w:val="24"/>
          <w:szCs w:val="24"/>
        </w:rPr>
        <w:t>wer</w:t>
      </w:r>
      <w:r w:rsidRPr="00592086">
        <w:rPr>
          <w:rFonts w:ascii="Times New Roman" w:hAnsi="Times New Roman"/>
          <w:sz w:val="24"/>
          <w:szCs w:val="24"/>
        </w:rPr>
        <w:t xml:space="preserve">e very low suggesting very weak </w:t>
      </w:r>
      <w:r w:rsidRPr="00592086">
        <w:rPr>
          <w:rFonts w:ascii="Times New Roman" w:hAnsi="Times New Roman"/>
          <w:sz w:val="24"/>
          <w:szCs w:val="24"/>
        </w:rPr>
        <w:lastRenderedPageBreak/>
        <w:t xml:space="preserve">spillovers. The return spillover from conglomerates Health care, Industrial goods however, does not have any significant effect on oil market returns going by the respective </w:t>
      </w:r>
      <w:r>
        <w:rPr>
          <w:rFonts w:ascii="Times New Roman" w:hAnsi="Times New Roman"/>
          <w:sz w:val="24"/>
          <w:szCs w:val="24"/>
        </w:rPr>
        <w:t>probability</w:t>
      </w:r>
      <w:r w:rsidRPr="00592086">
        <w:rPr>
          <w:rFonts w:ascii="Times New Roman" w:hAnsi="Times New Roman"/>
          <w:sz w:val="24"/>
          <w:szCs w:val="24"/>
        </w:rPr>
        <w:t xml:space="preserve"> values. Th</w:t>
      </w:r>
      <w:r>
        <w:rPr>
          <w:rFonts w:ascii="Times New Roman" w:hAnsi="Times New Roman"/>
          <w:sz w:val="24"/>
          <w:szCs w:val="24"/>
        </w:rPr>
        <w:t>e</w:t>
      </w:r>
      <w:r w:rsidRPr="00592086">
        <w:rPr>
          <w:rFonts w:ascii="Times New Roman" w:hAnsi="Times New Roman"/>
          <w:sz w:val="24"/>
          <w:szCs w:val="24"/>
        </w:rPr>
        <w:t>s</w:t>
      </w:r>
      <w:r>
        <w:rPr>
          <w:rFonts w:ascii="Times New Roman" w:hAnsi="Times New Roman"/>
          <w:sz w:val="24"/>
          <w:szCs w:val="24"/>
        </w:rPr>
        <w:t>e</w:t>
      </w:r>
      <w:r w:rsidRPr="00592086">
        <w:rPr>
          <w:rFonts w:ascii="Times New Roman" w:hAnsi="Times New Roman"/>
          <w:sz w:val="24"/>
          <w:szCs w:val="24"/>
        </w:rPr>
        <w:t xml:space="preserve"> findings suggest</w:t>
      </w:r>
      <w:r w:rsidR="00BC6166">
        <w:rPr>
          <w:rFonts w:ascii="Times New Roman" w:hAnsi="Times New Roman"/>
          <w:sz w:val="24"/>
          <w:szCs w:val="24"/>
        </w:rPr>
        <w:t>ed</w:t>
      </w:r>
      <w:r w:rsidRPr="00592086">
        <w:rPr>
          <w:rFonts w:ascii="Times New Roman" w:hAnsi="Times New Roman"/>
          <w:sz w:val="24"/>
          <w:szCs w:val="24"/>
        </w:rPr>
        <w:t xml:space="preserve"> that a b</w:t>
      </w:r>
      <w:r>
        <w:rPr>
          <w:rFonts w:ascii="Times New Roman" w:hAnsi="Times New Roman"/>
          <w:sz w:val="24"/>
          <w:szCs w:val="24"/>
        </w:rPr>
        <w:t>oom</w:t>
      </w:r>
      <w:r w:rsidRPr="00592086">
        <w:rPr>
          <w:rFonts w:ascii="Times New Roman" w:hAnsi="Times New Roman"/>
          <w:sz w:val="24"/>
          <w:szCs w:val="24"/>
        </w:rPr>
        <w:t xml:space="preserve"> in the Nigerian stock market may lead to increase in return in the oil market</w:t>
      </w:r>
      <w:r w:rsidRPr="00085DAE">
        <w:rPr>
          <w:rFonts w:ascii="Times New Roman" w:hAnsi="Times New Roman"/>
          <w:sz w:val="24"/>
          <w:szCs w:val="24"/>
        </w:rPr>
        <w:t xml:space="preserve">. This also </w:t>
      </w:r>
      <w:r w:rsidR="00BC6166" w:rsidRPr="00085DAE">
        <w:rPr>
          <w:rFonts w:ascii="Times New Roman" w:hAnsi="Times New Roman"/>
          <w:sz w:val="24"/>
          <w:szCs w:val="24"/>
        </w:rPr>
        <w:t>indicates</w:t>
      </w:r>
      <w:r w:rsidR="00BC6166">
        <w:rPr>
          <w:rFonts w:ascii="Times New Roman" w:hAnsi="Times New Roman"/>
          <w:sz w:val="24"/>
          <w:szCs w:val="24"/>
        </w:rPr>
        <w:t xml:space="preserve"> </w:t>
      </w:r>
      <w:r w:rsidRPr="00592086">
        <w:rPr>
          <w:rFonts w:ascii="Times New Roman" w:hAnsi="Times New Roman"/>
          <w:sz w:val="24"/>
          <w:szCs w:val="24"/>
        </w:rPr>
        <w:t>a signal to investors, to plan their investment decisions</w:t>
      </w:r>
      <w:r>
        <w:rPr>
          <w:rFonts w:ascii="Times New Roman" w:hAnsi="Times New Roman"/>
          <w:sz w:val="24"/>
          <w:szCs w:val="24"/>
        </w:rPr>
        <w:t xml:space="preserve"> ahead</w:t>
      </w:r>
      <w:r w:rsidRPr="00592086">
        <w:rPr>
          <w:rFonts w:ascii="Times New Roman" w:hAnsi="Times New Roman"/>
          <w:sz w:val="24"/>
          <w:szCs w:val="24"/>
        </w:rPr>
        <w:t xml:space="preserve">. </w:t>
      </w:r>
    </w:p>
    <w:p w14:paraId="74BE3227" w14:textId="50B1A61B" w:rsidR="00BC6166" w:rsidRDefault="00047399" w:rsidP="009F2198">
      <w:pPr>
        <w:spacing w:line="240" w:lineRule="auto"/>
        <w:ind w:left="-540"/>
        <w:rPr>
          <w:rFonts w:ascii="Times New Roman" w:eastAsia="Times New Roman" w:hAnsi="Times New Roman"/>
          <w:color w:val="000000"/>
          <w:sz w:val="24"/>
          <w:szCs w:val="24"/>
        </w:rPr>
      </w:pPr>
      <w:r w:rsidRPr="00592086">
        <w:rPr>
          <w:rFonts w:ascii="Times New Roman" w:hAnsi="Times New Roman"/>
          <w:sz w:val="24"/>
          <w:szCs w:val="24"/>
        </w:rPr>
        <w:t>In the same vein, the return spillover from oil market to the sector stock indices indicate</w:t>
      </w:r>
      <w:r w:rsidR="00BC6166">
        <w:rPr>
          <w:rFonts w:ascii="Times New Roman" w:hAnsi="Times New Roman"/>
          <w:sz w:val="24"/>
          <w:szCs w:val="24"/>
        </w:rPr>
        <w:t>d</w:t>
      </w:r>
      <w:r w:rsidRPr="00592086">
        <w:rPr>
          <w:rFonts w:ascii="Times New Roman" w:hAnsi="Times New Roman"/>
          <w:sz w:val="24"/>
          <w:szCs w:val="24"/>
        </w:rPr>
        <w:t xml:space="preserve"> significant results. This means that the return on </w:t>
      </w:r>
      <w:r>
        <w:rPr>
          <w:rFonts w:ascii="Times New Roman" w:hAnsi="Times New Roman"/>
          <w:sz w:val="24"/>
          <w:szCs w:val="24"/>
        </w:rPr>
        <w:t xml:space="preserve">investment on the </w:t>
      </w:r>
      <w:r w:rsidRPr="00592086">
        <w:rPr>
          <w:rFonts w:ascii="Times New Roman" w:hAnsi="Times New Roman"/>
          <w:sz w:val="24"/>
          <w:szCs w:val="24"/>
        </w:rPr>
        <w:t xml:space="preserve">oil </w:t>
      </w:r>
      <w:r>
        <w:rPr>
          <w:rFonts w:ascii="Times New Roman" w:hAnsi="Times New Roman"/>
          <w:sz w:val="24"/>
          <w:szCs w:val="24"/>
        </w:rPr>
        <w:t xml:space="preserve">market </w:t>
      </w:r>
      <w:r w:rsidRPr="00592086">
        <w:rPr>
          <w:rFonts w:ascii="Times New Roman" w:hAnsi="Times New Roman"/>
          <w:sz w:val="24"/>
          <w:szCs w:val="24"/>
        </w:rPr>
        <w:t xml:space="preserve">significantly affect the returns on the sector on the Nigerian stock market. Very significant values </w:t>
      </w:r>
      <w:r w:rsidR="00BC6166">
        <w:rPr>
          <w:rFonts w:ascii="Times New Roman" w:hAnsi="Times New Roman"/>
          <w:sz w:val="24"/>
          <w:szCs w:val="24"/>
        </w:rPr>
        <w:t>we</w:t>
      </w:r>
      <w:r w:rsidRPr="00592086">
        <w:rPr>
          <w:rFonts w:ascii="Times New Roman" w:hAnsi="Times New Roman"/>
          <w:sz w:val="24"/>
          <w:szCs w:val="24"/>
        </w:rPr>
        <w:t xml:space="preserve">re for specific sectors such as agriculture, consumer goods, financial services and construction and real estate. For instance, a one unit change </w:t>
      </w:r>
      <w:r>
        <w:rPr>
          <w:rFonts w:ascii="Times New Roman" w:hAnsi="Times New Roman"/>
          <w:sz w:val="24"/>
          <w:szCs w:val="24"/>
        </w:rPr>
        <w:t xml:space="preserve">in returns </w:t>
      </w:r>
      <w:r w:rsidRPr="00592086">
        <w:rPr>
          <w:rFonts w:ascii="Times New Roman" w:hAnsi="Times New Roman"/>
          <w:sz w:val="24"/>
          <w:szCs w:val="24"/>
        </w:rPr>
        <w:t xml:space="preserve">in the oil market will cause the financial service sector return to rise by about </w:t>
      </w:r>
      <w:r>
        <w:rPr>
          <w:rFonts w:ascii="Times New Roman" w:hAnsi="Times New Roman"/>
          <w:sz w:val="24"/>
          <w:szCs w:val="24"/>
        </w:rPr>
        <w:t>.03</w:t>
      </w:r>
      <w:r w:rsidRPr="00592086">
        <w:rPr>
          <w:rFonts w:ascii="Times New Roman" w:hAnsi="Times New Roman"/>
          <w:sz w:val="24"/>
          <w:szCs w:val="24"/>
        </w:rPr>
        <w:t>%, while that of the consumer go</w:t>
      </w:r>
      <w:r>
        <w:rPr>
          <w:rFonts w:ascii="Times New Roman" w:hAnsi="Times New Roman"/>
          <w:sz w:val="24"/>
          <w:szCs w:val="24"/>
        </w:rPr>
        <w:t>o</w:t>
      </w:r>
      <w:r w:rsidRPr="00592086">
        <w:rPr>
          <w:rFonts w:ascii="Times New Roman" w:hAnsi="Times New Roman"/>
          <w:sz w:val="24"/>
          <w:szCs w:val="24"/>
        </w:rPr>
        <w:t xml:space="preserve">ds is </w:t>
      </w:r>
      <w:r>
        <w:rPr>
          <w:rFonts w:ascii="Times New Roman" w:hAnsi="Times New Roman"/>
          <w:sz w:val="24"/>
          <w:szCs w:val="24"/>
        </w:rPr>
        <w:t>0.2</w:t>
      </w:r>
      <w:r w:rsidRPr="00592086">
        <w:rPr>
          <w:rFonts w:ascii="Times New Roman" w:hAnsi="Times New Roman"/>
          <w:sz w:val="24"/>
          <w:szCs w:val="24"/>
        </w:rPr>
        <w:t xml:space="preserve">%. This result </w:t>
      </w:r>
      <w:r w:rsidR="00BC6166">
        <w:rPr>
          <w:rFonts w:ascii="Times New Roman" w:hAnsi="Times New Roman"/>
          <w:sz w:val="24"/>
          <w:szCs w:val="24"/>
        </w:rPr>
        <w:t>was</w:t>
      </w:r>
      <w:r w:rsidRPr="00592086">
        <w:rPr>
          <w:rFonts w:ascii="Times New Roman" w:hAnsi="Times New Roman"/>
          <w:sz w:val="24"/>
          <w:szCs w:val="24"/>
        </w:rPr>
        <w:t xml:space="preserve"> not however surprising due to the reliance of th</w:t>
      </w:r>
      <w:r>
        <w:rPr>
          <w:rFonts w:ascii="Times New Roman" w:hAnsi="Times New Roman"/>
          <w:sz w:val="24"/>
          <w:szCs w:val="24"/>
        </w:rPr>
        <w:t>ese</w:t>
      </w:r>
      <w:r w:rsidRPr="00592086">
        <w:rPr>
          <w:rFonts w:ascii="Times New Roman" w:hAnsi="Times New Roman"/>
          <w:sz w:val="24"/>
          <w:szCs w:val="24"/>
        </w:rPr>
        <w:t xml:space="preserve"> stock</w:t>
      </w:r>
      <w:r>
        <w:rPr>
          <w:rFonts w:ascii="Times New Roman" w:hAnsi="Times New Roman"/>
          <w:sz w:val="24"/>
          <w:szCs w:val="24"/>
        </w:rPr>
        <w:t>s</w:t>
      </w:r>
      <w:r w:rsidRPr="00592086">
        <w:rPr>
          <w:rFonts w:ascii="Times New Roman" w:hAnsi="Times New Roman"/>
          <w:sz w:val="24"/>
          <w:szCs w:val="24"/>
        </w:rPr>
        <w:t xml:space="preserve"> on oil</w:t>
      </w:r>
      <w:r>
        <w:rPr>
          <w:rFonts w:ascii="Times New Roman" w:hAnsi="Times New Roman"/>
          <w:sz w:val="24"/>
          <w:szCs w:val="24"/>
        </w:rPr>
        <w:t xml:space="preserve">. </w:t>
      </w:r>
      <w:r w:rsidRPr="00592086">
        <w:rPr>
          <w:rFonts w:ascii="Times New Roman" w:hAnsi="Times New Roman"/>
          <w:sz w:val="24"/>
          <w:szCs w:val="24"/>
        </w:rPr>
        <w:t xml:space="preserve"> Also, sector stock returns can be predicted by looking at the returns in the oil market going by the results we have seen. </w:t>
      </w:r>
      <w:r w:rsidR="0048466B">
        <w:rPr>
          <w:rFonts w:ascii="Times New Roman" w:hAnsi="Times New Roman"/>
          <w:sz w:val="24"/>
          <w:szCs w:val="24"/>
        </w:rPr>
        <w:t xml:space="preserve"> </w:t>
      </w:r>
      <w:r w:rsidRPr="00AE4EA1">
        <w:rPr>
          <w:rFonts w:ascii="Times New Roman" w:eastAsia="Times New Roman" w:hAnsi="Times New Roman"/>
          <w:color w:val="000000"/>
          <w:sz w:val="24"/>
          <w:szCs w:val="24"/>
        </w:rPr>
        <w:t>From the table 4,</w:t>
      </w:r>
      <w:r w:rsidR="00BC6166">
        <w:rPr>
          <w:rFonts w:ascii="Times New Roman" w:eastAsia="Times New Roman" w:hAnsi="Times New Roman"/>
          <w:color w:val="000000"/>
          <w:sz w:val="24"/>
          <w:szCs w:val="24"/>
        </w:rPr>
        <w:t xml:space="preserve"> findings from the variance equation indicated</w:t>
      </w:r>
      <w:r w:rsidRPr="00AE4EA1">
        <w:rPr>
          <w:rFonts w:ascii="Times New Roman" w:eastAsia="Times New Roman" w:hAnsi="Times New Roman"/>
          <w:color w:val="000000"/>
          <w:sz w:val="24"/>
          <w:szCs w:val="24"/>
        </w:rPr>
        <w:t xml:space="preserve"> that the estimated values of th</w:t>
      </w:r>
      <w:r>
        <w:rPr>
          <w:rFonts w:ascii="Times New Roman" w:eastAsia="Times New Roman" w:hAnsi="Times New Roman"/>
          <w:color w:val="000000"/>
          <w:sz w:val="24"/>
          <w:szCs w:val="24"/>
        </w:rPr>
        <w:t>e ARCH and GACH coefficients (</w:t>
      </w:r>
      <w:r w:rsidR="00BC6166">
        <w:rPr>
          <w:rFonts w:ascii="Times New Roman" w:eastAsia="Times New Roman" w:hAnsi="Times New Roman"/>
          <w:color w:val="000000"/>
          <w:sz w:val="24"/>
          <w:szCs w:val="24"/>
        </w:rPr>
        <w:t>short- and long-term</w:t>
      </w:r>
      <w:r>
        <w:rPr>
          <w:rFonts w:ascii="Times New Roman" w:eastAsia="Times New Roman" w:hAnsi="Times New Roman"/>
          <w:color w:val="000000"/>
          <w:sz w:val="24"/>
          <w:szCs w:val="24"/>
        </w:rPr>
        <w:t xml:space="preserve"> distortions</w:t>
      </w:r>
      <w:r w:rsidRPr="00AE4EA1">
        <w:rPr>
          <w:rFonts w:ascii="Times New Roman" w:eastAsia="Times New Roman" w:hAnsi="Times New Roman"/>
          <w:color w:val="000000"/>
          <w:sz w:val="24"/>
          <w:szCs w:val="24"/>
        </w:rPr>
        <w:t xml:space="preserve">) are all significant for the brent oil in all the oil-stock pairs. This indicates that volatility of the oil market is driven by its own stock and volatility. Volatility persistence is very high for the oil market compared to the stock market. This suggests that future volatility in the oil market can be predicted from its past volatility up to about </w:t>
      </w:r>
      <w:r>
        <w:rPr>
          <w:rFonts w:ascii="Times New Roman" w:eastAsia="Times New Roman" w:hAnsi="Times New Roman"/>
          <w:color w:val="000000"/>
          <w:sz w:val="24"/>
          <w:szCs w:val="24"/>
        </w:rPr>
        <w:t xml:space="preserve">0.98%. This is in line with Kalu </w:t>
      </w:r>
      <w:r w:rsidRPr="00AE4EA1">
        <w:rPr>
          <w:rFonts w:ascii="Times New Roman" w:eastAsia="Times New Roman" w:hAnsi="Times New Roman"/>
          <w:color w:val="000000"/>
          <w:sz w:val="24"/>
          <w:szCs w:val="24"/>
        </w:rPr>
        <w:t>(2015) Malik and Rashid (2017)</w:t>
      </w:r>
      <w:r w:rsidR="00BC6166">
        <w:rPr>
          <w:rFonts w:ascii="Times New Roman" w:eastAsia="Times New Roman" w:hAnsi="Times New Roman"/>
          <w:color w:val="000000"/>
          <w:sz w:val="24"/>
          <w:szCs w:val="24"/>
        </w:rPr>
        <w:t xml:space="preserve">, as well as </w:t>
      </w:r>
      <w:proofErr w:type="spellStart"/>
      <w:r>
        <w:rPr>
          <w:rFonts w:ascii="Times New Roman" w:eastAsia="Times New Roman" w:hAnsi="Times New Roman"/>
          <w:color w:val="000000"/>
          <w:sz w:val="24"/>
          <w:szCs w:val="24"/>
        </w:rPr>
        <w:t>U</w:t>
      </w:r>
      <w:r w:rsidRPr="00AE4EA1">
        <w:rPr>
          <w:rFonts w:ascii="Times New Roman" w:eastAsia="Times New Roman" w:hAnsi="Times New Roman"/>
          <w:color w:val="000000"/>
          <w:sz w:val="24"/>
          <w:szCs w:val="24"/>
        </w:rPr>
        <w:t>nm</w:t>
      </w:r>
      <w:proofErr w:type="spellEnd"/>
      <w:r w:rsidRPr="00AE4EA1">
        <w:rPr>
          <w:rFonts w:ascii="Times New Roman" w:eastAsia="Times New Roman" w:hAnsi="Times New Roman"/>
          <w:color w:val="000000"/>
          <w:sz w:val="24"/>
          <w:szCs w:val="24"/>
        </w:rPr>
        <w:t xml:space="preserve"> and Zhang (2020). </w:t>
      </w:r>
    </w:p>
    <w:p w14:paraId="7B248082" w14:textId="277EE547" w:rsidR="0048466B" w:rsidRDefault="00047399" w:rsidP="009F2198">
      <w:pPr>
        <w:spacing w:line="240" w:lineRule="auto"/>
        <w:ind w:left="-540"/>
        <w:rPr>
          <w:rFonts w:ascii="Times New Roman" w:hAnsi="Times New Roman"/>
          <w:sz w:val="24"/>
          <w:szCs w:val="24"/>
        </w:rPr>
      </w:pPr>
      <w:r w:rsidRPr="00AE4EA1">
        <w:rPr>
          <w:rFonts w:ascii="Times New Roman" w:eastAsia="Times New Roman" w:hAnsi="Times New Roman"/>
          <w:color w:val="000000"/>
          <w:sz w:val="24"/>
          <w:szCs w:val="24"/>
        </w:rPr>
        <w:t>For the volatility of the stock sectors are fueled by their own stocks (ARCH) in</w:t>
      </w:r>
      <w:r>
        <w:rPr>
          <w:rFonts w:ascii="Times New Roman" w:eastAsia="Times New Roman" w:hAnsi="Times New Roman"/>
          <w:color w:val="000000"/>
          <w:sz w:val="24"/>
          <w:szCs w:val="24"/>
        </w:rPr>
        <w:t xml:space="preserve"> all sectors with the highest b</w:t>
      </w:r>
      <w:r w:rsidRPr="00AE4EA1">
        <w:rPr>
          <w:rFonts w:ascii="Times New Roman" w:eastAsia="Times New Roman" w:hAnsi="Times New Roman"/>
          <w:color w:val="000000"/>
          <w:sz w:val="24"/>
          <w:szCs w:val="24"/>
        </w:rPr>
        <w:t xml:space="preserve">een agriculture </w:t>
      </w:r>
      <w:r>
        <w:rPr>
          <w:rFonts w:ascii="Times New Roman" w:eastAsia="Times New Roman" w:hAnsi="Times New Roman"/>
          <w:color w:val="000000"/>
          <w:sz w:val="24"/>
          <w:szCs w:val="24"/>
        </w:rPr>
        <w:t>0.91%, oil and gas over 1</w:t>
      </w:r>
      <w:r w:rsidRPr="00AE4EA1">
        <w:rPr>
          <w:rFonts w:ascii="Times New Roman" w:eastAsia="Times New Roman" w:hAnsi="Times New Roman"/>
          <w:color w:val="000000"/>
          <w:sz w:val="24"/>
          <w:szCs w:val="24"/>
        </w:rPr>
        <w:t xml:space="preserve">% industrial goods </w:t>
      </w:r>
      <w:r>
        <w:rPr>
          <w:rFonts w:ascii="Times New Roman" w:eastAsia="Times New Roman" w:hAnsi="Times New Roman"/>
          <w:color w:val="000000"/>
          <w:sz w:val="24"/>
          <w:szCs w:val="24"/>
        </w:rPr>
        <w:t>0.</w:t>
      </w:r>
      <w:r w:rsidRPr="00AE4EA1">
        <w:rPr>
          <w:rFonts w:ascii="Times New Roman" w:eastAsia="Times New Roman" w:hAnsi="Times New Roman"/>
          <w:color w:val="000000"/>
          <w:sz w:val="24"/>
          <w:szCs w:val="24"/>
        </w:rPr>
        <w:t>29% etc. Also</w:t>
      </w:r>
      <w:r w:rsidR="00BC6166">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 the sectors respond</w:t>
      </w:r>
      <w:r w:rsidR="00BC6166">
        <w:rPr>
          <w:rFonts w:ascii="Times New Roman" w:eastAsia="Times New Roman" w:hAnsi="Times New Roman"/>
          <w:color w:val="000000"/>
          <w:sz w:val="24"/>
          <w:szCs w:val="24"/>
        </w:rPr>
        <w:t>ed</w:t>
      </w:r>
      <w:r w:rsidRPr="00AE4EA1">
        <w:rPr>
          <w:rFonts w:ascii="Times New Roman" w:eastAsia="Times New Roman" w:hAnsi="Times New Roman"/>
          <w:color w:val="000000"/>
          <w:sz w:val="24"/>
          <w:szCs w:val="24"/>
        </w:rPr>
        <w:t xml:space="preserve"> significantly to own volatility or (GARCH) effects, though with low GARCH estimates. </w:t>
      </w:r>
      <w:r>
        <w:rPr>
          <w:rFonts w:ascii="Times New Roman" w:eastAsia="Times New Roman" w:hAnsi="Times New Roman"/>
          <w:color w:val="000000"/>
          <w:sz w:val="24"/>
          <w:szCs w:val="24"/>
        </w:rPr>
        <w:t xml:space="preserve">This means that sudden fall and rise in prices (price fluctuations) respond to the immediate past fluctuations in the previous </w:t>
      </w:r>
      <w:r>
        <w:rPr>
          <w:rFonts w:ascii="Times New Roman" w:eastAsia="Times New Roman" w:hAnsi="Times New Roman"/>
          <w:color w:val="000000"/>
          <w:sz w:val="24"/>
          <w:szCs w:val="24"/>
        </w:rPr>
        <w:t xml:space="preserve">period. </w:t>
      </w:r>
      <w:r w:rsidRPr="00AE4EA1">
        <w:rPr>
          <w:rFonts w:ascii="Times New Roman" w:eastAsia="Times New Roman" w:hAnsi="Times New Roman"/>
          <w:color w:val="000000"/>
          <w:sz w:val="24"/>
          <w:szCs w:val="24"/>
        </w:rPr>
        <w:t>Conversely, it can be seen that volatility of the stock market as represented by their sectors is</w:t>
      </w:r>
      <w:r>
        <w:rPr>
          <w:rFonts w:ascii="Times New Roman" w:eastAsia="Times New Roman" w:hAnsi="Times New Roman"/>
          <w:color w:val="000000"/>
          <w:sz w:val="24"/>
          <w:szCs w:val="24"/>
        </w:rPr>
        <w:t xml:space="preserve"> influenced more by their own price distortions</w:t>
      </w:r>
      <w:r w:rsidRPr="00AE4EA1">
        <w:rPr>
          <w:rFonts w:ascii="Times New Roman" w:eastAsia="Times New Roman" w:hAnsi="Times New Roman"/>
          <w:color w:val="000000"/>
          <w:sz w:val="24"/>
          <w:szCs w:val="24"/>
        </w:rPr>
        <w:t xml:space="preserve"> than their </w:t>
      </w:r>
      <w:r w:rsidR="00BC6166" w:rsidRPr="00AE4EA1">
        <w:rPr>
          <w:rFonts w:ascii="Times New Roman" w:eastAsia="Times New Roman" w:hAnsi="Times New Roman"/>
          <w:color w:val="000000"/>
          <w:sz w:val="24"/>
          <w:szCs w:val="24"/>
        </w:rPr>
        <w:t>long-term</w:t>
      </w:r>
      <w:r w:rsidRPr="00AE4EA1">
        <w:rPr>
          <w:rFonts w:ascii="Times New Roman" w:eastAsia="Times New Roman" w:hAnsi="Times New Roman"/>
          <w:color w:val="000000"/>
          <w:sz w:val="24"/>
          <w:szCs w:val="24"/>
        </w:rPr>
        <w:t xml:space="preserve"> volatility because the ARCH </w:t>
      </w:r>
      <w:r>
        <w:rPr>
          <w:rFonts w:ascii="Times New Roman" w:eastAsia="Times New Roman" w:hAnsi="Times New Roman"/>
          <w:color w:val="000000"/>
          <w:sz w:val="24"/>
          <w:szCs w:val="24"/>
        </w:rPr>
        <w:t xml:space="preserve">(short term) </w:t>
      </w:r>
      <w:r w:rsidRPr="00AE4EA1">
        <w:rPr>
          <w:rFonts w:ascii="Times New Roman" w:eastAsia="Times New Roman" w:hAnsi="Times New Roman"/>
          <w:color w:val="000000"/>
          <w:sz w:val="24"/>
          <w:szCs w:val="24"/>
        </w:rPr>
        <w:t xml:space="preserve">effects are far larger than the GARCH </w:t>
      </w:r>
      <w:r>
        <w:rPr>
          <w:rFonts w:ascii="Times New Roman" w:eastAsia="Times New Roman" w:hAnsi="Times New Roman"/>
          <w:color w:val="000000"/>
          <w:sz w:val="24"/>
          <w:szCs w:val="24"/>
        </w:rPr>
        <w:t xml:space="preserve">(long term) </w:t>
      </w:r>
      <w:r w:rsidRPr="00AE4EA1">
        <w:rPr>
          <w:rFonts w:ascii="Times New Roman" w:eastAsia="Times New Roman" w:hAnsi="Times New Roman"/>
          <w:color w:val="000000"/>
          <w:sz w:val="24"/>
          <w:szCs w:val="24"/>
        </w:rPr>
        <w:t>effects</w:t>
      </w:r>
      <w:r w:rsidR="00BC6166">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 This further suggests that investor</w:t>
      </w:r>
      <w:r>
        <w:rPr>
          <w:rFonts w:ascii="Times New Roman" w:eastAsia="Times New Roman" w:hAnsi="Times New Roman"/>
          <w:color w:val="000000"/>
          <w:sz w:val="24"/>
          <w:szCs w:val="24"/>
        </w:rPr>
        <w:t>s</w:t>
      </w:r>
      <w:r w:rsidRPr="00AE4EA1">
        <w:rPr>
          <w:rFonts w:ascii="Times New Roman" w:eastAsia="Times New Roman" w:hAnsi="Times New Roman"/>
          <w:color w:val="000000"/>
          <w:sz w:val="24"/>
          <w:szCs w:val="24"/>
        </w:rPr>
        <w:t>, f</w:t>
      </w:r>
      <w:r>
        <w:rPr>
          <w:rFonts w:ascii="Times New Roman" w:eastAsia="Times New Roman" w:hAnsi="Times New Roman"/>
          <w:color w:val="000000"/>
          <w:sz w:val="24"/>
          <w:szCs w:val="24"/>
        </w:rPr>
        <w:t>u</w:t>
      </w:r>
      <w:r w:rsidRPr="00AE4EA1">
        <w:rPr>
          <w:rFonts w:ascii="Times New Roman" w:eastAsia="Times New Roman" w:hAnsi="Times New Roman"/>
          <w:color w:val="000000"/>
          <w:sz w:val="24"/>
          <w:szCs w:val="24"/>
        </w:rPr>
        <w:t>nd manag</w:t>
      </w:r>
      <w:r>
        <w:rPr>
          <w:rFonts w:ascii="Times New Roman" w:eastAsia="Times New Roman" w:hAnsi="Times New Roman"/>
          <w:color w:val="000000"/>
          <w:sz w:val="24"/>
          <w:szCs w:val="24"/>
        </w:rPr>
        <w:t>ers, portfolio advisors take</w:t>
      </w:r>
      <w:r w:rsidRPr="00AE4EA1">
        <w:rPr>
          <w:rFonts w:ascii="Times New Roman" w:eastAsia="Times New Roman" w:hAnsi="Times New Roman"/>
          <w:color w:val="000000"/>
          <w:sz w:val="24"/>
          <w:szCs w:val="24"/>
        </w:rPr>
        <w:t xml:space="preserve"> into account, long term effects of </w:t>
      </w:r>
      <w:r>
        <w:rPr>
          <w:rFonts w:ascii="Times New Roman" w:eastAsia="Times New Roman" w:hAnsi="Times New Roman"/>
          <w:color w:val="000000"/>
          <w:sz w:val="24"/>
          <w:szCs w:val="24"/>
        </w:rPr>
        <w:t>price movements</w:t>
      </w:r>
      <w:r w:rsidRPr="00AE4EA1">
        <w:rPr>
          <w:rFonts w:ascii="Times New Roman" w:eastAsia="Times New Roman" w:hAnsi="Times New Roman"/>
          <w:color w:val="000000"/>
          <w:sz w:val="24"/>
          <w:szCs w:val="24"/>
        </w:rPr>
        <w:t xml:space="preserve"> when making investment decisions rather than short term effects. </w:t>
      </w:r>
    </w:p>
    <w:p w14:paraId="4262F5BC" w14:textId="4A3E360C" w:rsidR="0048466B" w:rsidRDefault="00047399" w:rsidP="009F2198">
      <w:pPr>
        <w:spacing w:line="240" w:lineRule="auto"/>
        <w:ind w:left="-540"/>
        <w:rPr>
          <w:rFonts w:ascii="Times New Roman" w:hAnsi="Times New Roman"/>
          <w:sz w:val="24"/>
          <w:szCs w:val="24"/>
        </w:rPr>
      </w:pPr>
      <w:r w:rsidRPr="00AE4EA1">
        <w:rPr>
          <w:rFonts w:ascii="Times New Roman" w:eastAsia="Times New Roman" w:hAnsi="Times New Roman"/>
          <w:color w:val="000000"/>
          <w:sz w:val="24"/>
          <w:szCs w:val="24"/>
        </w:rPr>
        <w:t xml:space="preserve">Turning to interdependence of shocks, we observe significant short term shock spillover from agriculture, oil and gas sector to oil market. This indicates that a shock </w:t>
      </w:r>
      <w:r>
        <w:rPr>
          <w:rFonts w:ascii="Times New Roman" w:eastAsia="Times New Roman" w:hAnsi="Times New Roman"/>
          <w:color w:val="000000"/>
          <w:sz w:val="24"/>
          <w:szCs w:val="24"/>
        </w:rPr>
        <w:t xml:space="preserve">(unexpected short term price movements) </w:t>
      </w:r>
      <w:r w:rsidRPr="00AE4EA1">
        <w:rPr>
          <w:rFonts w:ascii="Times New Roman" w:eastAsia="Times New Roman" w:hAnsi="Times New Roman"/>
          <w:color w:val="000000"/>
          <w:sz w:val="24"/>
          <w:szCs w:val="24"/>
        </w:rPr>
        <w:t>originating from these two sectors have the ability to affect a shock in the oil market. However, th</w:t>
      </w:r>
      <w:r>
        <w:rPr>
          <w:rFonts w:ascii="Times New Roman" w:eastAsia="Times New Roman" w:hAnsi="Times New Roman"/>
          <w:color w:val="000000"/>
          <w:sz w:val="24"/>
          <w:szCs w:val="24"/>
        </w:rPr>
        <w:t>e coefficients are very low at 0.2</w:t>
      </w:r>
      <w:r w:rsidRPr="00AE4EA1">
        <w:rPr>
          <w:rFonts w:ascii="Times New Roman" w:eastAsia="Times New Roman" w:hAnsi="Times New Roman"/>
          <w:color w:val="000000"/>
          <w:sz w:val="24"/>
          <w:szCs w:val="24"/>
        </w:rPr>
        <w:t>%</w:t>
      </w:r>
      <w:r>
        <w:rPr>
          <w:rFonts w:ascii="Times New Roman" w:eastAsia="Times New Roman" w:hAnsi="Times New Roman"/>
          <w:color w:val="000000"/>
          <w:sz w:val="24"/>
          <w:szCs w:val="24"/>
        </w:rPr>
        <w:t xml:space="preserve"> for agriculture and less than 0.01</w:t>
      </w:r>
      <w:r w:rsidRPr="00AE4EA1">
        <w:rPr>
          <w:rFonts w:ascii="Times New Roman" w:eastAsia="Times New Roman" w:hAnsi="Times New Roman"/>
          <w:color w:val="000000"/>
          <w:sz w:val="24"/>
          <w:szCs w:val="24"/>
        </w:rPr>
        <w:t>% for oil and gas. Th</w:t>
      </w:r>
      <w:r>
        <w:rPr>
          <w:rFonts w:ascii="Times New Roman" w:eastAsia="Times New Roman" w:hAnsi="Times New Roman"/>
          <w:color w:val="000000"/>
          <w:sz w:val="24"/>
          <w:szCs w:val="24"/>
        </w:rPr>
        <w:t>e</w:t>
      </w:r>
      <w:r w:rsidRPr="00AE4EA1">
        <w:rPr>
          <w:rFonts w:ascii="Times New Roman" w:eastAsia="Times New Roman" w:hAnsi="Times New Roman"/>
          <w:color w:val="000000"/>
          <w:sz w:val="24"/>
          <w:szCs w:val="24"/>
        </w:rPr>
        <w:t xml:space="preserve"> shock spillover from the other sectors to the oil market is however not significant. It means therefore that in the short run, the oil market has in place strategies to withstand any shock from the Nigerian stock market. </w:t>
      </w:r>
      <w:r w:rsidR="0048466B">
        <w:rPr>
          <w:rFonts w:ascii="Times New Roman" w:hAnsi="Times New Roman"/>
          <w:sz w:val="24"/>
          <w:szCs w:val="24"/>
        </w:rPr>
        <w:t xml:space="preserve"> </w:t>
      </w:r>
      <w:r w:rsidRPr="00AE4EA1">
        <w:rPr>
          <w:rFonts w:ascii="Times New Roman" w:eastAsia="Times New Roman" w:hAnsi="Times New Roman"/>
          <w:color w:val="000000"/>
          <w:sz w:val="24"/>
          <w:szCs w:val="24"/>
        </w:rPr>
        <w:t xml:space="preserve">Conversely, the </w:t>
      </w:r>
      <w:r w:rsidR="00BC6166" w:rsidRPr="00AE4EA1">
        <w:rPr>
          <w:rFonts w:ascii="Times New Roman" w:eastAsia="Times New Roman" w:hAnsi="Times New Roman"/>
          <w:color w:val="000000"/>
          <w:sz w:val="24"/>
          <w:szCs w:val="24"/>
        </w:rPr>
        <w:t>short-term</w:t>
      </w:r>
      <w:r w:rsidRPr="00AE4EA1">
        <w:rPr>
          <w:rFonts w:ascii="Times New Roman" w:eastAsia="Times New Roman" w:hAnsi="Times New Roman"/>
          <w:color w:val="000000"/>
          <w:sz w:val="24"/>
          <w:szCs w:val="24"/>
        </w:rPr>
        <w:t xml:space="preserve"> spillover from oil to the sectors is significant for 8 out of the 11 secto</w:t>
      </w:r>
      <w:r>
        <w:rPr>
          <w:rFonts w:ascii="Times New Roman" w:eastAsia="Times New Roman" w:hAnsi="Times New Roman"/>
          <w:color w:val="000000"/>
          <w:sz w:val="24"/>
          <w:szCs w:val="24"/>
        </w:rPr>
        <w:t>rs of agriculture, construction</w:t>
      </w:r>
      <w:r w:rsidRPr="00AE4EA1">
        <w:rPr>
          <w:rFonts w:ascii="Times New Roman" w:eastAsia="Times New Roman" w:hAnsi="Times New Roman"/>
          <w:color w:val="000000"/>
          <w:sz w:val="24"/>
          <w:szCs w:val="24"/>
        </w:rPr>
        <w:t xml:space="preserve">/real estates, financial services, healthcare, ICT, natural resources, and services. A shock originating from oil market has the potential to cause a shock in these </w:t>
      </w:r>
      <w:r>
        <w:rPr>
          <w:rFonts w:ascii="Times New Roman" w:eastAsia="Times New Roman" w:hAnsi="Times New Roman"/>
          <w:color w:val="000000"/>
          <w:sz w:val="24"/>
          <w:szCs w:val="24"/>
        </w:rPr>
        <w:t xml:space="preserve">sectors. This means that an unexpected price movement in the oil market will elicit a corresponding sudden price change in these sectors. This </w:t>
      </w:r>
      <w:r w:rsidRPr="00085DAE">
        <w:rPr>
          <w:rFonts w:ascii="Times New Roman" w:eastAsia="Times New Roman" w:hAnsi="Times New Roman"/>
          <w:sz w:val="24"/>
          <w:szCs w:val="24"/>
        </w:rPr>
        <w:t xml:space="preserve">conforms </w:t>
      </w:r>
      <w:r w:rsidR="00BC6166" w:rsidRPr="00085DAE">
        <w:rPr>
          <w:rFonts w:ascii="Times New Roman" w:eastAsia="Times New Roman" w:hAnsi="Times New Roman"/>
          <w:sz w:val="24"/>
          <w:szCs w:val="24"/>
        </w:rPr>
        <w:t>with findings from</w:t>
      </w:r>
      <w:r w:rsidR="00BC6166">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Arouri</w:t>
      </w:r>
      <w:proofErr w:type="spellEnd"/>
      <w:r>
        <w:rPr>
          <w:rFonts w:ascii="Times New Roman" w:eastAsia="Times New Roman" w:hAnsi="Times New Roman"/>
          <w:color w:val="000000"/>
          <w:sz w:val="24"/>
          <w:szCs w:val="24"/>
        </w:rPr>
        <w:t xml:space="preserve"> et al (2011), Lin, </w:t>
      </w:r>
      <w:proofErr w:type="spellStart"/>
      <w:r>
        <w:rPr>
          <w:rFonts w:ascii="Times New Roman" w:eastAsia="Times New Roman" w:hAnsi="Times New Roman"/>
          <w:color w:val="000000"/>
          <w:sz w:val="24"/>
          <w:szCs w:val="24"/>
        </w:rPr>
        <w:t>Wesseh</w:t>
      </w:r>
      <w:proofErr w:type="spellEnd"/>
      <w:r>
        <w:rPr>
          <w:rFonts w:ascii="Times New Roman" w:eastAsia="Times New Roman" w:hAnsi="Times New Roman"/>
          <w:color w:val="000000"/>
          <w:sz w:val="24"/>
          <w:szCs w:val="24"/>
        </w:rPr>
        <w:t xml:space="preserve"> &amp; Appiah (2014). For example, a shock in oil price</w:t>
      </w:r>
      <w:r w:rsidRPr="00AE4EA1">
        <w:rPr>
          <w:rFonts w:ascii="Times New Roman" w:eastAsia="Times New Roman" w:hAnsi="Times New Roman"/>
          <w:color w:val="000000"/>
          <w:sz w:val="24"/>
          <w:szCs w:val="24"/>
        </w:rPr>
        <w:t xml:space="preserve"> will cause the agriculture sector to move by about </w:t>
      </w:r>
      <w:r>
        <w:rPr>
          <w:rFonts w:ascii="Times New Roman" w:eastAsia="Times New Roman" w:hAnsi="Times New Roman"/>
          <w:color w:val="000000"/>
          <w:sz w:val="24"/>
          <w:szCs w:val="24"/>
        </w:rPr>
        <w:t>0.</w:t>
      </w:r>
      <w:r w:rsidRPr="00AE4EA1">
        <w:rPr>
          <w:rFonts w:ascii="Times New Roman" w:eastAsia="Times New Roman" w:hAnsi="Times New Roman"/>
          <w:color w:val="000000"/>
          <w:sz w:val="24"/>
          <w:szCs w:val="24"/>
        </w:rPr>
        <w:t>29%.</w:t>
      </w:r>
    </w:p>
    <w:p w14:paraId="697A0689" w14:textId="2A560849" w:rsidR="007446B9" w:rsidRDefault="00047399" w:rsidP="009F2198">
      <w:pPr>
        <w:spacing w:line="240" w:lineRule="auto"/>
        <w:ind w:left="-540"/>
        <w:rPr>
          <w:rFonts w:ascii="Times New Roman" w:hAnsi="Times New Roman"/>
          <w:sz w:val="24"/>
          <w:szCs w:val="24"/>
        </w:rPr>
      </w:pPr>
      <w:r>
        <w:rPr>
          <w:rFonts w:ascii="Times New Roman" w:eastAsia="Times New Roman" w:hAnsi="Times New Roman"/>
          <w:color w:val="000000"/>
          <w:sz w:val="24"/>
          <w:szCs w:val="24"/>
        </w:rPr>
        <w:t>However, we ob</w:t>
      </w:r>
      <w:r w:rsidRPr="00AE4EA1">
        <w:rPr>
          <w:rFonts w:ascii="Times New Roman" w:eastAsia="Times New Roman" w:hAnsi="Times New Roman"/>
          <w:color w:val="000000"/>
          <w:sz w:val="24"/>
          <w:szCs w:val="24"/>
        </w:rPr>
        <w:t xml:space="preserve">serve that the </w:t>
      </w:r>
      <w:r w:rsidR="00BC6166" w:rsidRPr="00AE4EA1">
        <w:rPr>
          <w:rFonts w:ascii="Times New Roman" w:eastAsia="Times New Roman" w:hAnsi="Times New Roman"/>
          <w:color w:val="000000"/>
          <w:sz w:val="24"/>
          <w:szCs w:val="24"/>
        </w:rPr>
        <w:t>short-term</w:t>
      </w:r>
      <w:r w:rsidRPr="00AE4EA1">
        <w:rPr>
          <w:rFonts w:ascii="Times New Roman" w:eastAsia="Times New Roman" w:hAnsi="Times New Roman"/>
          <w:color w:val="000000"/>
          <w:sz w:val="24"/>
          <w:szCs w:val="24"/>
        </w:rPr>
        <w:t xml:space="preserve"> shock spillover from the oil market to the conglomerates, consumer goods, industrial goods and the oil and gas sectors is not statically significant. In other words, these four sectors in the short term are</w:t>
      </w:r>
      <w:r>
        <w:rPr>
          <w:rFonts w:ascii="Times New Roman" w:eastAsia="Times New Roman" w:hAnsi="Times New Roman"/>
          <w:color w:val="000000"/>
          <w:sz w:val="24"/>
          <w:szCs w:val="24"/>
        </w:rPr>
        <w:t xml:space="preserve"> not responding to </w:t>
      </w:r>
      <w:r w:rsidRPr="00AE4EA1">
        <w:rPr>
          <w:rFonts w:ascii="Times New Roman" w:eastAsia="Times New Roman" w:hAnsi="Times New Roman"/>
          <w:color w:val="000000"/>
          <w:sz w:val="24"/>
          <w:szCs w:val="24"/>
        </w:rPr>
        <w:t xml:space="preserve">shocks originating from the oil market. We therefore observe bidirectional shock spillovers between oil and agriculture sector, no shock </w:t>
      </w:r>
      <w:r w:rsidRPr="00AE4EA1">
        <w:rPr>
          <w:rFonts w:ascii="Times New Roman" w:eastAsia="Times New Roman" w:hAnsi="Times New Roman"/>
          <w:color w:val="000000"/>
          <w:sz w:val="24"/>
          <w:szCs w:val="24"/>
        </w:rPr>
        <w:lastRenderedPageBreak/>
        <w:t xml:space="preserve">spillover between oil and conglomerates sector, unidirectional spillover from oil to construction and real estate sector, no shock spillover between oil and consumer goods sector, </w:t>
      </w:r>
      <w:proofErr w:type="spellStart"/>
      <w:r w:rsidRPr="00AE4EA1">
        <w:rPr>
          <w:rFonts w:ascii="Times New Roman" w:eastAsia="Times New Roman" w:hAnsi="Times New Roman"/>
          <w:color w:val="000000"/>
          <w:sz w:val="24"/>
          <w:szCs w:val="24"/>
        </w:rPr>
        <w:t>uni</w:t>
      </w:r>
      <w:proofErr w:type="spellEnd"/>
      <w:r w:rsidRPr="00AE4EA1">
        <w:rPr>
          <w:rFonts w:ascii="Times New Roman" w:eastAsia="Times New Roman" w:hAnsi="Times New Roman"/>
          <w:color w:val="000000"/>
          <w:sz w:val="24"/>
          <w:szCs w:val="24"/>
        </w:rPr>
        <w:t>-directional spillover from oil to financial services sector, oil and health care sector, oil and ICT sector, oil and natural resources sector, oil and services, unidirectional shock spillover from oil to oil and gas and no shock spillover between oil and industrial goods.</w:t>
      </w:r>
      <w:r w:rsidR="0048466B">
        <w:rPr>
          <w:rFonts w:ascii="Times New Roman" w:hAnsi="Times New Roman"/>
          <w:sz w:val="24"/>
          <w:szCs w:val="24"/>
        </w:rPr>
        <w:t xml:space="preserve"> </w:t>
      </w:r>
      <w:r w:rsidRPr="00AE4EA1">
        <w:rPr>
          <w:rFonts w:ascii="Times New Roman" w:eastAsia="Times New Roman" w:hAnsi="Times New Roman"/>
          <w:color w:val="000000"/>
          <w:sz w:val="24"/>
          <w:szCs w:val="24"/>
        </w:rPr>
        <w:t>Turning our focus to long term spillovers, among the oil-stock nexus, we observe bi-directional spillover between oil and agriculture, oil and conglomerates, oil and construction, oil and consumer goods, oil and healthcare, oil and industrial go</w:t>
      </w:r>
      <w:r>
        <w:rPr>
          <w:rFonts w:ascii="Times New Roman" w:eastAsia="Times New Roman" w:hAnsi="Times New Roman"/>
          <w:color w:val="000000"/>
          <w:sz w:val="24"/>
          <w:szCs w:val="24"/>
        </w:rPr>
        <w:t xml:space="preserve">ods, oil and natural resources </w:t>
      </w:r>
      <w:r w:rsidRPr="00AE4EA1">
        <w:rPr>
          <w:rFonts w:ascii="Times New Roman" w:eastAsia="Times New Roman" w:hAnsi="Times New Roman"/>
          <w:color w:val="000000"/>
          <w:sz w:val="24"/>
          <w:szCs w:val="24"/>
        </w:rPr>
        <w:t xml:space="preserve">and oil and gas and oil and services. </w:t>
      </w:r>
      <w:r>
        <w:rPr>
          <w:rFonts w:ascii="Times New Roman" w:eastAsia="Times New Roman" w:hAnsi="Times New Roman"/>
          <w:color w:val="000000"/>
          <w:sz w:val="24"/>
          <w:szCs w:val="24"/>
        </w:rPr>
        <w:t xml:space="preserve">This indicates that unexpected sudden long term price movements from the oil market affect those of the stock sectors and vice versa. This is in line with </w:t>
      </w:r>
      <w:proofErr w:type="spellStart"/>
      <w:r>
        <w:rPr>
          <w:rFonts w:ascii="Times New Roman" w:eastAsia="Times New Roman" w:hAnsi="Times New Roman"/>
          <w:color w:val="000000"/>
          <w:sz w:val="24"/>
          <w:szCs w:val="24"/>
        </w:rPr>
        <w:t>Arouri</w:t>
      </w:r>
      <w:proofErr w:type="spellEnd"/>
      <w:r>
        <w:rPr>
          <w:rFonts w:ascii="Times New Roman" w:eastAsia="Times New Roman" w:hAnsi="Times New Roman"/>
          <w:color w:val="000000"/>
          <w:sz w:val="24"/>
          <w:szCs w:val="24"/>
        </w:rPr>
        <w:t xml:space="preserve"> et al (2011). </w:t>
      </w:r>
      <w:r w:rsidRPr="00AE4EA1">
        <w:rPr>
          <w:rFonts w:ascii="Times New Roman" w:eastAsia="Times New Roman" w:hAnsi="Times New Roman"/>
          <w:color w:val="000000"/>
          <w:sz w:val="24"/>
          <w:szCs w:val="24"/>
        </w:rPr>
        <w:t>Unidirectional volatility spillover is observed from oil to ICT, while there is a volatility spillover between oil and financial services.</w:t>
      </w:r>
    </w:p>
    <w:p w14:paraId="09599C6D" w14:textId="4FAC34D6" w:rsidR="007D5111" w:rsidRDefault="00047399" w:rsidP="009F2198">
      <w:pPr>
        <w:spacing w:line="240" w:lineRule="auto"/>
        <w:ind w:left="-540"/>
        <w:rPr>
          <w:rFonts w:ascii="Times New Roman" w:hAnsi="Times New Roman"/>
          <w:sz w:val="24"/>
          <w:szCs w:val="24"/>
        </w:rPr>
      </w:pPr>
      <w:r w:rsidRPr="00AE4EA1">
        <w:rPr>
          <w:rFonts w:ascii="Times New Roman" w:eastAsia="Times New Roman" w:hAnsi="Times New Roman"/>
          <w:color w:val="000000"/>
          <w:sz w:val="24"/>
          <w:szCs w:val="24"/>
        </w:rPr>
        <w:t xml:space="preserve">The </w:t>
      </w:r>
      <w:r w:rsidR="00BC6166" w:rsidRPr="00AE4EA1">
        <w:rPr>
          <w:rFonts w:ascii="Times New Roman" w:eastAsia="Times New Roman" w:hAnsi="Times New Roman"/>
          <w:color w:val="000000"/>
          <w:sz w:val="24"/>
          <w:szCs w:val="24"/>
        </w:rPr>
        <w:t>long-term</w:t>
      </w:r>
      <w:r w:rsidRPr="00AE4EA1">
        <w:rPr>
          <w:rFonts w:ascii="Times New Roman" w:eastAsia="Times New Roman" w:hAnsi="Times New Roman"/>
          <w:color w:val="000000"/>
          <w:sz w:val="24"/>
          <w:szCs w:val="24"/>
        </w:rPr>
        <w:t xml:space="preserve"> volatility spillover from conglomerates, consumer goods, industrial goods and services to oil indicate</w:t>
      </w:r>
      <w:r>
        <w:rPr>
          <w:rFonts w:ascii="Times New Roman" w:eastAsia="Times New Roman" w:hAnsi="Times New Roman"/>
          <w:color w:val="000000"/>
          <w:sz w:val="24"/>
          <w:szCs w:val="24"/>
        </w:rPr>
        <w:t>s</w:t>
      </w:r>
      <w:r w:rsidRPr="00AE4EA1">
        <w:rPr>
          <w:rFonts w:ascii="Times New Roman" w:eastAsia="Times New Roman" w:hAnsi="Times New Roman"/>
          <w:color w:val="000000"/>
          <w:sz w:val="24"/>
          <w:szCs w:val="24"/>
        </w:rPr>
        <w:t xml:space="preserve"> high significant values. This indicates that volatility in the oil market is fueled by the volatility originating from the stock market in those sectors. For instance, a 1% volatility in the stock market (conglomerates) cause the oil m</w:t>
      </w:r>
      <w:r>
        <w:rPr>
          <w:rFonts w:ascii="Times New Roman" w:eastAsia="Times New Roman" w:hAnsi="Times New Roman"/>
          <w:color w:val="000000"/>
          <w:sz w:val="24"/>
          <w:szCs w:val="24"/>
        </w:rPr>
        <w:t>arket to move by about 0.57</w:t>
      </w:r>
      <w:r w:rsidRPr="00AE4EA1">
        <w:rPr>
          <w:rFonts w:ascii="Times New Roman" w:eastAsia="Times New Roman" w:hAnsi="Times New Roman"/>
          <w:color w:val="000000"/>
          <w:sz w:val="24"/>
          <w:szCs w:val="24"/>
        </w:rPr>
        <w:t>%. This can be explained by the fact that a boom in the stock market will elicit demand for output, which will lead to increase demand for input (oil) will ultimately, put pressure on the demand for crude oil, thereby causing a shock in the market. Also considering the fact that Nigeria is on</w:t>
      </w:r>
      <w:r>
        <w:rPr>
          <w:rFonts w:ascii="Times New Roman" w:eastAsia="Times New Roman" w:hAnsi="Times New Roman"/>
          <w:color w:val="000000"/>
          <w:sz w:val="24"/>
          <w:szCs w:val="24"/>
        </w:rPr>
        <w:t>e</w:t>
      </w:r>
      <w:r w:rsidRPr="00AE4EA1">
        <w:rPr>
          <w:rFonts w:ascii="Times New Roman" w:eastAsia="Times New Roman" w:hAnsi="Times New Roman"/>
          <w:color w:val="000000"/>
          <w:sz w:val="24"/>
          <w:szCs w:val="24"/>
        </w:rPr>
        <w:t xml:space="preserve"> of </w:t>
      </w:r>
      <w:r w:rsidRPr="00085DAE">
        <w:rPr>
          <w:rFonts w:ascii="Times New Roman" w:eastAsia="Times New Roman" w:hAnsi="Times New Roman"/>
          <w:sz w:val="24"/>
          <w:szCs w:val="24"/>
        </w:rPr>
        <w:t>the lead</w:t>
      </w:r>
      <w:r w:rsidR="00BC6166" w:rsidRPr="00085DAE">
        <w:rPr>
          <w:rFonts w:ascii="Times New Roman" w:eastAsia="Times New Roman" w:hAnsi="Times New Roman"/>
          <w:sz w:val="24"/>
          <w:szCs w:val="24"/>
        </w:rPr>
        <w:t>ing</w:t>
      </w:r>
      <w:r w:rsidRPr="00085DAE">
        <w:rPr>
          <w:rFonts w:ascii="Times New Roman" w:eastAsia="Times New Roman" w:hAnsi="Times New Roman"/>
          <w:sz w:val="24"/>
          <w:szCs w:val="24"/>
        </w:rPr>
        <w:t xml:space="preserve"> oil</w:t>
      </w:r>
      <w:r w:rsidRPr="00AE4EA1">
        <w:rPr>
          <w:rFonts w:ascii="Times New Roman" w:eastAsia="Times New Roman" w:hAnsi="Times New Roman"/>
          <w:color w:val="000000"/>
          <w:sz w:val="24"/>
          <w:szCs w:val="24"/>
        </w:rPr>
        <w:t xml:space="preserve"> producers in the world; this result is not surprising. Overall, the vol. spillover from the stock sector appear</w:t>
      </w:r>
      <w:r>
        <w:rPr>
          <w:rFonts w:ascii="Times New Roman" w:eastAsia="Times New Roman" w:hAnsi="Times New Roman"/>
          <w:color w:val="000000"/>
          <w:sz w:val="24"/>
          <w:szCs w:val="24"/>
        </w:rPr>
        <w:t>s</w:t>
      </w:r>
      <w:r w:rsidRPr="00AE4EA1">
        <w:rPr>
          <w:rFonts w:ascii="Times New Roman" w:eastAsia="Times New Roman" w:hAnsi="Times New Roman"/>
          <w:color w:val="000000"/>
          <w:sz w:val="24"/>
          <w:szCs w:val="24"/>
        </w:rPr>
        <w:t xml:space="preserve"> significantly across sectors.</w:t>
      </w:r>
      <w:r w:rsidR="007446B9">
        <w:rPr>
          <w:rFonts w:ascii="Times New Roman" w:hAnsi="Times New Roman"/>
          <w:sz w:val="24"/>
          <w:szCs w:val="24"/>
        </w:rPr>
        <w:t xml:space="preserve"> </w:t>
      </w:r>
      <w:r w:rsidRPr="00AE4EA1">
        <w:rPr>
          <w:rFonts w:ascii="Times New Roman" w:eastAsia="Times New Roman" w:hAnsi="Times New Roman"/>
          <w:color w:val="000000"/>
          <w:sz w:val="24"/>
          <w:szCs w:val="24"/>
        </w:rPr>
        <w:t>Apart from the financial services sector the long ter</w:t>
      </w:r>
      <w:r>
        <w:rPr>
          <w:rFonts w:ascii="Times New Roman" w:eastAsia="Times New Roman" w:hAnsi="Times New Roman"/>
          <w:color w:val="000000"/>
          <w:sz w:val="24"/>
          <w:szCs w:val="24"/>
        </w:rPr>
        <w:t>m</w:t>
      </w:r>
      <w:r w:rsidRPr="00AE4EA1">
        <w:rPr>
          <w:rFonts w:ascii="Times New Roman" w:eastAsia="Times New Roman" w:hAnsi="Times New Roman"/>
          <w:color w:val="000000"/>
          <w:sz w:val="24"/>
          <w:szCs w:val="24"/>
        </w:rPr>
        <w:t>, volatility spillover from the oil market to the ten (10) sectors show significantly estimates with the most significant being conglomerates 5</w:t>
      </w:r>
      <w:r>
        <w:rPr>
          <w:rFonts w:ascii="Times New Roman" w:eastAsia="Times New Roman" w:hAnsi="Times New Roman"/>
          <w:color w:val="000000"/>
          <w:sz w:val="24"/>
          <w:szCs w:val="24"/>
        </w:rPr>
        <w:t>.1%, construction/real estate</w:t>
      </w:r>
      <w:r w:rsidRPr="00AE4EA1">
        <w:rPr>
          <w:rFonts w:ascii="Times New Roman" w:eastAsia="Times New Roman" w:hAnsi="Times New Roman"/>
          <w:color w:val="000000"/>
          <w:sz w:val="24"/>
          <w:szCs w:val="24"/>
        </w:rPr>
        <w:t xml:space="preserve"> 1</w:t>
      </w:r>
      <w:r>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35%, health </w:t>
      </w:r>
      <w:r w:rsidRPr="00AE4EA1">
        <w:rPr>
          <w:rFonts w:ascii="Times New Roman" w:eastAsia="Times New Roman" w:hAnsi="Times New Roman"/>
          <w:color w:val="000000"/>
          <w:sz w:val="24"/>
          <w:szCs w:val="24"/>
        </w:rPr>
        <w:t xml:space="preserve">care </w:t>
      </w:r>
      <w:r>
        <w:rPr>
          <w:rFonts w:ascii="Times New Roman" w:eastAsia="Times New Roman" w:hAnsi="Times New Roman"/>
          <w:color w:val="000000"/>
          <w:sz w:val="24"/>
          <w:szCs w:val="24"/>
        </w:rPr>
        <w:t>0.</w:t>
      </w:r>
      <w:r w:rsidRPr="00AE4EA1">
        <w:rPr>
          <w:rFonts w:ascii="Times New Roman" w:eastAsia="Times New Roman" w:hAnsi="Times New Roman"/>
          <w:color w:val="000000"/>
          <w:sz w:val="24"/>
          <w:szCs w:val="24"/>
        </w:rPr>
        <w:t>25%, industrial goods 1</w:t>
      </w:r>
      <w:r>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83% and services </w:t>
      </w:r>
      <w:r>
        <w:rPr>
          <w:rFonts w:ascii="Times New Roman" w:eastAsia="Times New Roman" w:hAnsi="Times New Roman"/>
          <w:color w:val="000000"/>
          <w:sz w:val="24"/>
          <w:szCs w:val="24"/>
        </w:rPr>
        <w:t>0.</w:t>
      </w:r>
      <w:r w:rsidRPr="00AE4EA1">
        <w:rPr>
          <w:rFonts w:ascii="Times New Roman" w:eastAsia="Times New Roman" w:hAnsi="Times New Roman"/>
          <w:color w:val="000000"/>
          <w:sz w:val="24"/>
          <w:szCs w:val="24"/>
        </w:rPr>
        <w:t>36%. A 1% volatility in the oil market will cause the conglomerates sector to move in the same direction by 5</w:t>
      </w:r>
      <w:r>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1%, construction sector by 1</w:t>
      </w:r>
      <w:r>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35%, healthcare </w:t>
      </w:r>
      <w:r>
        <w:rPr>
          <w:rFonts w:ascii="Times New Roman" w:eastAsia="Times New Roman" w:hAnsi="Times New Roman"/>
          <w:color w:val="000000"/>
          <w:sz w:val="24"/>
          <w:szCs w:val="24"/>
        </w:rPr>
        <w:t>0.28</w:t>
      </w:r>
      <w:r w:rsidRPr="00AE4EA1">
        <w:rPr>
          <w:rFonts w:ascii="Times New Roman" w:eastAsia="Times New Roman" w:hAnsi="Times New Roman"/>
          <w:color w:val="000000"/>
          <w:sz w:val="24"/>
          <w:szCs w:val="24"/>
        </w:rPr>
        <w:t>%, and industrial goods 18</w:t>
      </w:r>
      <w:r>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3%. This is the suggestive of the fact that these sectors </w:t>
      </w:r>
      <w:r>
        <w:rPr>
          <w:rFonts w:ascii="Times New Roman" w:eastAsia="Times New Roman" w:hAnsi="Times New Roman"/>
          <w:color w:val="000000"/>
          <w:sz w:val="24"/>
          <w:szCs w:val="24"/>
        </w:rPr>
        <w:t xml:space="preserve">reliance on oil is high. This agrees </w:t>
      </w:r>
      <w:r w:rsidRPr="00AE4EA1">
        <w:rPr>
          <w:rFonts w:ascii="Times New Roman" w:eastAsia="Times New Roman" w:hAnsi="Times New Roman"/>
          <w:color w:val="000000"/>
          <w:sz w:val="24"/>
          <w:szCs w:val="24"/>
        </w:rPr>
        <w:t>w</w:t>
      </w:r>
      <w:r>
        <w:rPr>
          <w:rFonts w:ascii="Times New Roman" w:eastAsia="Times New Roman" w:hAnsi="Times New Roman"/>
          <w:color w:val="000000"/>
          <w:sz w:val="24"/>
          <w:szCs w:val="24"/>
        </w:rPr>
        <w:t xml:space="preserve">ith results from Lin et al (2014), </w:t>
      </w:r>
      <w:proofErr w:type="spellStart"/>
      <w:r>
        <w:rPr>
          <w:rFonts w:ascii="Times New Roman" w:eastAsia="Times New Roman" w:hAnsi="Times New Roman"/>
          <w:color w:val="000000"/>
          <w:sz w:val="24"/>
          <w:szCs w:val="24"/>
        </w:rPr>
        <w:t>Arour</w:t>
      </w:r>
      <w:r w:rsidRPr="00AE4EA1">
        <w:rPr>
          <w:rFonts w:ascii="Times New Roman" w:eastAsia="Times New Roman" w:hAnsi="Times New Roman"/>
          <w:color w:val="000000"/>
          <w:sz w:val="24"/>
          <w:szCs w:val="24"/>
        </w:rPr>
        <w:t>i</w:t>
      </w:r>
      <w:r w:rsidRPr="00EA3417">
        <w:rPr>
          <w:rFonts w:ascii="Times New Roman" w:eastAsia="Times New Roman" w:hAnsi="Times New Roman"/>
          <w:i/>
          <w:color w:val="000000"/>
          <w:sz w:val="24"/>
          <w:szCs w:val="24"/>
        </w:rPr>
        <w:t>etal</w:t>
      </w:r>
      <w:proofErr w:type="spellEnd"/>
      <w:r w:rsidRPr="00AE4EA1">
        <w:rPr>
          <w:rFonts w:ascii="Times New Roman" w:eastAsia="Times New Roman" w:hAnsi="Times New Roman"/>
          <w:color w:val="000000"/>
          <w:sz w:val="24"/>
          <w:szCs w:val="24"/>
        </w:rPr>
        <w:t xml:space="preserve"> (2012). </w:t>
      </w:r>
    </w:p>
    <w:p w14:paraId="4DD2AF3A" w14:textId="54733C21" w:rsidR="007D5111" w:rsidRDefault="00946D96" w:rsidP="009F2198">
      <w:pPr>
        <w:spacing w:line="240" w:lineRule="auto"/>
        <w:ind w:left="-540"/>
        <w:rPr>
          <w:rFonts w:ascii="Times New Roman" w:hAnsi="Times New Roman"/>
          <w:sz w:val="24"/>
          <w:szCs w:val="24"/>
        </w:rPr>
      </w:pPr>
      <w:r w:rsidRPr="00AE4EA1">
        <w:rPr>
          <w:rFonts w:ascii="Times New Roman" w:eastAsia="Times New Roman" w:hAnsi="Times New Roman"/>
          <w:color w:val="000000"/>
          <w:sz w:val="24"/>
          <w:szCs w:val="24"/>
        </w:rPr>
        <w:t>These high figures</w:t>
      </w:r>
      <w:r w:rsidR="00047399" w:rsidRPr="00AE4EA1">
        <w:rPr>
          <w:rFonts w:ascii="Times New Roman" w:eastAsia="Times New Roman" w:hAnsi="Times New Roman"/>
          <w:color w:val="000000"/>
          <w:sz w:val="24"/>
          <w:szCs w:val="24"/>
        </w:rPr>
        <w:t xml:space="preserve"> are evidence of the fact that that as indicated in </w:t>
      </w:r>
      <w:proofErr w:type="spellStart"/>
      <w:r w:rsidR="00047399" w:rsidRPr="00AE4EA1">
        <w:rPr>
          <w:rFonts w:ascii="Times New Roman" w:eastAsia="Times New Roman" w:hAnsi="Times New Roman"/>
          <w:color w:val="000000"/>
          <w:sz w:val="24"/>
          <w:szCs w:val="24"/>
        </w:rPr>
        <w:t>Arouri</w:t>
      </w:r>
      <w:proofErr w:type="spellEnd"/>
      <w:r w:rsidR="00047399" w:rsidRPr="00AE4EA1">
        <w:rPr>
          <w:rFonts w:ascii="Times New Roman" w:eastAsia="Times New Roman" w:hAnsi="Times New Roman"/>
          <w:color w:val="000000"/>
          <w:sz w:val="24"/>
          <w:szCs w:val="24"/>
        </w:rPr>
        <w:t xml:space="preserve"> et al (2012)</w:t>
      </w:r>
      <w:r w:rsidR="00047399">
        <w:rPr>
          <w:rFonts w:ascii="Times New Roman" w:eastAsia="Times New Roman" w:hAnsi="Times New Roman"/>
          <w:color w:val="000000"/>
          <w:sz w:val="24"/>
          <w:szCs w:val="24"/>
        </w:rPr>
        <w:t>.</w:t>
      </w:r>
      <w:r>
        <w:rPr>
          <w:rFonts w:ascii="Times New Roman" w:eastAsia="Times New Roman" w:hAnsi="Times New Roman"/>
          <w:color w:val="000000"/>
          <w:sz w:val="24"/>
          <w:szCs w:val="24"/>
        </w:rPr>
        <w:t xml:space="preserve"> </w:t>
      </w:r>
      <w:r w:rsidR="00047399" w:rsidRPr="00AE4EA1">
        <w:rPr>
          <w:rFonts w:ascii="Times New Roman" w:eastAsia="Times New Roman" w:hAnsi="Times New Roman"/>
          <w:color w:val="000000"/>
          <w:sz w:val="24"/>
          <w:szCs w:val="24"/>
        </w:rPr>
        <w:t>Rising financial stock price</w:t>
      </w:r>
      <w:r>
        <w:rPr>
          <w:rFonts w:ascii="Times New Roman" w:eastAsia="Times New Roman" w:hAnsi="Times New Roman"/>
          <w:color w:val="000000"/>
          <w:sz w:val="24"/>
          <w:szCs w:val="24"/>
        </w:rPr>
        <w:t xml:space="preserve"> </w:t>
      </w:r>
      <w:r w:rsidR="00047399">
        <w:rPr>
          <w:rFonts w:ascii="Times New Roman" w:eastAsia="Times New Roman" w:hAnsi="Times New Roman"/>
          <w:color w:val="000000"/>
          <w:sz w:val="24"/>
          <w:szCs w:val="24"/>
        </w:rPr>
        <w:t>is often indicative</w:t>
      </w:r>
      <w:r w:rsidR="00047399" w:rsidRPr="00AE4EA1">
        <w:rPr>
          <w:rFonts w:ascii="Times New Roman" w:eastAsia="Times New Roman" w:hAnsi="Times New Roman"/>
          <w:color w:val="000000"/>
          <w:sz w:val="24"/>
          <w:szCs w:val="24"/>
        </w:rPr>
        <w:t xml:space="preserve"> of high oil consumption occasioned by increased productive activities.</w:t>
      </w:r>
      <w:r w:rsidR="007D5111">
        <w:rPr>
          <w:rFonts w:ascii="Times New Roman" w:hAnsi="Times New Roman"/>
          <w:sz w:val="24"/>
          <w:szCs w:val="24"/>
        </w:rPr>
        <w:t xml:space="preserve"> </w:t>
      </w:r>
      <w:r w:rsidR="00047399" w:rsidRPr="00AE4EA1">
        <w:rPr>
          <w:rFonts w:ascii="Times New Roman" w:eastAsia="Times New Roman" w:hAnsi="Times New Roman"/>
          <w:color w:val="000000"/>
          <w:sz w:val="24"/>
          <w:szCs w:val="24"/>
        </w:rPr>
        <w:t xml:space="preserve">These results are therefore indicative of the fact that individual investors, portfolios managers and investment analyst take into their account volatility spillovers in their </w:t>
      </w:r>
      <w:r w:rsidRPr="00AE4EA1">
        <w:rPr>
          <w:rFonts w:ascii="Times New Roman" w:eastAsia="Times New Roman" w:hAnsi="Times New Roman"/>
          <w:color w:val="000000"/>
          <w:sz w:val="24"/>
          <w:szCs w:val="24"/>
        </w:rPr>
        <w:t>decision-making</w:t>
      </w:r>
      <w:r w:rsidR="00047399" w:rsidRPr="00AE4EA1">
        <w:rPr>
          <w:rFonts w:ascii="Times New Roman" w:eastAsia="Times New Roman" w:hAnsi="Times New Roman"/>
          <w:color w:val="000000"/>
          <w:sz w:val="24"/>
          <w:szCs w:val="24"/>
        </w:rPr>
        <w:t xml:space="preserve"> process as to mitigate risk and uncertainty involved in investing in financial assets.</w:t>
      </w:r>
      <w:r w:rsidR="00BC6166">
        <w:rPr>
          <w:rFonts w:ascii="Times New Roman" w:eastAsia="Times New Roman" w:hAnsi="Times New Roman"/>
          <w:color w:val="000000"/>
          <w:sz w:val="24"/>
          <w:szCs w:val="24"/>
        </w:rPr>
        <w:t xml:space="preserve"> </w:t>
      </w:r>
      <w:r w:rsidR="00047399" w:rsidRPr="00AE4EA1">
        <w:rPr>
          <w:rFonts w:ascii="Times New Roman" w:eastAsia="Times New Roman" w:hAnsi="Times New Roman"/>
          <w:color w:val="000000"/>
          <w:sz w:val="24"/>
          <w:szCs w:val="24"/>
        </w:rPr>
        <w:t>The coefficient of asymmetry or the leverage effect is as reported on table 4.5. The parameters of oil are all stati</w:t>
      </w:r>
      <w:r w:rsidR="00047399">
        <w:rPr>
          <w:rFonts w:ascii="Times New Roman" w:eastAsia="Times New Roman" w:hAnsi="Times New Roman"/>
          <w:color w:val="000000"/>
          <w:sz w:val="24"/>
          <w:szCs w:val="24"/>
        </w:rPr>
        <w:t xml:space="preserve">stically </w:t>
      </w:r>
      <w:r w:rsidR="00047399" w:rsidRPr="00AE4EA1">
        <w:rPr>
          <w:rFonts w:ascii="Times New Roman" w:eastAsia="Times New Roman" w:hAnsi="Times New Roman"/>
          <w:color w:val="000000"/>
          <w:sz w:val="24"/>
          <w:szCs w:val="24"/>
        </w:rPr>
        <w:t>significant for the three oil-stock pairs for agriculture, construction and real estate and the ICT sectors.</w:t>
      </w:r>
      <w:r w:rsidR="007D5111">
        <w:rPr>
          <w:rFonts w:ascii="Times New Roman" w:hAnsi="Times New Roman"/>
          <w:sz w:val="24"/>
          <w:szCs w:val="24"/>
        </w:rPr>
        <w:t xml:space="preserve"> </w:t>
      </w:r>
      <w:r w:rsidR="00047399" w:rsidRPr="00AE4EA1">
        <w:rPr>
          <w:rFonts w:ascii="Times New Roman" w:eastAsia="Times New Roman" w:hAnsi="Times New Roman"/>
          <w:color w:val="000000"/>
          <w:sz w:val="24"/>
          <w:szCs w:val="24"/>
        </w:rPr>
        <w:t>This shows that</w:t>
      </w:r>
      <w:r w:rsidR="00047399">
        <w:rPr>
          <w:rFonts w:ascii="Times New Roman" w:eastAsia="Times New Roman" w:hAnsi="Times New Roman"/>
          <w:color w:val="000000"/>
          <w:sz w:val="24"/>
          <w:szCs w:val="24"/>
        </w:rPr>
        <w:t xml:space="preserve"> increases in oil prices </w:t>
      </w:r>
      <w:r w:rsidR="00047399" w:rsidRPr="00AE4EA1">
        <w:rPr>
          <w:rFonts w:ascii="Times New Roman" w:eastAsia="Times New Roman" w:hAnsi="Times New Roman"/>
          <w:color w:val="000000"/>
          <w:sz w:val="24"/>
          <w:szCs w:val="24"/>
        </w:rPr>
        <w:t xml:space="preserve">tend to increase its volatility up to about 0.13% for agriculture, construction and the ICT sectors. In a similar vein for the stock </w:t>
      </w:r>
      <w:r w:rsidR="00047399">
        <w:rPr>
          <w:rFonts w:ascii="Times New Roman" w:eastAsia="Times New Roman" w:hAnsi="Times New Roman"/>
          <w:color w:val="000000"/>
          <w:sz w:val="24"/>
          <w:szCs w:val="24"/>
        </w:rPr>
        <w:t>se</w:t>
      </w:r>
      <w:r w:rsidR="00047399" w:rsidRPr="00AE4EA1">
        <w:rPr>
          <w:rFonts w:ascii="Times New Roman" w:eastAsia="Times New Roman" w:hAnsi="Times New Roman"/>
          <w:color w:val="000000"/>
          <w:sz w:val="24"/>
          <w:szCs w:val="24"/>
        </w:rPr>
        <w:t xml:space="preserve">ctors, asymmetric coefficients are significant for three sectors. For instance, the leverage effect is very high for construction of real estate at </w:t>
      </w:r>
      <w:r w:rsidR="00047399">
        <w:rPr>
          <w:rFonts w:ascii="Times New Roman" w:eastAsia="Times New Roman" w:hAnsi="Times New Roman"/>
          <w:color w:val="000000"/>
          <w:sz w:val="24"/>
          <w:szCs w:val="24"/>
        </w:rPr>
        <w:t>0.</w:t>
      </w:r>
      <w:r w:rsidR="00047399" w:rsidRPr="00AE4EA1">
        <w:rPr>
          <w:rFonts w:ascii="Times New Roman" w:eastAsia="Times New Roman" w:hAnsi="Times New Roman"/>
          <w:color w:val="000000"/>
          <w:sz w:val="24"/>
          <w:szCs w:val="24"/>
        </w:rPr>
        <w:t>85% which indicates that negative unexpected shock</w:t>
      </w:r>
      <w:r w:rsidR="00047399">
        <w:rPr>
          <w:rFonts w:ascii="Times New Roman" w:eastAsia="Times New Roman" w:hAnsi="Times New Roman"/>
          <w:color w:val="000000"/>
          <w:sz w:val="24"/>
          <w:szCs w:val="24"/>
        </w:rPr>
        <w:t xml:space="preserve"> (increases in oil prices)</w:t>
      </w:r>
      <w:r w:rsidR="00047399" w:rsidRPr="00AE4EA1">
        <w:rPr>
          <w:rFonts w:ascii="Times New Roman" w:eastAsia="Times New Roman" w:hAnsi="Times New Roman"/>
          <w:color w:val="000000"/>
          <w:sz w:val="24"/>
          <w:szCs w:val="24"/>
        </w:rPr>
        <w:t xml:space="preserve"> has the ability to increase volatility of this sector by </w:t>
      </w:r>
      <w:r w:rsidR="00047399">
        <w:rPr>
          <w:rFonts w:ascii="Times New Roman" w:eastAsia="Times New Roman" w:hAnsi="Times New Roman"/>
          <w:color w:val="000000"/>
          <w:sz w:val="24"/>
          <w:szCs w:val="24"/>
        </w:rPr>
        <w:t>0.</w:t>
      </w:r>
      <w:r w:rsidR="00047399" w:rsidRPr="00AE4EA1">
        <w:rPr>
          <w:rFonts w:ascii="Times New Roman" w:eastAsia="Times New Roman" w:hAnsi="Times New Roman"/>
          <w:color w:val="000000"/>
          <w:sz w:val="24"/>
          <w:szCs w:val="24"/>
        </w:rPr>
        <w:t>85% as compares to a positive shock. This aligns with Malik and Rashid (2017).</w:t>
      </w:r>
    </w:p>
    <w:p w14:paraId="269935AA" w14:textId="69D6969B" w:rsidR="007D5111" w:rsidRDefault="00047399" w:rsidP="009F2198">
      <w:pPr>
        <w:spacing w:line="240" w:lineRule="auto"/>
        <w:ind w:left="-540"/>
        <w:rPr>
          <w:rFonts w:ascii="Times New Roman" w:hAnsi="Times New Roman"/>
          <w:sz w:val="24"/>
          <w:szCs w:val="24"/>
        </w:rPr>
      </w:pPr>
      <w:r>
        <w:rPr>
          <w:rFonts w:ascii="Times New Roman" w:eastAsia="Times New Roman" w:hAnsi="Times New Roman"/>
          <w:color w:val="000000"/>
          <w:sz w:val="24"/>
          <w:szCs w:val="24"/>
        </w:rPr>
        <w:t>The result of constant conditional correlation (CCC) as reported on table 4. indicates low positive coefficients upholding the use of the CCC model. Low CCC values indicate that investors can invest in oil and stock markets at the same time. This contrasts the findings of Kalu (2015) but it’s in line with Rashid and Malik (2017).</w:t>
      </w:r>
      <w:r w:rsidR="007D5111">
        <w:rPr>
          <w:rFonts w:ascii="Times New Roman" w:hAnsi="Times New Roman"/>
          <w:sz w:val="24"/>
          <w:szCs w:val="24"/>
        </w:rPr>
        <w:t xml:space="preserve"> </w:t>
      </w:r>
      <w:r>
        <w:rPr>
          <w:rFonts w:ascii="Times New Roman" w:eastAsia="Times New Roman" w:hAnsi="Times New Roman"/>
          <w:color w:val="000000"/>
          <w:sz w:val="24"/>
          <w:szCs w:val="24"/>
        </w:rPr>
        <w:t xml:space="preserve">Nest is </w:t>
      </w:r>
      <w:r w:rsidRPr="00AE4EA1">
        <w:rPr>
          <w:rFonts w:ascii="Times New Roman" w:eastAsia="Times New Roman" w:hAnsi="Times New Roman"/>
          <w:color w:val="000000"/>
          <w:sz w:val="24"/>
          <w:szCs w:val="24"/>
        </w:rPr>
        <w:t>the analysis of long run shock persistence</w:t>
      </w:r>
      <w:r>
        <w:rPr>
          <w:rFonts w:ascii="Times New Roman" w:eastAsia="Times New Roman" w:hAnsi="Times New Roman"/>
          <w:color w:val="000000"/>
          <w:sz w:val="24"/>
          <w:szCs w:val="24"/>
        </w:rPr>
        <w:t>. R</w:t>
      </w:r>
      <w:r w:rsidRPr="00AE4EA1">
        <w:rPr>
          <w:rFonts w:ascii="Times New Roman" w:eastAsia="Times New Roman" w:hAnsi="Times New Roman"/>
          <w:color w:val="000000"/>
          <w:sz w:val="24"/>
          <w:szCs w:val="24"/>
        </w:rPr>
        <w:t xml:space="preserve">esult of the long run persistence of shock to </w:t>
      </w:r>
      <w:r>
        <w:rPr>
          <w:rFonts w:ascii="Times New Roman" w:eastAsia="Times New Roman" w:hAnsi="Times New Roman"/>
          <w:color w:val="000000"/>
          <w:sz w:val="24"/>
          <w:szCs w:val="24"/>
        </w:rPr>
        <w:t>the oil and stock market indicate that shock to the st</w:t>
      </w:r>
      <w:r w:rsidRPr="00AE4EA1">
        <w:rPr>
          <w:rFonts w:ascii="Times New Roman" w:eastAsia="Times New Roman" w:hAnsi="Times New Roman"/>
          <w:color w:val="000000"/>
          <w:sz w:val="24"/>
          <w:szCs w:val="24"/>
        </w:rPr>
        <w:t xml:space="preserve">ock market in sector such as financial service, conglomerate of </w:t>
      </w:r>
      <w:r w:rsidRPr="00AE4EA1">
        <w:rPr>
          <w:rFonts w:ascii="Times New Roman" w:eastAsia="Times New Roman" w:hAnsi="Times New Roman"/>
          <w:color w:val="000000"/>
          <w:sz w:val="24"/>
          <w:szCs w:val="24"/>
        </w:rPr>
        <w:lastRenderedPageBreak/>
        <w:t xml:space="preserve">consumer goods </w:t>
      </w:r>
      <w:r w:rsidR="00946D96" w:rsidRPr="00AE4EA1">
        <w:rPr>
          <w:rFonts w:ascii="Times New Roman" w:eastAsia="Times New Roman" w:hAnsi="Times New Roman"/>
          <w:color w:val="000000"/>
          <w:sz w:val="24"/>
          <w:szCs w:val="24"/>
        </w:rPr>
        <w:t>seems</w:t>
      </w:r>
      <w:r w:rsidRPr="00AE4EA1">
        <w:rPr>
          <w:rFonts w:ascii="Times New Roman" w:eastAsia="Times New Roman" w:hAnsi="Times New Roman"/>
          <w:color w:val="000000"/>
          <w:sz w:val="24"/>
          <w:szCs w:val="24"/>
        </w:rPr>
        <w:t xml:space="preserve"> to dis</w:t>
      </w:r>
      <w:r>
        <w:rPr>
          <w:rFonts w:ascii="Times New Roman" w:eastAsia="Times New Roman" w:hAnsi="Times New Roman"/>
          <w:color w:val="000000"/>
          <w:sz w:val="24"/>
          <w:szCs w:val="24"/>
        </w:rPr>
        <w:t>sipate after a short</w:t>
      </w:r>
      <w:r w:rsidRPr="00AE4EA1">
        <w:rPr>
          <w:rFonts w:ascii="Times New Roman" w:eastAsia="Times New Roman" w:hAnsi="Times New Roman"/>
          <w:color w:val="000000"/>
          <w:sz w:val="24"/>
          <w:szCs w:val="24"/>
        </w:rPr>
        <w:t xml:space="preserve"> while. The pers</w:t>
      </w:r>
      <w:r>
        <w:rPr>
          <w:rFonts w:ascii="Times New Roman" w:eastAsia="Times New Roman" w:hAnsi="Times New Roman"/>
          <w:color w:val="000000"/>
          <w:sz w:val="24"/>
          <w:szCs w:val="24"/>
        </w:rPr>
        <w:t>istence estimate</w:t>
      </w:r>
      <w:r w:rsidR="00946D96">
        <w:rPr>
          <w:rFonts w:ascii="Times New Roman" w:eastAsia="Times New Roman" w:hAnsi="Times New Roman"/>
          <w:color w:val="000000"/>
          <w:sz w:val="24"/>
          <w:szCs w:val="24"/>
        </w:rPr>
        <w:t>s</w:t>
      </w:r>
      <w:r>
        <w:rPr>
          <w:rFonts w:ascii="Times New Roman" w:eastAsia="Times New Roman" w:hAnsi="Times New Roman"/>
          <w:color w:val="000000"/>
          <w:sz w:val="24"/>
          <w:szCs w:val="24"/>
        </w:rPr>
        <w:t xml:space="preserve"> for the remaining</w:t>
      </w:r>
      <w:r w:rsidRPr="00AE4EA1">
        <w:rPr>
          <w:rFonts w:ascii="Times New Roman" w:eastAsia="Times New Roman" w:hAnsi="Times New Roman"/>
          <w:color w:val="000000"/>
          <w:sz w:val="24"/>
          <w:szCs w:val="24"/>
        </w:rPr>
        <w:t xml:space="preserve"> sector</w:t>
      </w:r>
      <w:r>
        <w:rPr>
          <w:rFonts w:ascii="Times New Roman" w:eastAsia="Times New Roman" w:hAnsi="Times New Roman"/>
          <w:color w:val="000000"/>
          <w:sz w:val="24"/>
          <w:szCs w:val="24"/>
        </w:rPr>
        <w:t>s</w:t>
      </w:r>
      <w:r w:rsidRPr="00AE4EA1">
        <w:rPr>
          <w:rFonts w:ascii="Times New Roman" w:eastAsia="Times New Roman" w:hAnsi="Times New Roman"/>
          <w:color w:val="000000"/>
          <w:sz w:val="24"/>
          <w:szCs w:val="24"/>
        </w:rPr>
        <w:t xml:space="preserve"> are however, high. As a whole volatility tends to revert to it mean in the sectors except agriculture and oil and gas whe</w:t>
      </w:r>
      <w:r>
        <w:rPr>
          <w:rFonts w:ascii="Times New Roman" w:eastAsia="Times New Roman" w:hAnsi="Times New Roman"/>
          <w:color w:val="000000"/>
          <w:sz w:val="24"/>
          <w:szCs w:val="24"/>
        </w:rPr>
        <w:t xml:space="preserve">re the persistence estimate </w:t>
      </w:r>
      <w:r w:rsidR="00085DAE">
        <w:rPr>
          <w:rFonts w:ascii="Times New Roman" w:eastAsia="Times New Roman" w:hAnsi="Times New Roman"/>
          <w:color w:val="000000"/>
          <w:sz w:val="24"/>
          <w:szCs w:val="24"/>
        </w:rPr>
        <w:t>was</w:t>
      </w:r>
      <w:r w:rsidRPr="00AE4EA1">
        <w:rPr>
          <w:rFonts w:ascii="Times New Roman" w:eastAsia="Times New Roman" w:hAnsi="Times New Roman"/>
          <w:color w:val="000000"/>
          <w:sz w:val="24"/>
          <w:szCs w:val="24"/>
        </w:rPr>
        <w:t xml:space="preserve"> above 1 in which case polic</w:t>
      </w:r>
      <w:r>
        <w:rPr>
          <w:rFonts w:ascii="Times New Roman" w:eastAsia="Times New Roman" w:hAnsi="Times New Roman"/>
          <w:color w:val="000000"/>
          <w:sz w:val="24"/>
          <w:szCs w:val="24"/>
        </w:rPr>
        <w:t>y action must be taken to correc</w:t>
      </w:r>
      <w:r w:rsidRPr="00AE4EA1">
        <w:rPr>
          <w:rFonts w:ascii="Times New Roman" w:eastAsia="Times New Roman" w:hAnsi="Times New Roman"/>
          <w:color w:val="000000"/>
          <w:sz w:val="24"/>
          <w:szCs w:val="24"/>
        </w:rPr>
        <w:t>t this</w:t>
      </w:r>
      <w:r>
        <w:rPr>
          <w:rFonts w:ascii="Times New Roman" w:eastAsia="Times New Roman" w:hAnsi="Times New Roman"/>
          <w:color w:val="000000"/>
          <w:sz w:val="24"/>
          <w:szCs w:val="24"/>
        </w:rPr>
        <w:t>. F</w:t>
      </w:r>
      <w:r w:rsidRPr="00AE4EA1">
        <w:rPr>
          <w:rFonts w:ascii="Times New Roman" w:eastAsia="Times New Roman" w:hAnsi="Times New Roman"/>
          <w:color w:val="000000"/>
          <w:sz w:val="24"/>
          <w:szCs w:val="24"/>
        </w:rPr>
        <w:t>or the oil market</w:t>
      </w:r>
      <w:r>
        <w:rPr>
          <w:rFonts w:ascii="Times New Roman" w:eastAsia="Times New Roman" w:hAnsi="Times New Roman"/>
          <w:color w:val="000000"/>
          <w:sz w:val="24"/>
          <w:szCs w:val="24"/>
        </w:rPr>
        <w:t>,</w:t>
      </w:r>
      <w:r w:rsidRPr="00AE4EA1">
        <w:rPr>
          <w:rFonts w:ascii="Times New Roman" w:eastAsia="Times New Roman" w:hAnsi="Times New Roman"/>
          <w:color w:val="000000"/>
          <w:sz w:val="24"/>
          <w:szCs w:val="24"/>
        </w:rPr>
        <w:t xml:space="preserve"> volatility persis</w:t>
      </w:r>
      <w:r>
        <w:rPr>
          <w:rFonts w:ascii="Times New Roman" w:eastAsia="Times New Roman" w:hAnsi="Times New Roman"/>
          <w:color w:val="000000"/>
          <w:sz w:val="24"/>
          <w:szCs w:val="24"/>
        </w:rPr>
        <w:t>tence is</w:t>
      </w:r>
      <w:r w:rsidRPr="00AE4EA1">
        <w:rPr>
          <w:rFonts w:ascii="Times New Roman" w:eastAsia="Times New Roman" w:hAnsi="Times New Roman"/>
          <w:color w:val="000000"/>
          <w:sz w:val="24"/>
          <w:szCs w:val="24"/>
        </w:rPr>
        <w:t xml:space="preserve"> high </w:t>
      </w:r>
      <w:r>
        <w:rPr>
          <w:rFonts w:ascii="Times New Roman" w:eastAsia="Times New Roman" w:hAnsi="Times New Roman"/>
          <w:color w:val="000000"/>
          <w:sz w:val="24"/>
          <w:szCs w:val="24"/>
        </w:rPr>
        <w:t>though less than 1 implying slow</w:t>
      </w:r>
      <w:r w:rsidRPr="00AE4EA1">
        <w:rPr>
          <w:rFonts w:ascii="Times New Roman" w:eastAsia="Times New Roman" w:hAnsi="Times New Roman"/>
          <w:color w:val="000000"/>
          <w:sz w:val="24"/>
          <w:szCs w:val="24"/>
        </w:rPr>
        <w:t xml:space="preserve"> reversion to mean</w:t>
      </w:r>
      <w:r>
        <w:rPr>
          <w:rFonts w:ascii="Times New Roman" w:eastAsia="Times New Roman" w:hAnsi="Times New Roman"/>
          <w:color w:val="000000"/>
          <w:sz w:val="24"/>
          <w:szCs w:val="24"/>
        </w:rPr>
        <w:t xml:space="preserve">. </w:t>
      </w:r>
    </w:p>
    <w:p w14:paraId="5EAC7C52" w14:textId="61A240C6" w:rsidR="007D5111" w:rsidRDefault="00047399" w:rsidP="009F2198">
      <w:pPr>
        <w:spacing w:after="0" w:line="240" w:lineRule="auto"/>
        <w:ind w:left="-540"/>
        <w:rPr>
          <w:rFonts w:ascii="Times New Roman" w:hAnsi="Times New Roman"/>
          <w:sz w:val="24"/>
          <w:szCs w:val="24"/>
        </w:rPr>
      </w:pPr>
      <w:r>
        <w:rPr>
          <w:rFonts w:ascii="Times New Roman" w:hAnsi="Times New Roman"/>
          <w:b/>
          <w:sz w:val="24"/>
          <w:szCs w:val="24"/>
        </w:rPr>
        <w:t>Tests of Hypotheses</w:t>
      </w:r>
    </w:p>
    <w:p w14:paraId="1A2A2D28" w14:textId="77777777" w:rsidR="007D5111" w:rsidRDefault="00047399" w:rsidP="009F2198">
      <w:pPr>
        <w:spacing w:after="0" w:line="240" w:lineRule="auto"/>
        <w:ind w:left="-540"/>
        <w:rPr>
          <w:rFonts w:ascii="Times New Roman" w:hAnsi="Times New Roman"/>
          <w:sz w:val="24"/>
          <w:szCs w:val="24"/>
        </w:rPr>
      </w:pPr>
      <w:r>
        <w:rPr>
          <w:rFonts w:ascii="Times New Roman" w:hAnsi="Times New Roman"/>
          <w:sz w:val="24"/>
          <w:szCs w:val="24"/>
        </w:rPr>
        <w:t xml:space="preserve">The hypotheses of this study are tested based on the probability values of coefficients. The decision rule is that p probability value of less than 0.05 indicates that the coefficient is significant while those above 0.05 indicates insignificant values. The result of the CCC –VARMA-GARCH model is used for this purpose. </w:t>
      </w:r>
    </w:p>
    <w:p w14:paraId="00122DCA" w14:textId="77777777" w:rsidR="00946D96" w:rsidRDefault="00946D96" w:rsidP="009F2198">
      <w:pPr>
        <w:spacing w:after="0" w:line="240" w:lineRule="auto"/>
        <w:ind w:left="-540"/>
        <w:rPr>
          <w:rFonts w:ascii="Times New Roman" w:hAnsi="Times New Roman"/>
          <w:b/>
          <w:sz w:val="24"/>
          <w:szCs w:val="24"/>
        </w:rPr>
      </w:pPr>
    </w:p>
    <w:p w14:paraId="5F13296D" w14:textId="289BE7A3" w:rsidR="007D5111" w:rsidRPr="00946D96" w:rsidRDefault="00047399" w:rsidP="009F2198">
      <w:pPr>
        <w:pStyle w:val="ListParagraph"/>
        <w:numPr>
          <w:ilvl w:val="0"/>
          <w:numId w:val="21"/>
        </w:numPr>
        <w:spacing w:after="0" w:line="240" w:lineRule="auto"/>
        <w:rPr>
          <w:rFonts w:ascii="Times New Roman" w:hAnsi="Times New Roman"/>
          <w:sz w:val="24"/>
          <w:szCs w:val="24"/>
        </w:rPr>
      </w:pPr>
      <w:r w:rsidRPr="00946D96">
        <w:rPr>
          <w:rFonts w:ascii="Times New Roman" w:hAnsi="Times New Roman"/>
          <w:b/>
          <w:sz w:val="24"/>
          <w:szCs w:val="24"/>
        </w:rPr>
        <w:t>Hypothesis One</w:t>
      </w:r>
    </w:p>
    <w:p w14:paraId="7D2928E4" w14:textId="1C73E4B7" w:rsidR="007D5111" w:rsidRDefault="00047399" w:rsidP="009F2198">
      <w:pPr>
        <w:spacing w:after="0" w:line="240" w:lineRule="auto"/>
        <w:ind w:left="-540"/>
        <w:rPr>
          <w:rFonts w:ascii="Times New Roman" w:hAnsi="Times New Roman"/>
          <w:sz w:val="24"/>
          <w:szCs w:val="24"/>
        </w:rPr>
      </w:pPr>
      <w:r w:rsidRPr="00AE5F68">
        <w:rPr>
          <w:rFonts w:ascii="Times New Roman" w:hAnsi="Times New Roman"/>
          <w:b/>
          <w:bCs/>
          <w:i/>
          <w:iCs/>
          <w:sz w:val="24"/>
          <w:szCs w:val="24"/>
        </w:rPr>
        <w:t>The return spillover from oil to sector specific indices on the Nigerian exchange limited is not significant:</w:t>
      </w:r>
      <w:r w:rsidR="007D5111">
        <w:rPr>
          <w:rFonts w:ascii="Times New Roman" w:hAnsi="Times New Roman"/>
          <w:sz w:val="24"/>
          <w:szCs w:val="24"/>
        </w:rPr>
        <w:t xml:space="preserve"> </w:t>
      </w:r>
      <w:r>
        <w:rPr>
          <w:rFonts w:ascii="Times New Roman" w:hAnsi="Times New Roman"/>
          <w:sz w:val="24"/>
          <w:szCs w:val="24"/>
        </w:rPr>
        <w:t xml:space="preserve">From the result on table 4.5, we observe that the return spillover effects from oil to the eleven industrial sectors are all significant except the conglomerates sector whose probability value is above the threshold of 0.05. </w:t>
      </w:r>
      <w:r w:rsidR="00946D96">
        <w:rPr>
          <w:rFonts w:ascii="Times New Roman" w:hAnsi="Times New Roman"/>
          <w:sz w:val="24"/>
          <w:szCs w:val="24"/>
        </w:rPr>
        <w:t>This study</w:t>
      </w:r>
      <w:r>
        <w:rPr>
          <w:rFonts w:ascii="Times New Roman" w:hAnsi="Times New Roman"/>
          <w:sz w:val="24"/>
          <w:szCs w:val="24"/>
        </w:rPr>
        <w:t xml:space="preserve"> therefore</w:t>
      </w:r>
      <w:r w:rsidRPr="00085DAE">
        <w:rPr>
          <w:rFonts w:ascii="Times New Roman" w:hAnsi="Times New Roman"/>
          <w:sz w:val="24"/>
          <w:szCs w:val="24"/>
        </w:rPr>
        <w:t xml:space="preserve">, </w:t>
      </w:r>
      <w:r w:rsidR="00946D96" w:rsidRPr="00085DAE">
        <w:rPr>
          <w:rFonts w:ascii="Times New Roman" w:hAnsi="Times New Roman"/>
          <w:sz w:val="24"/>
          <w:szCs w:val="24"/>
        </w:rPr>
        <w:t xml:space="preserve">disagree with </w:t>
      </w:r>
      <w:r w:rsidRPr="00085DAE">
        <w:rPr>
          <w:rFonts w:ascii="Times New Roman" w:hAnsi="Times New Roman"/>
          <w:sz w:val="24"/>
          <w:szCs w:val="24"/>
        </w:rPr>
        <w:t>the</w:t>
      </w:r>
      <w:r>
        <w:rPr>
          <w:rFonts w:ascii="Times New Roman" w:hAnsi="Times New Roman"/>
          <w:sz w:val="24"/>
          <w:szCs w:val="24"/>
        </w:rPr>
        <w:t xml:space="preserve"> hypothesis and conclude</w:t>
      </w:r>
      <w:r w:rsidR="00946D96">
        <w:rPr>
          <w:rFonts w:ascii="Times New Roman" w:hAnsi="Times New Roman"/>
          <w:sz w:val="24"/>
          <w:szCs w:val="24"/>
        </w:rPr>
        <w:t xml:space="preserve">d </w:t>
      </w:r>
      <w:r>
        <w:rPr>
          <w:rFonts w:ascii="Times New Roman" w:hAnsi="Times New Roman"/>
          <w:sz w:val="24"/>
          <w:szCs w:val="24"/>
        </w:rPr>
        <w:t>emphatically that the return spillover from oil to industrial sectors on the N</w:t>
      </w:r>
      <w:r w:rsidR="00946D96">
        <w:rPr>
          <w:rFonts w:ascii="Times New Roman" w:hAnsi="Times New Roman"/>
          <w:sz w:val="24"/>
          <w:szCs w:val="24"/>
        </w:rPr>
        <w:t>GX</w:t>
      </w:r>
      <w:r>
        <w:rPr>
          <w:rFonts w:ascii="Times New Roman" w:hAnsi="Times New Roman"/>
          <w:sz w:val="24"/>
          <w:szCs w:val="24"/>
        </w:rPr>
        <w:t xml:space="preserve"> are significant except the conglomerates rector in which case, the hypothesis is accepted. </w:t>
      </w:r>
    </w:p>
    <w:p w14:paraId="4EC74495" w14:textId="77777777" w:rsidR="00946D96" w:rsidRDefault="00946D96" w:rsidP="009F2198">
      <w:pPr>
        <w:spacing w:after="0" w:line="240" w:lineRule="auto"/>
        <w:ind w:left="-540"/>
        <w:rPr>
          <w:rFonts w:ascii="Times New Roman" w:hAnsi="Times New Roman"/>
          <w:b/>
          <w:sz w:val="24"/>
          <w:szCs w:val="24"/>
        </w:rPr>
      </w:pPr>
    </w:p>
    <w:p w14:paraId="2F129B0E" w14:textId="7EF9C353" w:rsidR="007D5111" w:rsidRPr="00946D96" w:rsidRDefault="00047399" w:rsidP="009F2198">
      <w:pPr>
        <w:pStyle w:val="ListParagraph"/>
        <w:numPr>
          <w:ilvl w:val="0"/>
          <w:numId w:val="21"/>
        </w:numPr>
        <w:spacing w:after="0" w:line="240" w:lineRule="auto"/>
        <w:rPr>
          <w:rFonts w:ascii="Times New Roman" w:hAnsi="Times New Roman"/>
          <w:sz w:val="24"/>
          <w:szCs w:val="24"/>
        </w:rPr>
      </w:pPr>
      <w:r w:rsidRPr="00946D96">
        <w:rPr>
          <w:rFonts w:ascii="Times New Roman" w:hAnsi="Times New Roman"/>
          <w:b/>
          <w:sz w:val="24"/>
          <w:szCs w:val="24"/>
        </w:rPr>
        <w:t>Hypothesis Two</w:t>
      </w:r>
    </w:p>
    <w:p w14:paraId="77D33509" w14:textId="70BACB24" w:rsidR="007D5111" w:rsidRDefault="00047399" w:rsidP="009F2198">
      <w:pPr>
        <w:spacing w:after="0" w:line="240" w:lineRule="auto"/>
        <w:ind w:left="-540"/>
        <w:rPr>
          <w:rFonts w:ascii="Times New Roman" w:hAnsi="Times New Roman"/>
          <w:sz w:val="24"/>
          <w:szCs w:val="24"/>
        </w:rPr>
      </w:pPr>
      <w:r w:rsidRPr="00AE5F68">
        <w:rPr>
          <w:rFonts w:ascii="Times New Roman" w:hAnsi="Times New Roman"/>
          <w:b/>
          <w:bCs/>
          <w:i/>
          <w:iCs/>
          <w:sz w:val="24"/>
          <w:szCs w:val="24"/>
        </w:rPr>
        <w:t xml:space="preserve">There is no significant return spillover from sector specific stocks on the </w:t>
      </w:r>
      <w:r w:rsidR="00946D96" w:rsidRPr="00AE5F68">
        <w:rPr>
          <w:rFonts w:ascii="Times New Roman" w:hAnsi="Times New Roman"/>
          <w:b/>
          <w:bCs/>
          <w:i/>
          <w:iCs/>
          <w:sz w:val="24"/>
          <w:szCs w:val="24"/>
        </w:rPr>
        <w:t>NGX</w:t>
      </w:r>
      <w:r w:rsidRPr="00AE5F68">
        <w:rPr>
          <w:rFonts w:ascii="Times New Roman" w:hAnsi="Times New Roman"/>
          <w:b/>
          <w:bCs/>
          <w:i/>
          <w:iCs/>
          <w:sz w:val="24"/>
          <w:szCs w:val="24"/>
        </w:rPr>
        <w:t xml:space="preserve"> to oil prices</w:t>
      </w:r>
      <w:r w:rsidRPr="00AE5F68">
        <w:rPr>
          <w:rFonts w:ascii="Times New Roman" w:hAnsi="Times New Roman"/>
          <w:i/>
          <w:iCs/>
          <w:sz w:val="24"/>
          <w:szCs w:val="24"/>
        </w:rPr>
        <w:t>.</w:t>
      </w:r>
      <w:r>
        <w:rPr>
          <w:rFonts w:ascii="Times New Roman" w:hAnsi="Times New Roman"/>
          <w:sz w:val="24"/>
          <w:szCs w:val="24"/>
        </w:rPr>
        <w:t xml:space="preserve"> From the results reported on table 4, we notice</w:t>
      </w:r>
      <w:r w:rsidR="00946D96">
        <w:rPr>
          <w:rFonts w:ascii="Times New Roman" w:hAnsi="Times New Roman"/>
          <w:sz w:val="24"/>
          <w:szCs w:val="24"/>
        </w:rPr>
        <w:t>d</w:t>
      </w:r>
      <w:r>
        <w:rPr>
          <w:rFonts w:ascii="Times New Roman" w:hAnsi="Times New Roman"/>
          <w:sz w:val="24"/>
          <w:szCs w:val="24"/>
        </w:rPr>
        <w:t xml:space="preserve"> that the return spillover from the stock sectors, agriculture, construction, consumer goods, financial services ICT, natural resources, oil &amp;</w:t>
      </w:r>
      <w:r w:rsidR="00946D96">
        <w:rPr>
          <w:rFonts w:ascii="Times New Roman" w:hAnsi="Times New Roman"/>
          <w:sz w:val="24"/>
          <w:szCs w:val="24"/>
        </w:rPr>
        <w:t xml:space="preserve"> </w:t>
      </w:r>
      <w:r>
        <w:rPr>
          <w:rFonts w:ascii="Times New Roman" w:hAnsi="Times New Roman"/>
          <w:sz w:val="24"/>
          <w:szCs w:val="24"/>
        </w:rPr>
        <w:t xml:space="preserve">gas as services to oil are significant going by their probability values, while the return spillover from conglomerates, health care and industrial goods to oil </w:t>
      </w:r>
      <w:r w:rsidR="00946D96">
        <w:rPr>
          <w:rFonts w:ascii="Times New Roman" w:hAnsi="Times New Roman"/>
          <w:sz w:val="24"/>
          <w:szCs w:val="24"/>
        </w:rPr>
        <w:t>were</w:t>
      </w:r>
      <w:r>
        <w:rPr>
          <w:rFonts w:ascii="Times New Roman" w:hAnsi="Times New Roman"/>
          <w:sz w:val="24"/>
          <w:szCs w:val="24"/>
        </w:rPr>
        <w:t xml:space="preserve"> not significant. </w:t>
      </w:r>
      <w:r w:rsidR="007D5111">
        <w:rPr>
          <w:rFonts w:ascii="Times New Roman" w:hAnsi="Times New Roman"/>
          <w:sz w:val="24"/>
          <w:szCs w:val="24"/>
        </w:rPr>
        <w:t xml:space="preserve"> </w:t>
      </w:r>
      <w:r>
        <w:rPr>
          <w:rFonts w:ascii="Times New Roman" w:hAnsi="Times New Roman"/>
          <w:sz w:val="24"/>
          <w:szCs w:val="24"/>
        </w:rPr>
        <w:t xml:space="preserve">The hypothesis is accepted for conglomerates, </w:t>
      </w:r>
      <w:r>
        <w:rPr>
          <w:rFonts w:ascii="Times New Roman" w:hAnsi="Times New Roman"/>
          <w:sz w:val="24"/>
          <w:szCs w:val="24"/>
        </w:rPr>
        <w:t xml:space="preserve">health care and industrial goods, and rejected for the rest.   </w:t>
      </w:r>
    </w:p>
    <w:p w14:paraId="551C1ECE" w14:textId="77777777" w:rsidR="00946D96" w:rsidRDefault="00946D96" w:rsidP="009F2198">
      <w:pPr>
        <w:spacing w:after="0" w:line="240" w:lineRule="auto"/>
        <w:ind w:left="-540"/>
        <w:rPr>
          <w:rFonts w:ascii="Times New Roman" w:hAnsi="Times New Roman"/>
          <w:b/>
          <w:sz w:val="24"/>
          <w:szCs w:val="24"/>
        </w:rPr>
      </w:pPr>
    </w:p>
    <w:p w14:paraId="7CA68903" w14:textId="3A471C79" w:rsidR="007D5111" w:rsidRPr="00946D96" w:rsidRDefault="00047399" w:rsidP="009F2198">
      <w:pPr>
        <w:pStyle w:val="ListParagraph"/>
        <w:numPr>
          <w:ilvl w:val="0"/>
          <w:numId w:val="21"/>
        </w:numPr>
        <w:spacing w:after="0" w:line="240" w:lineRule="auto"/>
        <w:rPr>
          <w:rFonts w:ascii="Times New Roman" w:hAnsi="Times New Roman"/>
          <w:sz w:val="24"/>
          <w:szCs w:val="24"/>
        </w:rPr>
      </w:pPr>
      <w:r w:rsidRPr="00946D96">
        <w:rPr>
          <w:rFonts w:ascii="Times New Roman" w:hAnsi="Times New Roman"/>
          <w:b/>
          <w:sz w:val="24"/>
          <w:szCs w:val="24"/>
        </w:rPr>
        <w:t>Hypothesis Three</w:t>
      </w:r>
    </w:p>
    <w:p w14:paraId="1BE323EA" w14:textId="2519F455" w:rsidR="00047399" w:rsidRDefault="00047399" w:rsidP="009F2198">
      <w:pPr>
        <w:spacing w:after="0" w:line="240" w:lineRule="auto"/>
        <w:ind w:left="-540"/>
        <w:rPr>
          <w:rFonts w:ascii="Times New Roman" w:hAnsi="Times New Roman"/>
          <w:sz w:val="24"/>
          <w:szCs w:val="24"/>
        </w:rPr>
      </w:pPr>
      <w:r w:rsidRPr="00AE5F68">
        <w:rPr>
          <w:rFonts w:ascii="Times New Roman" w:hAnsi="Times New Roman"/>
          <w:b/>
          <w:bCs/>
          <w:i/>
          <w:iCs/>
          <w:sz w:val="24"/>
          <w:szCs w:val="24"/>
        </w:rPr>
        <w:t xml:space="preserve">The volatility spillover effects from oil to sector specific stock returns on the </w:t>
      </w:r>
      <w:r w:rsidR="00946D96" w:rsidRPr="00AE5F68">
        <w:rPr>
          <w:rFonts w:ascii="Times New Roman" w:hAnsi="Times New Roman"/>
          <w:b/>
          <w:bCs/>
          <w:i/>
          <w:iCs/>
          <w:sz w:val="24"/>
          <w:szCs w:val="24"/>
        </w:rPr>
        <w:t>NGX</w:t>
      </w:r>
      <w:r w:rsidRPr="00AE5F68">
        <w:rPr>
          <w:rFonts w:ascii="Times New Roman" w:hAnsi="Times New Roman"/>
          <w:b/>
          <w:bCs/>
          <w:i/>
          <w:iCs/>
          <w:sz w:val="24"/>
          <w:szCs w:val="24"/>
        </w:rPr>
        <w:t xml:space="preserve"> is not significant.</w:t>
      </w:r>
      <w:r w:rsidR="007D5111">
        <w:rPr>
          <w:rFonts w:ascii="Times New Roman" w:hAnsi="Times New Roman"/>
          <w:sz w:val="24"/>
          <w:szCs w:val="24"/>
        </w:rPr>
        <w:t xml:space="preserve"> </w:t>
      </w:r>
      <w:r>
        <w:rPr>
          <w:rFonts w:ascii="Times New Roman" w:hAnsi="Times New Roman"/>
          <w:sz w:val="24"/>
          <w:szCs w:val="24"/>
        </w:rPr>
        <w:t>Based on our bench mark results, we observe</w:t>
      </w:r>
      <w:r w:rsidR="003C4BF3">
        <w:rPr>
          <w:rFonts w:ascii="Times New Roman" w:hAnsi="Times New Roman"/>
          <w:sz w:val="24"/>
          <w:szCs w:val="24"/>
        </w:rPr>
        <w:t>d</w:t>
      </w:r>
      <w:r>
        <w:rPr>
          <w:rFonts w:ascii="Times New Roman" w:hAnsi="Times New Roman"/>
          <w:sz w:val="24"/>
          <w:szCs w:val="24"/>
        </w:rPr>
        <w:t xml:space="preserve"> that all the prob. Values from the estimated results are significant, we can therefore reject the hypothesis and conclude that the volatility spillover from oil to each of the eleven industries sectors is significant.</w:t>
      </w:r>
    </w:p>
    <w:p w14:paraId="08F3EB03" w14:textId="77777777" w:rsidR="003C4BF3" w:rsidRDefault="003C4BF3" w:rsidP="009F2198">
      <w:pPr>
        <w:spacing w:after="0" w:line="240" w:lineRule="auto"/>
        <w:rPr>
          <w:rFonts w:ascii="Times New Roman" w:hAnsi="Times New Roman"/>
          <w:b/>
          <w:sz w:val="24"/>
          <w:szCs w:val="24"/>
        </w:rPr>
      </w:pPr>
    </w:p>
    <w:p w14:paraId="73E58A2B" w14:textId="4910149F" w:rsidR="007D5111" w:rsidRPr="003C4BF3" w:rsidRDefault="00047399" w:rsidP="009F2198">
      <w:pPr>
        <w:pStyle w:val="ListParagraph"/>
        <w:numPr>
          <w:ilvl w:val="0"/>
          <w:numId w:val="21"/>
        </w:numPr>
        <w:spacing w:after="0" w:line="240" w:lineRule="auto"/>
        <w:rPr>
          <w:rFonts w:ascii="Times New Roman" w:hAnsi="Times New Roman"/>
          <w:b/>
          <w:sz w:val="24"/>
          <w:szCs w:val="24"/>
        </w:rPr>
      </w:pPr>
      <w:r w:rsidRPr="003C4BF3">
        <w:rPr>
          <w:rFonts w:ascii="Times New Roman" w:hAnsi="Times New Roman"/>
          <w:b/>
          <w:sz w:val="24"/>
          <w:szCs w:val="24"/>
        </w:rPr>
        <w:t>Hypothesis Four</w:t>
      </w:r>
    </w:p>
    <w:p w14:paraId="47F27C5F" w14:textId="6FBF2F07" w:rsidR="00047399" w:rsidRPr="007D5111" w:rsidRDefault="00047399" w:rsidP="009F2198">
      <w:pPr>
        <w:spacing w:after="0" w:line="240" w:lineRule="auto"/>
        <w:ind w:left="-540"/>
        <w:rPr>
          <w:rFonts w:ascii="Times New Roman" w:hAnsi="Times New Roman"/>
          <w:b/>
          <w:sz w:val="24"/>
          <w:szCs w:val="24"/>
        </w:rPr>
      </w:pPr>
      <w:r w:rsidRPr="00AE5F68">
        <w:rPr>
          <w:rFonts w:ascii="Times New Roman" w:hAnsi="Times New Roman"/>
          <w:b/>
          <w:bCs/>
          <w:i/>
          <w:iCs/>
          <w:sz w:val="24"/>
          <w:szCs w:val="24"/>
        </w:rPr>
        <w:t>The volatility spillover for sector specific returns on the</w:t>
      </w:r>
      <w:r w:rsidR="003C4BF3" w:rsidRPr="00AE5F68">
        <w:rPr>
          <w:rFonts w:ascii="Times New Roman" w:hAnsi="Times New Roman"/>
          <w:b/>
          <w:bCs/>
          <w:i/>
          <w:iCs/>
          <w:sz w:val="24"/>
          <w:szCs w:val="24"/>
        </w:rPr>
        <w:t xml:space="preserve"> NGX </w:t>
      </w:r>
      <w:r w:rsidRPr="00AE5F68">
        <w:rPr>
          <w:rFonts w:ascii="Times New Roman" w:hAnsi="Times New Roman"/>
          <w:b/>
          <w:bCs/>
          <w:i/>
          <w:iCs/>
          <w:sz w:val="24"/>
          <w:szCs w:val="24"/>
        </w:rPr>
        <w:t>to oil is not significant</w:t>
      </w:r>
      <w:r w:rsidRPr="00AE5F68">
        <w:rPr>
          <w:rFonts w:ascii="Times New Roman" w:hAnsi="Times New Roman"/>
          <w:i/>
          <w:iCs/>
          <w:sz w:val="24"/>
          <w:szCs w:val="24"/>
        </w:rPr>
        <w:t>.</w:t>
      </w:r>
      <w:r w:rsidR="007D5111">
        <w:rPr>
          <w:rFonts w:ascii="Times New Roman" w:hAnsi="Times New Roman"/>
          <w:b/>
          <w:sz w:val="24"/>
          <w:szCs w:val="24"/>
        </w:rPr>
        <w:t xml:space="preserve"> </w:t>
      </w:r>
      <w:r w:rsidR="003C4BF3">
        <w:rPr>
          <w:rFonts w:ascii="Times New Roman" w:hAnsi="Times New Roman"/>
          <w:sz w:val="24"/>
          <w:szCs w:val="24"/>
        </w:rPr>
        <w:t>F</w:t>
      </w:r>
      <w:r>
        <w:rPr>
          <w:rFonts w:ascii="Times New Roman" w:hAnsi="Times New Roman"/>
          <w:sz w:val="24"/>
          <w:szCs w:val="24"/>
        </w:rPr>
        <w:t>rom the results of the estimated coefficient, we observe</w:t>
      </w:r>
      <w:r w:rsidR="003C4BF3">
        <w:rPr>
          <w:rFonts w:ascii="Times New Roman" w:hAnsi="Times New Roman"/>
          <w:sz w:val="24"/>
          <w:szCs w:val="24"/>
        </w:rPr>
        <w:t>d</w:t>
      </w:r>
      <w:r>
        <w:rPr>
          <w:rFonts w:ascii="Times New Roman" w:hAnsi="Times New Roman"/>
          <w:sz w:val="24"/>
          <w:szCs w:val="24"/>
        </w:rPr>
        <w:t xml:space="preserve"> that the probability values for the industrial sectors are significant except for financial services and the ICT sectors. We therefore, reject the hypothesis and conclude that the volatility spillover from sector specific returns to oil is significant, except for financial services and the ICT sector in which case, the hypothesis is accepted.</w:t>
      </w:r>
    </w:p>
    <w:p w14:paraId="3C9A1FF4" w14:textId="77777777" w:rsidR="00047399" w:rsidRDefault="00047399" w:rsidP="009F2198">
      <w:pPr>
        <w:spacing w:after="0" w:line="240" w:lineRule="auto"/>
        <w:rPr>
          <w:rFonts w:ascii="Times New Roman" w:hAnsi="Times New Roman"/>
          <w:b/>
          <w:sz w:val="24"/>
          <w:szCs w:val="24"/>
        </w:rPr>
      </w:pPr>
    </w:p>
    <w:p w14:paraId="7FC8AC81" w14:textId="77777777" w:rsidR="007D5111" w:rsidRPr="003C4BF3" w:rsidRDefault="00047399" w:rsidP="009F2198">
      <w:pPr>
        <w:pStyle w:val="ListParagraph"/>
        <w:numPr>
          <w:ilvl w:val="0"/>
          <w:numId w:val="21"/>
        </w:numPr>
        <w:spacing w:after="0" w:line="240" w:lineRule="auto"/>
        <w:rPr>
          <w:rFonts w:ascii="Times New Roman" w:hAnsi="Times New Roman"/>
          <w:b/>
          <w:sz w:val="24"/>
          <w:szCs w:val="24"/>
        </w:rPr>
      </w:pPr>
      <w:r w:rsidRPr="003C4BF3">
        <w:rPr>
          <w:rFonts w:ascii="Times New Roman" w:hAnsi="Times New Roman"/>
          <w:b/>
          <w:sz w:val="24"/>
          <w:szCs w:val="24"/>
        </w:rPr>
        <w:t>Hypothesis Five</w:t>
      </w:r>
    </w:p>
    <w:p w14:paraId="119CDD4A" w14:textId="77777777" w:rsidR="009F2198" w:rsidRDefault="00047399" w:rsidP="009F2198">
      <w:pPr>
        <w:spacing w:after="0" w:line="240" w:lineRule="auto"/>
        <w:ind w:left="-540"/>
        <w:rPr>
          <w:rFonts w:ascii="Times New Roman" w:hAnsi="Times New Roman"/>
          <w:b/>
          <w:sz w:val="24"/>
          <w:szCs w:val="24"/>
        </w:rPr>
      </w:pPr>
      <w:r>
        <w:rPr>
          <w:rFonts w:ascii="Times New Roman" w:hAnsi="Times New Roman"/>
          <w:sz w:val="24"/>
          <w:szCs w:val="24"/>
        </w:rPr>
        <w:t xml:space="preserve">There is no conditional correlation between oil market and each of the sectors on the </w:t>
      </w:r>
      <w:r w:rsidR="003C4BF3">
        <w:rPr>
          <w:rFonts w:ascii="Times New Roman" w:hAnsi="Times New Roman"/>
          <w:sz w:val="24"/>
          <w:szCs w:val="24"/>
        </w:rPr>
        <w:t>NGX</w:t>
      </w:r>
      <w:r>
        <w:rPr>
          <w:rFonts w:ascii="Times New Roman" w:hAnsi="Times New Roman"/>
          <w:sz w:val="24"/>
          <w:szCs w:val="24"/>
        </w:rPr>
        <w:t>.</w:t>
      </w:r>
      <w:r w:rsidR="003C4BF3">
        <w:rPr>
          <w:rFonts w:ascii="Times New Roman" w:hAnsi="Times New Roman"/>
          <w:sz w:val="24"/>
          <w:szCs w:val="24"/>
        </w:rPr>
        <w:t xml:space="preserve"> </w:t>
      </w:r>
      <w:r>
        <w:rPr>
          <w:rFonts w:ascii="Times New Roman" w:hAnsi="Times New Roman"/>
          <w:sz w:val="24"/>
          <w:szCs w:val="24"/>
        </w:rPr>
        <w:t>From the result of the Constant Conditional Correlation (CCC) estimates, we observe</w:t>
      </w:r>
      <w:r w:rsidR="003C4BF3">
        <w:rPr>
          <w:rFonts w:ascii="Times New Roman" w:hAnsi="Times New Roman"/>
          <w:sz w:val="24"/>
          <w:szCs w:val="24"/>
        </w:rPr>
        <w:t>d</w:t>
      </w:r>
      <w:r>
        <w:rPr>
          <w:rFonts w:ascii="Times New Roman" w:hAnsi="Times New Roman"/>
          <w:sz w:val="24"/>
          <w:szCs w:val="24"/>
        </w:rPr>
        <w:t xml:space="preserve"> that the correlation between oil market and each of the industrial sectors is significant for all the sectors except the agriculture sector. We therefore, reject the hypothesis and conclude that conditional correction between oil market and each of the sectors on the </w:t>
      </w:r>
      <w:proofErr w:type="spellStart"/>
      <w:r>
        <w:rPr>
          <w:rFonts w:ascii="Times New Roman" w:hAnsi="Times New Roman"/>
          <w:sz w:val="24"/>
          <w:szCs w:val="24"/>
        </w:rPr>
        <w:t>ngx</w:t>
      </w:r>
      <w:proofErr w:type="spellEnd"/>
      <w:r>
        <w:rPr>
          <w:rFonts w:ascii="Times New Roman" w:hAnsi="Times New Roman"/>
          <w:sz w:val="24"/>
          <w:szCs w:val="24"/>
        </w:rPr>
        <w:t xml:space="preserve"> are significant except for agriculture where the hypothesis is accepted.</w:t>
      </w:r>
    </w:p>
    <w:p w14:paraId="7FF98E81" w14:textId="77777777" w:rsidR="009F2198" w:rsidRDefault="009F2198" w:rsidP="009F2198">
      <w:pPr>
        <w:spacing w:after="0" w:line="240" w:lineRule="auto"/>
        <w:ind w:left="-540"/>
        <w:rPr>
          <w:rFonts w:ascii="Times New Roman" w:hAnsi="Times New Roman"/>
          <w:b/>
          <w:sz w:val="24"/>
          <w:szCs w:val="24"/>
        </w:rPr>
      </w:pPr>
    </w:p>
    <w:p w14:paraId="3DF1E736" w14:textId="49E20C2A" w:rsidR="001A3DED" w:rsidRDefault="007E7EDB" w:rsidP="009F2198">
      <w:pPr>
        <w:spacing w:after="0" w:line="240" w:lineRule="auto"/>
        <w:ind w:left="-540"/>
        <w:rPr>
          <w:rFonts w:ascii="Times New Roman" w:hAnsi="Times New Roman"/>
          <w:b/>
          <w:sz w:val="24"/>
          <w:szCs w:val="24"/>
        </w:rPr>
      </w:pPr>
      <w:r w:rsidRPr="003136E8">
        <w:rPr>
          <w:rFonts w:ascii="Times New Roman" w:hAnsi="Times New Roman"/>
          <w:b/>
          <w:sz w:val="24"/>
          <w:szCs w:val="24"/>
        </w:rPr>
        <w:t xml:space="preserve">CONCLUSION </w:t>
      </w:r>
    </w:p>
    <w:p w14:paraId="043FCE4C" w14:textId="02255483" w:rsidR="001A3DED" w:rsidRDefault="001A3DED" w:rsidP="009F2198">
      <w:pPr>
        <w:spacing w:after="0" w:line="240" w:lineRule="auto"/>
        <w:ind w:left="-540"/>
        <w:rPr>
          <w:rFonts w:ascii="Times New Roman" w:hAnsi="Times New Roman"/>
          <w:b/>
          <w:sz w:val="24"/>
          <w:szCs w:val="24"/>
        </w:rPr>
      </w:pPr>
      <w:r w:rsidRPr="001A3DED">
        <w:rPr>
          <w:rFonts w:ascii="Times New Roman" w:eastAsia="Times New Roman" w:hAnsi="Times New Roman"/>
          <w:sz w:val="24"/>
          <w:szCs w:val="24"/>
        </w:rPr>
        <w:t>The study investigate</w:t>
      </w:r>
      <w:r w:rsidR="003C4BF3">
        <w:rPr>
          <w:rFonts w:ascii="Times New Roman" w:eastAsia="Times New Roman" w:hAnsi="Times New Roman"/>
          <w:sz w:val="24"/>
          <w:szCs w:val="24"/>
        </w:rPr>
        <w:t>d</w:t>
      </w:r>
      <w:r w:rsidRPr="001A3DED">
        <w:rPr>
          <w:rFonts w:ascii="Times New Roman" w:eastAsia="Times New Roman" w:hAnsi="Times New Roman"/>
          <w:sz w:val="24"/>
          <w:szCs w:val="24"/>
        </w:rPr>
        <w:t xml:space="preserve"> the impact of oil prices on sector-specific stock returns indices on the Nigeria Exchange Group (NGX) using a disaggregated approach. It </w:t>
      </w:r>
      <w:r w:rsidR="003C4BF3">
        <w:rPr>
          <w:rFonts w:ascii="Times New Roman" w:eastAsia="Times New Roman" w:hAnsi="Times New Roman"/>
          <w:sz w:val="24"/>
          <w:szCs w:val="24"/>
        </w:rPr>
        <w:t xml:space="preserve">aimed </w:t>
      </w:r>
      <w:r w:rsidRPr="001A3DED">
        <w:rPr>
          <w:rFonts w:ascii="Times New Roman" w:eastAsia="Times New Roman" w:hAnsi="Times New Roman"/>
          <w:sz w:val="24"/>
          <w:szCs w:val="24"/>
        </w:rPr>
        <w:t xml:space="preserve">to assess the effects of return spillover from oil prices to sector-specific stocks, volatility spillover from oil prices to sector-specific stocks, and the conditional correlation between oil prices and </w:t>
      </w:r>
      <w:r w:rsidRPr="001A3DED">
        <w:rPr>
          <w:rFonts w:ascii="Times New Roman" w:eastAsia="Times New Roman" w:hAnsi="Times New Roman"/>
          <w:sz w:val="24"/>
          <w:szCs w:val="24"/>
        </w:rPr>
        <w:lastRenderedPageBreak/>
        <w:t>each stock sector on the NGX. Data from 2011 to 2022 was sourced on Brent oil price and eleven stock sectors.</w:t>
      </w:r>
    </w:p>
    <w:p w14:paraId="1ED9FE9F" w14:textId="77777777" w:rsidR="001A3DED" w:rsidRPr="001A3DED" w:rsidRDefault="001A3DED" w:rsidP="009F2198">
      <w:pPr>
        <w:spacing w:after="0" w:line="240" w:lineRule="auto"/>
        <w:ind w:left="-540"/>
        <w:rPr>
          <w:rFonts w:ascii="Times New Roman" w:hAnsi="Times New Roman"/>
          <w:b/>
          <w:sz w:val="8"/>
          <w:szCs w:val="24"/>
        </w:rPr>
      </w:pPr>
    </w:p>
    <w:p w14:paraId="092CCE2E" w14:textId="77777777" w:rsidR="00D66026" w:rsidRPr="003C4BF3" w:rsidRDefault="00D66026" w:rsidP="009F2198">
      <w:pPr>
        <w:spacing w:after="0" w:line="240" w:lineRule="auto"/>
        <w:rPr>
          <w:rFonts w:ascii="Times New Roman" w:hAnsi="Times New Roman"/>
          <w:color w:val="FF0000"/>
          <w:sz w:val="12"/>
          <w:szCs w:val="24"/>
        </w:rPr>
      </w:pPr>
    </w:p>
    <w:p w14:paraId="555EE997" w14:textId="23DCF69B" w:rsidR="007E7EDB" w:rsidRPr="00494C24" w:rsidRDefault="007E7EDB" w:rsidP="009F2198">
      <w:pPr>
        <w:spacing w:after="0" w:line="240" w:lineRule="auto"/>
        <w:ind w:left="-450"/>
        <w:rPr>
          <w:rFonts w:ascii="Times New Roman" w:hAnsi="Times New Roman"/>
          <w:b/>
          <w:sz w:val="24"/>
          <w:szCs w:val="24"/>
        </w:rPr>
      </w:pPr>
      <w:r>
        <w:rPr>
          <w:rFonts w:ascii="Times New Roman" w:hAnsi="Times New Roman"/>
          <w:sz w:val="24"/>
          <w:szCs w:val="24"/>
        </w:rPr>
        <w:t>This study examined effect of return and volatility spillover effects between oil prices and stock return at the disaggregated level in Nigeria using high frequency data.</w:t>
      </w:r>
      <w:r w:rsidR="003C4BF3">
        <w:rPr>
          <w:rFonts w:ascii="Times New Roman" w:hAnsi="Times New Roman"/>
          <w:sz w:val="24"/>
          <w:szCs w:val="24"/>
        </w:rPr>
        <w:t xml:space="preserve"> </w:t>
      </w:r>
      <w:r>
        <w:rPr>
          <w:rFonts w:ascii="Times New Roman" w:hAnsi="Times New Roman"/>
          <w:sz w:val="24"/>
          <w:szCs w:val="24"/>
        </w:rPr>
        <w:t xml:space="preserve">Vector Autoregressive moving average generalized autoregressive conditional </w:t>
      </w:r>
      <w:proofErr w:type="spellStart"/>
      <w:r>
        <w:rPr>
          <w:rFonts w:ascii="Times New Roman" w:hAnsi="Times New Roman"/>
          <w:sz w:val="24"/>
          <w:szCs w:val="24"/>
        </w:rPr>
        <w:t>heteroscedacity</w:t>
      </w:r>
      <w:proofErr w:type="spellEnd"/>
      <w:r>
        <w:rPr>
          <w:rFonts w:ascii="Times New Roman" w:hAnsi="Times New Roman"/>
          <w:sz w:val="24"/>
          <w:szCs w:val="24"/>
        </w:rPr>
        <w:t xml:space="preserve"> (VARMA-GARCH) was used to estimate the parameters of the model. Based on the results obtained, the various analyses carried out, this study conclusions as follow: </w:t>
      </w:r>
    </w:p>
    <w:p w14:paraId="35342371" w14:textId="77777777" w:rsidR="007E7EDB" w:rsidRDefault="007E7EDB" w:rsidP="009F2198">
      <w:pPr>
        <w:spacing w:after="0" w:line="240" w:lineRule="auto"/>
        <w:ind w:left="720" w:hanging="720"/>
        <w:rPr>
          <w:rFonts w:ascii="Times New Roman" w:hAnsi="Times New Roman"/>
          <w:sz w:val="24"/>
          <w:szCs w:val="24"/>
        </w:rPr>
      </w:pPr>
      <w:proofErr w:type="spellStart"/>
      <w:r>
        <w:rPr>
          <w:rFonts w:ascii="Times New Roman" w:hAnsi="Times New Roman"/>
          <w:sz w:val="24"/>
          <w:szCs w:val="24"/>
        </w:rPr>
        <w:t>i</w:t>
      </w:r>
      <w:proofErr w:type="spellEnd"/>
      <w:r>
        <w:rPr>
          <w:rFonts w:ascii="Times New Roman" w:hAnsi="Times New Roman"/>
          <w:sz w:val="24"/>
          <w:szCs w:val="24"/>
        </w:rPr>
        <w:t>.</w:t>
      </w:r>
      <w:r>
        <w:rPr>
          <w:rFonts w:ascii="Times New Roman" w:hAnsi="Times New Roman"/>
          <w:sz w:val="24"/>
          <w:szCs w:val="24"/>
        </w:rPr>
        <w:tab/>
        <w:t>That investors’ decision to invest their resources in the stock market, represented by different sectors is significantly based or influenced by the benefits they obtain previously.</w:t>
      </w:r>
    </w:p>
    <w:p w14:paraId="2C407ADF" w14:textId="24E23D42"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ii.</w:t>
      </w:r>
      <w:r>
        <w:rPr>
          <w:rFonts w:ascii="Times New Roman" w:hAnsi="Times New Roman"/>
          <w:sz w:val="24"/>
          <w:szCs w:val="24"/>
        </w:rPr>
        <w:tab/>
        <w:t>Investors look at the signs from the oil market based on the returns</w:t>
      </w:r>
      <w:r w:rsidRPr="003C4BF3">
        <w:rPr>
          <w:rFonts w:ascii="Times New Roman" w:hAnsi="Times New Roman"/>
          <w:color w:val="FF0000"/>
          <w:sz w:val="24"/>
          <w:szCs w:val="24"/>
        </w:rPr>
        <w:t xml:space="preserve">, </w:t>
      </w:r>
      <w:r>
        <w:rPr>
          <w:rFonts w:ascii="Times New Roman" w:hAnsi="Times New Roman"/>
          <w:sz w:val="24"/>
          <w:szCs w:val="24"/>
        </w:rPr>
        <w:t>to expect what will likely happen to their investment.</w:t>
      </w:r>
    </w:p>
    <w:p w14:paraId="40B6882A" w14:textId="77777777"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iii.</w:t>
      </w:r>
      <w:r>
        <w:rPr>
          <w:rFonts w:ascii="Times New Roman" w:hAnsi="Times New Roman"/>
          <w:sz w:val="24"/>
          <w:szCs w:val="24"/>
        </w:rPr>
        <w:tab/>
        <w:t>Most of the investors who invest in the oil market do not necessarily worry themselves on what happens in the stock market.</w:t>
      </w:r>
    </w:p>
    <w:p w14:paraId="35929437" w14:textId="6EED6901"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iv.</w:t>
      </w:r>
      <w:r>
        <w:rPr>
          <w:rFonts w:ascii="Times New Roman" w:hAnsi="Times New Roman"/>
          <w:sz w:val="24"/>
          <w:szCs w:val="24"/>
        </w:rPr>
        <w:tab/>
        <w:t>Short</w:t>
      </w:r>
      <w:r w:rsidR="003C4BF3">
        <w:rPr>
          <w:rFonts w:ascii="Times New Roman" w:hAnsi="Times New Roman"/>
          <w:sz w:val="24"/>
          <w:szCs w:val="24"/>
        </w:rPr>
        <w:t>-</w:t>
      </w:r>
      <w:r>
        <w:rPr>
          <w:rFonts w:ascii="Times New Roman" w:hAnsi="Times New Roman"/>
          <w:sz w:val="24"/>
          <w:szCs w:val="24"/>
        </w:rPr>
        <w:t>term instability in oil market will affect investors in the capital market very significantly. However,</w:t>
      </w:r>
      <w:r w:rsidRPr="003C4BF3">
        <w:rPr>
          <w:rFonts w:ascii="Times New Roman" w:hAnsi="Times New Roman"/>
          <w:color w:val="FF0000"/>
          <w:sz w:val="24"/>
          <w:szCs w:val="24"/>
        </w:rPr>
        <w:t xml:space="preserve"> </w:t>
      </w:r>
      <w:r>
        <w:rPr>
          <w:rFonts w:ascii="Times New Roman" w:hAnsi="Times New Roman"/>
          <w:sz w:val="24"/>
          <w:szCs w:val="24"/>
        </w:rPr>
        <w:t>short term instability in stock market will not cause any worry to those investing in oil market.</w:t>
      </w:r>
    </w:p>
    <w:p w14:paraId="534CDD78" w14:textId="6F7E7BCB"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v.</w:t>
      </w:r>
      <w:r>
        <w:rPr>
          <w:rFonts w:ascii="Times New Roman" w:hAnsi="Times New Roman"/>
          <w:sz w:val="24"/>
          <w:szCs w:val="24"/>
        </w:rPr>
        <w:tab/>
        <w:t xml:space="preserve">Instability in the oil market that lasts longer than necessary will affect investors who invest in the capital market as this will affect their returns or </w:t>
      </w:r>
      <w:r w:rsidR="003C4BF3">
        <w:rPr>
          <w:rFonts w:ascii="Times New Roman" w:hAnsi="Times New Roman"/>
          <w:sz w:val="24"/>
          <w:szCs w:val="24"/>
        </w:rPr>
        <w:t>profits,</w:t>
      </w:r>
      <w:r>
        <w:rPr>
          <w:rFonts w:ascii="Times New Roman" w:hAnsi="Times New Roman"/>
          <w:sz w:val="24"/>
          <w:szCs w:val="24"/>
        </w:rPr>
        <w:t xml:space="preserve"> they intend to earn.</w:t>
      </w:r>
    </w:p>
    <w:p w14:paraId="46D9161E" w14:textId="77777777" w:rsidR="00B93759" w:rsidRPr="00B93759" w:rsidRDefault="00B93759" w:rsidP="009F2198">
      <w:pPr>
        <w:spacing w:after="0" w:line="240" w:lineRule="auto"/>
        <w:ind w:left="720" w:hanging="720"/>
        <w:rPr>
          <w:rFonts w:ascii="Times New Roman" w:hAnsi="Times New Roman"/>
          <w:sz w:val="4"/>
          <w:szCs w:val="24"/>
        </w:rPr>
      </w:pPr>
    </w:p>
    <w:p w14:paraId="510E7B29" w14:textId="1654C40D" w:rsidR="007E7EDB" w:rsidRDefault="007E7EDB" w:rsidP="009F2198">
      <w:pPr>
        <w:spacing w:after="0" w:line="240" w:lineRule="auto"/>
        <w:rPr>
          <w:rFonts w:ascii="Times New Roman" w:hAnsi="Times New Roman"/>
          <w:sz w:val="24"/>
          <w:szCs w:val="24"/>
        </w:rPr>
      </w:pPr>
      <w:r>
        <w:rPr>
          <w:rFonts w:ascii="Times New Roman" w:hAnsi="Times New Roman"/>
          <w:sz w:val="24"/>
          <w:szCs w:val="24"/>
        </w:rPr>
        <w:t>This study examined the effects of return and volatility spillover between oil prices and sector stock returns in Nigeria. Based on the findings and the conclusion, the study recommends as follows:</w:t>
      </w:r>
    </w:p>
    <w:p w14:paraId="3397C543" w14:textId="77777777" w:rsidR="007E7EDB" w:rsidRDefault="007E7EDB" w:rsidP="009F2198">
      <w:pPr>
        <w:spacing w:after="0" w:line="240" w:lineRule="auto"/>
        <w:ind w:left="720" w:hanging="720"/>
        <w:rPr>
          <w:rFonts w:ascii="Times New Roman" w:hAnsi="Times New Roman"/>
          <w:sz w:val="24"/>
          <w:szCs w:val="24"/>
        </w:rPr>
      </w:pPr>
      <w:proofErr w:type="spellStart"/>
      <w:r>
        <w:rPr>
          <w:rFonts w:ascii="Times New Roman" w:hAnsi="Times New Roman"/>
          <w:sz w:val="24"/>
          <w:szCs w:val="24"/>
        </w:rPr>
        <w:t>i</w:t>
      </w:r>
      <w:proofErr w:type="spellEnd"/>
      <w:r>
        <w:rPr>
          <w:rFonts w:ascii="Times New Roman" w:hAnsi="Times New Roman"/>
          <w:sz w:val="24"/>
          <w:szCs w:val="24"/>
        </w:rPr>
        <w:t>.</w:t>
      </w:r>
      <w:r>
        <w:rPr>
          <w:rFonts w:ascii="Times New Roman" w:hAnsi="Times New Roman"/>
          <w:sz w:val="24"/>
          <w:szCs w:val="24"/>
        </w:rPr>
        <w:tab/>
        <w:t xml:space="preserve">Investors, fund managers, portfolio managers should build accurate asset pricing and </w:t>
      </w:r>
      <w:r>
        <w:rPr>
          <w:rFonts w:ascii="Times New Roman" w:hAnsi="Times New Roman"/>
          <w:sz w:val="24"/>
          <w:szCs w:val="24"/>
        </w:rPr>
        <w:t>forecasts of the return from both oil and stock.</w:t>
      </w:r>
    </w:p>
    <w:p w14:paraId="60776E5C" w14:textId="77777777"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ii.</w:t>
      </w:r>
      <w:r>
        <w:rPr>
          <w:rFonts w:ascii="Times New Roman" w:hAnsi="Times New Roman"/>
          <w:sz w:val="24"/>
          <w:szCs w:val="24"/>
        </w:rPr>
        <w:tab/>
        <w:t>Investors should regulate their actions to avoid risk in the events of market shocks.</w:t>
      </w:r>
    </w:p>
    <w:p w14:paraId="60D1A326" w14:textId="77777777"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iii.</w:t>
      </w:r>
      <w:r>
        <w:rPr>
          <w:rFonts w:ascii="Times New Roman" w:hAnsi="Times New Roman"/>
          <w:sz w:val="24"/>
          <w:szCs w:val="24"/>
        </w:rPr>
        <w:tab/>
        <w:t>Investors, policy makers should continually monitor return in both markets in order to predict and forecast prices in the short term as to minimize shocks.</w:t>
      </w:r>
    </w:p>
    <w:p w14:paraId="656CDFF0" w14:textId="77777777"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iv.</w:t>
      </w:r>
      <w:r>
        <w:rPr>
          <w:rFonts w:ascii="Times New Roman" w:hAnsi="Times New Roman"/>
          <w:sz w:val="24"/>
          <w:szCs w:val="24"/>
        </w:rPr>
        <w:tab/>
        <w:t>Investors, portfolio managers also should factor into their decision making own short term (ARCH) and long term (GARCH) effects to minimize risks associated with their investment.</w:t>
      </w:r>
    </w:p>
    <w:p w14:paraId="1CD7F30D" w14:textId="4CF1ED9B"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v.</w:t>
      </w:r>
      <w:r>
        <w:rPr>
          <w:rFonts w:ascii="Times New Roman" w:hAnsi="Times New Roman"/>
          <w:sz w:val="24"/>
          <w:szCs w:val="24"/>
        </w:rPr>
        <w:tab/>
      </w:r>
      <w:r w:rsidR="00A24347">
        <w:rPr>
          <w:rFonts w:ascii="Times New Roman" w:hAnsi="Times New Roman"/>
          <w:sz w:val="24"/>
          <w:szCs w:val="24"/>
        </w:rPr>
        <w:t xml:space="preserve">Due to </w:t>
      </w:r>
      <w:r>
        <w:rPr>
          <w:rFonts w:ascii="Times New Roman" w:hAnsi="Times New Roman"/>
          <w:sz w:val="24"/>
          <w:szCs w:val="24"/>
        </w:rPr>
        <w:t>high level of volatility persistence, investors should construct portfolio weights and hedge ratios to minimize risks without affecting gains.</w:t>
      </w:r>
    </w:p>
    <w:p w14:paraId="2393ECAD" w14:textId="77777777"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vi.</w:t>
      </w:r>
      <w:r>
        <w:rPr>
          <w:rFonts w:ascii="Times New Roman" w:hAnsi="Times New Roman"/>
          <w:sz w:val="24"/>
          <w:szCs w:val="24"/>
        </w:rPr>
        <w:tab/>
        <w:t>Investors should invest simultaneously in both oil and stock sectors with the aim of getting higher returns because of the low conditional correlations.</w:t>
      </w:r>
    </w:p>
    <w:p w14:paraId="7CEB701A" w14:textId="783526B3" w:rsidR="007E7EDB" w:rsidRDefault="007E7EDB" w:rsidP="009F2198">
      <w:pPr>
        <w:spacing w:after="0" w:line="240" w:lineRule="auto"/>
        <w:ind w:left="720" w:hanging="720"/>
        <w:rPr>
          <w:rFonts w:ascii="Times New Roman" w:hAnsi="Times New Roman"/>
          <w:sz w:val="24"/>
          <w:szCs w:val="24"/>
        </w:rPr>
      </w:pPr>
      <w:r>
        <w:rPr>
          <w:rFonts w:ascii="Times New Roman" w:hAnsi="Times New Roman"/>
          <w:sz w:val="24"/>
          <w:szCs w:val="24"/>
        </w:rPr>
        <w:t>vii.</w:t>
      </w:r>
      <w:r>
        <w:rPr>
          <w:rFonts w:ascii="Times New Roman" w:hAnsi="Times New Roman"/>
          <w:sz w:val="24"/>
          <w:szCs w:val="24"/>
        </w:rPr>
        <w:tab/>
        <w:t xml:space="preserve">Policy makers should adopt policies for very high oil dependent firms to </w:t>
      </w:r>
      <w:r w:rsidR="00A24347">
        <w:rPr>
          <w:rFonts w:ascii="Times New Roman" w:hAnsi="Times New Roman"/>
          <w:sz w:val="24"/>
          <w:szCs w:val="24"/>
        </w:rPr>
        <w:t xml:space="preserve">seek </w:t>
      </w:r>
      <w:r>
        <w:rPr>
          <w:rFonts w:ascii="Times New Roman" w:hAnsi="Times New Roman"/>
          <w:sz w:val="24"/>
          <w:szCs w:val="24"/>
        </w:rPr>
        <w:t>alternative source of inputs in their production activities.</w:t>
      </w:r>
    </w:p>
    <w:p w14:paraId="6F388BAE" w14:textId="77777777" w:rsidR="008D6160" w:rsidRDefault="008D6160" w:rsidP="009F2198">
      <w:pPr>
        <w:spacing w:after="0" w:line="240" w:lineRule="auto"/>
        <w:rPr>
          <w:rFonts w:ascii="Times New Roman" w:eastAsia="Times New Roman" w:hAnsi="Times New Roman"/>
          <w:b/>
          <w:color w:val="000000"/>
          <w:sz w:val="24"/>
          <w:szCs w:val="24"/>
        </w:rPr>
      </w:pPr>
    </w:p>
    <w:p w14:paraId="7CEDE086" w14:textId="77777777" w:rsidR="008D6160" w:rsidRPr="00AE4EA1" w:rsidRDefault="008D6160" w:rsidP="009F2198">
      <w:pPr>
        <w:spacing w:after="0"/>
        <w:rPr>
          <w:rFonts w:ascii="Times New Roman" w:hAnsi="Times New Roman"/>
          <w:b/>
          <w:color w:val="000000"/>
          <w:sz w:val="24"/>
          <w:szCs w:val="24"/>
        </w:rPr>
      </w:pPr>
      <w:r w:rsidRPr="00AE4EA1">
        <w:rPr>
          <w:rFonts w:ascii="Times New Roman" w:hAnsi="Times New Roman"/>
          <w:b/>
          <w:color w:val="000000"/>
          <w:sz w:val="24"/>
          <w:szCs w:val="24"/>
        </w:rPr>
        <w:t>REFERENCES</w:t>
      </w:r>
    </w:p>
    <w:p w14:paraId="4CCB6B71" w14:textId="77777777" w:rsidR="008D6160" w:rsidRDefault="008D6160" w:rsidP="009F2198">
      <w:pPr>
        <w:spacing w:after="0" w:line="240" w:lineRule="auto"/>
        <w:ind w:left="720" w:hanging="720"/>
        <w:rPr>
          <w:rFonts w:ascii="Times New Roman" w:hAnsi="Times New Roman"/>
          <w:color w:val="000000"/>
          <w:sz w:val="24"/>
          <w:szCs w:val="24"/>
        </w:rPr>
      </w:pPr>
      <w:r w:rsidRPr="00AE4EA1">
        <w:rPr>
          <w:rFonts w:ascii="Times New Roman" w:hAnsi="Times New Roman"/>
          <w:color w:val="000000"/>
          <w:sz w:val="24"/>
          <w:szCs w:val="24"/>
        </w:rPr>
        <w:t xml:space="preserve">Abdala, S. Z. (2013) Modeling the Impact of oil price fluctuation on the stock return in an emerging market: The case of Saudi-Arabia: </w:t>
      </w:r>
      <w:r w:rsidRPr="00AE4EA1">
        <w:rPr>
          <w:rFonts w:ascii="Times New Roman" w:hAnsi="Times New Roman"/>
          <w:i/>
          <w:color w:val="000000"/>
          <w:sz w:val="24"/>
          <w:szCs w:val="24"/>
        </w:rPr>
        <w:t>Interdisciplinary Journal of Research in Business,</w:t>
      </w:r>
      <w:r w:rsidRPr="00AE4EA1">
        <w:rPr>
          <w:rFonts w:ascii="Times New Roman" w:hAnsi="Times New Roman"/>
          <w:color w:val="000000"/>
          <w:sz w:val="24"/>
          <w:szCs w:val="24"/>
        </w:rPr>
        <w:t xml:space="preserve"> 2(10) 10 – 20.</w:t>
      </w:r>
    </w:p>
    <w:p w14:paraId="32E5A425" w14:textId="483D8BEB" w:rsidR="008D6160" w:rsidRDefault="008D6160" w:rsidP="009F2198">
      <w:pPr>
        <w:spacing w:after="0" w:line="240" w:lineRule="auto"/>
        <w:ind w:left="720" w:hanging="720"/>
        <w:rPr>
          <w:rFonts w:ascii="Times New Roman" w:hAnsi="Times New Roman"/>
          <w:i/>
          <w:sz w:val="24"/>
          <w:szCs w:val="24"/>
        </w:rPr>
      </w:pPr>
      <w:r w:rsidRPr="008D22D9">
        <w:rPr>
          <w:rFonts w:ascii="Times New Roman" w:hAnsi="Times New Roman"/>
          <w:sz w:val="24"/>
          <w:szCs w:val="24"/>
        </w:rPr>
        <w:t xml:space="preserve">Abraham T.W (2016) Exchange rate Policy and Facility Crude oil prices, Effects on the </w:t>
      </w:r>
      <w:r w:rsidR="00387410" w:rsidRPr="008D22D9">
        <w:rPr>
          <w:rFonts w:ascii="Times New Roman" w:hAnsi="Times New Roman"/>
          <w:sz w:val="24"/>
          <w:szCs w:val="24"/>
        </w:rPr>
        <w:t>Nigerian stock</w:t>
      </w:r>
      <w:r w:rsidRPr="008D22D9">
        <w:rPr>
          <w:rFonts w:ascii="Times New Roman" w:hAnsi="Times New Roman"/>
          <w:sz w:val="24"/>
          <w:szCs w:val="24"/>
        </w:rPr>
        <w:t xml:space="preserve"> market</w:t>
      </w:r>
      <w:r w:rsidRPr="00ED24F3">
        <w:rPr>
          <w:rFonts w:ascii="Times New Roman" w:hAnsi="Times New Roman"/>
          <w:i/>
          <w:sz w:val="24"/>
          <w:szCs w:val="24"/>
        </w:rPr>
        <w:t>. CBN journal of Applied Statistics</w:t>
      </w:r>
      <w:r>
        <w:rPr>
          <w:rFonts w:ascii="Times New Roman" w:hAnsi="Times New Roman"/>
          <w:i/>
          <w:sz w:val="24"/>
          <w:szCs w:val="24"/>
        </w:rPr>
        <w:t>,</w:t>
      </w:r>
      <w:r w:rsidRPr="00ED24F3">
        <w:rPr>
          <w:rFonts w:ascii="Times New Roman" w:hAnsi="Times New Roman"/>
          <w:i/>
          <w:sz w:val="24"/>
          <w:szCs w:val="24"/>
        </w:rPr>
        <w:t xml:space="preserve"> </w:t>
      </w:r>
      <w:r w:rsidRPr="00EC1AC2">
        <w:rPr>
          <w:rFonts w:ascii="Times New Roman" w:hAnsi="Times New Roman"/>
          <w:iCs/>
          <w:sz w:val="24"/>
          <w:szCs w:val="24"/>
        </w:rPr>
        <w:t>1(7)</w:t>
      </w:r>
      <w:r w:rsidR="00EC1AC2">
        <w:rPr>
          <w:rFonts w:ascii="Times New Roman" w:hAnsi="Times New Roman"/>
          <w:iCs/>
          <w:sz w:val="24"/>
          <w:szCs w:val="24"/>
        </w:rPr>
        <w:t xml:space="preserve">, </w:t>
      </w:r>
      <w:r w:rsidRPr="00EC1AC2">
        <w:rPr>
          <w:rFonts w:ascii="Times New Roman" w:hAnsi="Times New Roman"/>
          <w:iCs/>
          <w:sz w:val="24"/>
          <w:szCs w:val="24"/>
        </w:rPr>
        <w:t>111 – 113</w:t>
      </w:r>
      <w:r w:rsidRPr="00ED24F3">
        <w:rPr>
          <w:rFonts w:ascii="Times New Roman" w:hAnsi="Times New Roman"/>
          <w:i/>
          <w:sz w:val="24"/>
          <w:szCs w:val="24"/>
        </w:rPr>
        <w:t>.</w:t>
      </w:r>
    </w:p>
    <w:p w14:paraId="2ED6EDF8" w14:textId="3DDA18FC" w:rsidR="008D6160" w:rsidRPr="00B445E7" w:rsidRDefault="008D6160" w:rsidP="009F2198">
      <w:pPr>
        <w:spacing w:after="0" w:line="240" w:lineRule="auto"/>
        <w:ind w:left="720" w:hanging="720"/>
        <w:rPr>
          <w:rFonts w:ascii="Times New Roman" w:hAnsi="Times New Roman"/>
          <w:position w:val="-6"/>
          <w:sz w:val="24"/>
          <w:szCs w:val="24"/>
        </w:rPr>
      </w:pPr>
      <w:r>
        <w:rPr>
          <w:rFonts w:ascii="Times New Roman" w:hAnsi="Times New Roman"/>
          <w:position w:val="-6"/>
          <w:sz w:val="24"/>
          <w:szCs w:val="24"/>
        </w:rPr>
        <w:t>Adenuga, A,</w:t>
      </w:r>
      <w:r w:rsidR="00A24347">
        <w:rPr>
          <w:rFonts w:ascii="Times New Roman" w:hAnsi="Times New Roman"/>
          <w:position w:val="-6"/>
          <w:sz w:val="24"/>
          <w:szCs w:val="24"/>
        </w:rPr>
        <w:t xml:space="preserve"> </w:t>
      </w:r>
      <w:r>
        <w:rPr>
          <w:rFonts w:ascii="Times New Roman" w:hAnsi="Times New Roman"/>
          <w:position w:val="-6"/>
          <w:sz w:val="24"/>
          <w:szCs w:val="24"/>
        </w:rPr>
        <w:t xml:space="preserve">O. (2010). Stock Market Development and Economic Growth in Nigeria: An Empirical </w:t>
      </w:r>
      <w:r>
        <w:rPr>
          <w:rFonts w:ascii="Times New Roman" w:hAnsi="Times New Roman"/>
          <w:position w:val="-6"/>
          <w:sz w:val="24"/>
          <w:szCs w:val="24"/>
        </w:rPr>
        <w:lastRenderedPageBreak/>
        <w:t xml:space="preserve">Investigation. </w:t>
      </w:r>
      <w:r>
        <w:rPr>
          <w:rFonts w:ascii="Times New Roman" w:hAnsi="Times New Roman"/>
          <w:i/>
          <w:position w:val="-6"/>
          <w:sz w:val="24"/>
          <w:szCs w:val="24"/>
        </w:rPr>
        <w:t>CBN Economic and Financial Review</w:t>
      </w:r>
      <w:r>
        <w:rPr>
          <w:rFonts w:ascii="Times New Roman" w:hAnsi="Times New Roman"/>
          <w:position w:val="-6"/>
          <w:sz w:val="24"/>
          <w:szCs w:val="24"/>
        </w:rPr>
        <w:t>, 48(1) 33 – 67.</w:t>
      </w:r>
    </w:p>
    <w:p w14:paraId="0674045C" w14:textId="77777777" w:rsidR="008D6160" w:rsidRDefault="008D6160" w:rsidP="009F2198">
      <w:pPr>
        <w:spacing w:after="0" w:line="240" w:lineRule="auto"/>
        <w:ind w:left="720" w:hanging="720"/>
        <w:rPr>
          <w:rFonts w:ascii="Times New Roman" w:hAnsi="Times New Roman"/>
          <w:position w:val="-6"/>
          <w:sz w:val="24"/>
          <w:szCs w:val="24"/>
        </w:rPr>
      </w:pPr>
      <w:proofErr w:type="spellStart"/>
      <w:r w:rsidRPr="00560CAA">
        <w:rPr>
          <w:rFonts w:ascii="Times New Roman" w:hAnsi="Times New Roman"/>
          <w:position w:val="-6"/>
          <w:sz w:val="24"/>
          <w:szCs w:val="24"/>
        </w:rPr>
        <w:t>Akomolafe</w:t>
      </w:r>
      <w:proofErr w:type="spellEnd"/>
      <w:r w:rsidRPr="00560CAA">
        <w:rPr>
          <w:rFonts w:ascii="Times New Roman" w:hAnsi="Times New Roman"/>
          <w:position w:val="-6"/>
          <w:sz w:val="24"/>
          <w:szCs w:val="24"/>
        </w:rPr>
        <w:t>, J. &amp; Danladi, J. (2014) Oil price dynamics and the Nigeria s</w:t>
      </w:r>
      <w:r>
        <w:rPr>
          <w:rFonts w:ascii="Times New Roman" w:hAnsi="Times New Roman"/>
          <w:position w:val="-6"/>
          <w:sz w:val="24"/>
          <w:szCs w:val="24"/>
        </w:rPr>
        <w:t>tock market. an industry level A</w:t>
      </w:r>
      <w:r w:rsidRPr="00560CAA">
        <w:rPr>
          <w:rFonts w:ascii="Times New Roman" w:hAnsi="Times New Roman"/>
          <w:position w:val="-6"/>
          <w:sz w:val="24"/>
          <w:szCs w:val="24"/>
        </w:rPr>
        <w:t xml:space="preserve">nalysts. </w:t>
      </w:r>
      <w:r w:rsidRPr="007A2705">
        <w:rPr>
          <w:rFonts w:ascii="Times New Roman" w:hAnsi="Times New Roman"/>
          <w:i/>
          <w:position w:val="-6"/>
          <w:sz w:val="24"/>
          <w:szCs w:val="24"/>
        </w:rPr>
        <w:t>International Journal of Economics, Finance, and Management</w:t>
      </w:r>
      <w:r w:rsidRPr="00560CAA">
        <w:rPr>
          <w:rFonts w:ascii="Times New Roman" w:hAnsi="Times New Roman"/>
          <w:position w:val="-6"/>
          <w:sz w:val="24"/>
          <w:szCs w:val="24"/>
        </w:rPr>
        <w:t xml:space="preserve">, </w:t>
      </w:r>
      <w:r>
        <w:rPr>
          <w:rFonts w:ascii="Times New Roman" w:hAnsi="Times New Roman"/>
          <w:position w:val="-6"/>
          <w:sz w:val="24"/>
          <w:szCs w:val="24"/>
        </w:rPr>
        <w:t>3(</w:t>
      </w:r>
      <w:r w:rsidRPr="00560CAA">
        <w:rPr>
          <w:rFonts w:ascii="Times New Roman" w:hAnsi="Times New Roman"/>
          <w:position w:val="-6"/>
          <w:sz w:val="24"/>
          <w:szCs w:val="24"/>
        </w:rPr>
        <w:t>6</w:t>
      </w:r>
      <w:r>
        <w:rPr>
          <w:rFonts w:ascii="Times New Roman" w:hAnsi="Times New Roman"/>
          <w:position w:val="-6"/>
          <w:sz w:val="24"/>
          <w:szCs w:val="24"/>
        </w:rPr>
        <w:t>), 18-26</w:t>
      </w:r>
      <w:r w:rsidRPr="00560CAA">
        <w:rPr>
          <w:rFonts w:ascii="Times New Roman" w:hAnsi="Times New Roman"/>
          <w:position w:val="-6"/>
          <w:sz w:val="24"/>
          <w:szCs w:val="24"/>
        </w:rPr>
        <w:t>.</w:t>
      </w:r>
    </w:p>
    <w:p w14:paraId="73B1A3D4" w14:textId="14A775C2" w:rsidR="00387410" w:rsidRPr="00387410" w:rsidRDefault="00387410" w:rsidP="00AE5F68">
      <w:pPr>
        <w:spacing w:after="0"/>
        <w:rPr>
          <w:rFonts w:ascii="Times New Roman" w:hAnsi="Times New Roman"/>
          <w:sz w:val="24"/>
          <w:szCs w:val="24"/>
          <w:shd w:val="clear" w:color="auto" w:fill="FFFFFF"/>
        </w:rPr>
      </w:pPr>
      <w:proofErr w:type="spellStart"/>
      <w:r w:rsidRPr="00387410">
        <w:rPr>
          <w:rFonts w:ascii="Times New Roman" w:hAnsi="Times New Roman"/>
          <w:sz w:val="24"/>
          <w:szCs w:val="24"/>
        </w:rPr>
        <w:t>Ajekwe</w:t>
      </w:r>
      <w:proofErr w:type="spellEnd"/>
      <w:r w:rsidRPr="00387410">
        <w:rPr>
          <w:rFonts w:ascii="Times New Roman" w:hAnsi="Times New Roman"/>
          <w:sz w:val="24"/>
          <w:szCs w:val="24"/>
        </w:rPr>
        <w:t xml:space="preserve"> T., </w:t>
      </w:r>
      <w:proofErr w:type="spellStart"/>
      <w:r w:rsidRPr="00387410">
        <w:rPr>
          <w:rFonts w:ascii="Times New Roman" w:hAnsi="Times New Roman"/>
          <w:sz w:val="24"/>
          <w:szCs w:val="24"/>
        </w:rPr>
        <w:t>Yua</w:t>
      </w:r>
      <w:proofErr w:type="spellEnd"/>
      <w:r w:rsidRPr="00387410">
        <w:rPr>
          <w:rFonts w:ascii="Times New Roman" w:hAnsi="Times New Roman"/>
          <w:sz w:val="24"/>
          <w:szCs w:val="24"/>
        </w:rPr>
        <w:t xml:space="preserve"> H. and </w:t>
      </w:r>
      <w:proofErr w:type="spellStart"/>
      <w:r w:rsidRPr="00387410">
        <w:rPr>
          <w:rFonts w:ascii="Times New Roman" w:hAnsi="Times New Roman"/>
          <w:sz w:val="24"/>
          <w:szCs w:val="24"/>
        </w:rPr>
        <w:t>Tyona</w:t>
      </w:r>
      <w:proofErr w:type="spellEnd"/>
      <w:r w:rsidRPr="00387410">
        <w:rPr>
          <w:rFonts w:ascii="Times New Roman" w:hAnsi="Times New Roman"/>
          <w:sz w:val="24"/>
          <w:szCs w:val="24"/>
        </w:rPr>
        <w:t xml:space="preserve"> T. (2024). Alternative Securities Market and Long-Term Capital Market Financing in Nigeria, </w:t>
      </w:r>
      <w:r w:rsidRPr="00387410">
        <w:rPr>
          <w:rFonts w:ascii="Times New Roman" w:hAnsi="Times New Roman"/>
          <w:i/>
          <w:sz w:val="24"/>
          <w:szCs w:val="24"/>
        </w:rPr>
        <w:t>International Journal of Development and Economic Sustainability,</w:t>
      </w:r>
      <w:r w:rsidRPr="00387410">
        <w:rPr>
          <w:rFonts w:ascii="Times New Roman" w:hAnsi="Times New Roman"/>
          <w:sz w:val="24"/>
          <w:szCs w:val="24"/>
        </w:rPr>
        <w:t xml:space="preserve"> 12(2), 1-26</w:t>
      </w:r>
    </w:p>
    <w:p w14:paraId="739B251E" w14:textId="775D46E9" w:rsidR="00387410" w:rsidRPr="00387410" w:rsidRDefault="00387410" w:rsidP="00AE5F68">
      <w:pPr>
        <w:spacing w:before="12" w:after="0" w:line="240" w:lineRule="exact"/>
        <w:rPr>
          <w:rFonts w:ascii="Times New Roman" w:hAnsi="Times New Roman"/>
          <w:sz w:val="24"/>
          <w:szCs w:val="24"/>
        </w:rPr>
      </w:pPr>
      <w:bookmarkStart w:id="1" w:name="_Hlk198141572"/>
      <w:bookmarkStart w:id="2" w:name="_Hlk197614582"/>
      <w:proofErr w:type="spellStart"/>
      <w:r w:rsidRPr="00387410">
        <w:rPr>
          <w:rFonts w:ascii="Times New Roman" w:hAnsi="Times New Roman"/>
          <w:sz w:val="24"/>
          <w:szCs w:val="24"/>
        </w:rPr>
        <w:t>Ajekwe</w:t>
      </w:r>
      <w:proofErr w:type="spellEnd"/>
      <w:r w:rsidRPr="00387410">
        <w:rPr>
          <w:rFonts w:ascii="Times New Roman" w:hAnsi="Times New Roman"/>
          <w:sz w:val="24"/>
          <w:szCs w:val="24"/>
        </w:rPr>
        <w:t xml:space="preserve">, T., </w:t>
      </w:r>
      <w:proofErr w:type="spellStart"/>
      <w:r w:rsidRPr="00387410">
        <w:rPr>
          <w:rFonts w:ascii="Times New Roman" w:hAnsi="Times New Roman"/>
          <w:bCs/>
          <w:sz w:val="24"/>
          <w:szCs w:val="24"/>
        </w:rPr>
        <w:t>Yua</w:t>
      </w:r>
      <w:proofErr w:type="spellEnd"/>
      <w:r w:rsidRPr="00387410">
        <w:rPr>
          <w:rFonts w:ascii="Times New Roman" w:hAnsi="Times New Roman"/>
          <w:bCs/>
          <w:sz w:val="24"/>
          <w:szCs w:val="24"/>
        </w:rPr>
        <w:t xml:space="preserve"> H.,</w:t>
      </w:r>
      <w:r w:rsidRPr="00387410">
        <w:rPr>
          <w:rFonts w:ascii="Times New Roman" w:hAnsi="Times New Roman"/>
          <w:sz w:val="24"/>
          <w:szCs w:val="24"/>
        </w:rPr>
        <w:t xml:space="preserve"> </w:t>
      </w:r>
      <w:proofErr w:type="spellStart"/>
      <w:r w:rsidRPr="00387410">
        <w:rPr>
          <w:rFonts w:ascii="Times New Roman" w:hAnsi="Times New Roman"/>
          <w:sz w:val="24"/>
          <w:szCs w:val="24"/>
        </w:rPr>
        <w:t>Epor</w:t>
      </w:r>
      <w:proofErr w:type="spellEnd"/>
      <w:r w:rsidRPr="00387410">
        <w:rPr>
          <w:rFonts w:ascii="Times New Roman" w:hAnsi="Times New Roman"/>
          <w:sz w:val="24"/>
          <w:szCs w:val="24"/>
        </w:rPr>
        <w:t xml:space="preserve"> S.O. and Victor U. (2024)</w:t>
      </w:r>
      <w:bookmarkEnd w:id="1"/>
      <w:r w:rsidRPr="00387410">
        <w:rPr>
          <w:rFonts w:ascii="Times New Roman" w:hAnsi="Times New Roman"/>
          <w:sz w:val="24"/>
          <w:szCs w:val="24"/>
        </w:rPr>
        <w:t xml:space="preserve">. </w:t>
      </w:r>
      <w:bookmarkEnd w:id="2"/>
      <w:r w:rsidRPr="00387410">
        <w:rPr>
          <w:rFonts w:ascii="Times New Roman" w:hAnsi="Times New Roman"/>
          <w:sz w:val="24"/>
          <w:szCs w:val="24"/>
        </w:rPr>
        <w:t>Exploring the New Financing Initiative for SMEs: The Role of Nigeria’s Alternative Securities Market (</w:t>
      </w:r>
      <w:proofErr w:type="spellStart"/>
      <w:r w:rsidRPr="00387410">
        <w:rPr>
          <w:rFonts w:ascii="Times New Roman" w:hAnsi="Times New Roman"/>
          <w:sz w:val="24"/>
          <w:szCs w:val="24"/>
        </w:rPr>
        <w:t>ASeM</w:t>
      </w:r>
      <w:proofErr w:type="spellEnd"/>
      <w:r w:rsidRPr="00387410">
        <w:rPr>
          <w:rFonts w:ascii="Times New Roman" w:hAnsi="Times New Roman"/>
          <w:sz w:val="24"/>
          <w:szCs w:val="24"/>
        </w:rPr>
        <w:t>).</w:t>
      </w:r>
      <w:r w:rsidR="009F2198">
        <w:rPr>
          <w:rFonts w:ascii="Times New Roman" w:hAnsi="Times New Roman"/>
          <w:sz w:val="24"/>
          <w:szCs w:val="24"/>
        </w:rPr>
        <w:t xml:space="preserve"> </w:t>
      </w:r>
      <w:r w:rsidRPr="00387410">
        <w:rPr>
          <w:rFonts w:ascii="Times New Roman" w:hAnsi="Times New Roman"/>
          <w:i/>
          <w:iCs/>
          <w:sz w:val="24"/>
          <w:szCs w:val="24"/>
        </w:rPr>
        <w:t xml:space="preserve">International Journal of Economics and Financial Management, </w:t>
      </w:r>
      <w:r w:rsidRPr="00387410">
        <w:rPr>
          <w:rFonts w:ascii="Times New Roman" w:hAnsi="Times New Roman"/>
          <w:sz w:val="24"/>
          <w:szCs w:val="24"/>
        </w:rPr>
        <w:t>9(3), 26-37</w:t>
      </w:r>
    </w:p>
    <w:p w14:paraId="2BD7F8EB" w14:textId="77777777" w:rsidR="008D6160" w:rsidRDefault="008D6160" w:rsidP="009F2198">
      <w:pPr>
        <w:spacing w:after="0" w:line="240" w:lineRule="auto"/>
        <w:ind w:left="720" w:hanging="720"/>
        <w:rPr>
          <w:rFonts w:ascii="Times New Roman" w:hAnsi="Times New Roman"/>
          <w:position w:val="-6"/>
          <w:sz w:val="24"/>
          <w:szCs w:val="24"/>
        </w:rPr>
      </w:pPr>
      <w:proofErr w:type="spellStart"/>
      <w:r w:rsidRPr="00560CAA">
        <w:rPr>
          <w:rFonts w:ascii="Times New Roman" w:hAnsi="Times New Roman"/>
          <w:position w:val="-6"/>
          <w:sz w:val="24"/>
          <w:szCs w:val="24"/>
        </w:rPr>
        <w:t>Alaali</w:t>
      </w:r>
      <w:proofErr w:type="spellEnd"/>
      <w:r w:rsidRPr="00560CAA">
        <w:rPr>
          <w:rFonts w:ascii="Times New Roman" w:hAnsi="Times New Roman"/>
          <w:position w:val="-6"/>
          <w:sz w:val="24"/>
          <w:szCs w:val="24"/>
        </w:rPr>
        <w:t xml:space="preserve">, F. (2017) Analysis the Effect of Oil price shocks on Asset Prices: Evidence from UK Firms. </w:t>
      </w:r>
      <w:r w:rsidRPr="007A2705">
        <w:rPr>
          <w:rFonts w:ascii="Times New Roman" w:hAnsi="Times New Roman"/>
          <w:i/>
          <w:position w:val="-6"/>
          <w:sz w:val="24"/>
          <w:szCs w:val="24"/>
        </w:rPr>
        <w:t>International Journal of Economics and Financial Issues</w:t>
      </w:r>
      <w:r>
        <w:rPr>
          <w:rFonts w:ascii="Times New Roman" w:hAnsi="Times New Roman"/>
          <w:i/>
          <w:position w:val="-6"/>
          <w:sz w:val="24"/>
          <w:szCs w:val="24"/>
        </w:rPr>
        <w:t>,</w:t>
      </w:r>
      <w:r w:rsidRPr="00560CAA">
        <w:rPr>
          <w:rFonts w:ascii="Times New Roman" w:hAnsi="Times New Roman"/>
          <w:position w:val="-6"/>
          <w:sz w:val="24"/>
          <w:szCs w:val="24"/>
        </w:rPr>
        <w:t xml:space="preserve"> 7(4)</w:t>
      </w:r>
      <w:r>
        <w:rPr>
          <w:rFonts w:ascii="Times New Roman" w:hAnsi="Times New Roman"/>
          <w:position w:val="-6"/>
          <w:sz w:val="24"/>
          <w:szCs w:val="24"/>
        </w:rPr>
        <w:t>,</w:t>
      </w:r>
      <w:r w:rsidRPr="00560CAA">
        <w:rPr>
          <w:rFonts w:ascii="Times New Roman" w:hAnsi="Times New Roman"/>
          <w:position w:val="-6"/>
          <w:sz w:val="24"/>
          <w:szCs w:val="24"/>
        </w:rPr>
        <w:t xml:space="preserve"> 418 – 432.</w:t>
      </w:r>
    </w:p>
    <w:p w14:paraId="17750B64" w14:textId="50766060" w:rsidR="008D6160" w:rsidRDefault="008D6160" w:rsidP="009F2198">
      <w:pPr>
        <w:spacing w:after="0" w:line="240" w:lineRule="auto"/>
        <w:ind w:left="720" w:hanging="720"/>
        <w:rPr>
          <w:rFonts w:ascii="Times New Roman" w:hAnsi="Times New Roman"/>
          <w:color w:val="000000"/>
          <w:sz w:val="24"/>
          <w:szCs w:val="24"/>
        </w:rPr>
      </w:pPr>
      <w:r w:rsidRPr="00AE4EA1">
        <w:rPr>
          <w:rFonts w:ascii="Times New Roman" w:hAnsi="Times New Roman"/>
          <w:color w:val="000000"/>
          <w:sz w:val="24"/>
          <w:szCs w:val="24"/>
        </w:rPr>
        <w:t xml:space="preserve">Chen Y, Li W, and </w:t>
      </w:r>
      <w:proofErr w:type="spellStart"/>
      <w:r w:rsidRPr="00AE4EA1">
        <w:rPr>
          <w:rFonts w:ascii="Times New Roman" w:hAnsi="Times New Roman"/>
          <w:color w:val="000000"/>
          <w:sz w:val="24"/>
          <w:szCs w:val="24"/>
        </w:rPr>
        <w:t>Jin</w:t>
      </w:r>
      <w:proofErr w:type="spellEnd"/>
      <w:r w:rsidRPr="00AE4EA1">
        <w:rPr>
          <w:rFonts w:ascii="Times New Roman" w:hAnsi="Times New Roman"/>
          <w:color w:val="000000"/>
          <w:sz w:val="24"/>
          <w:szCs w:val="24"/>
        </w:rPr>
        <w:t xml:space="preserve"> X. (2018). Volatility spillovers between crude oil prices and energy stock price in China. </w:t>
      </w:r>
      <w:r w:rsidRPr="00AE4EA1">
        <w:rPr>
          <w:rFonts w:ascii="Times New Roman" w:hAnsi="Times New Roman"/>
          <w:i/>
          <w:color w:val="000000"/>
          <w:sz w:val="24"/>
          <w:szCs w:val="24"/>
        </w:rPr>
        <w:t xml:space="preserve">Romania Journal of Economic Forecasting </w:t>
      </w:r>
      <w:r w:rsidRPr="00AE4EA1">
        <w:rPr>
          <w:rFonts w:ascii="Times New Roman" w:hAnsi="Times New Roman"/>
          <w:color w:val="000000"/>
          <w:sz w:val="24"/>
          <w:szCs w:val="24"/>
        </w:rPr>
        <w:t>XXI (2) 2018.</w:t>
      </w:r>
    </w:p>
    <w:p w14:paraId="0042C1C4" w14:textId="77777777" w:rsidR="008D6160" w:rsidRDefault="008D6160" w:rsidP="009F2198">
      <w:pPr>
        <w:spacing w:after="0" w:line="240" w:lineRule="auto"/>
        <w:ind w:left="720" w:hanging="720"/>
        <w:rPr>
          <w:rFonts w:ascii="Times New Roman" w:hAnsi="Times New Roman"/>
          <w:i/>
          <w:position w:val="-6"/>
          <w:sz w:val="24"/>
          <w:szCs w:val="24"/>
        </w:rPr>
      </w:pPr>
      <w:proofErr w:type="spellStart"/>
      <w:r w:rsidRPr="00560CAA">
        <w:rPr>
          <w:rFonts w:ascii="Times New Roman" w:hAnsi="Times New Roman"/>
          <w:position w:val="-6"/>
          <w:sz w:val="24"/>
          <w:szCs w:val="24"/>
        </w:rPr>
        <w:t>Ebechidi</w:t>
      </w:r>
      <w:proofErr w:type="spellEnd"/>
      <w:r w:rsidRPr="00560CAA">
        <w:rPr>
          <w:rFonts w:ascii="Times New Roman" w:hAnsi="Times New Roman"/>
          <w:position w:val="-6"/>
          <w:sz w:val="24"/>
          <w:szCs w:val="24"/>
        </w:rPr>
        <w:t>, S. &amp; Nduka, E. (2017) Modeling the Impact of Oil Price Shocks on Energy Stock Returns</w:t>
      </w:r>
      <w:r>
        <w:rPr>
          <w:rFonts w:ascii="Times New Roman" w:hAnsi="Times New Roman"/>
          <w:i/>
          <w:position w:val="-6"/>
          <w:sz w:val="24"/>
          <w:szCs w:val="24"/>
        </w:rPr>
        <w:t>. Economics bulletin,37 (</w:t>
      </w:r>
      <w:r w:rsidRPr="00ED24F3">
        <w:rPr>
          <w:rFonts w:ascii="Times New Roman" w:hAnsi="Times New Roman"/>
          <w:i/>
          <w:position w:val="-6"/>
          <w:sz w:val="24"/>
          <w:szCs w:val="24"/>
        </w:rPr>
        <w:t>4</w:t>
      </w:r>
      <w:r>
        <w:rPr>
          <w:rFonts w:ascii="Times New Roman" w:hAnsi="Times New Roman"/>
          <w:i/>
          <w:position w:val="-6"/>
          <w:sz w:val="24"/>
          <w:szCs w:val="24"/>
        </w:rPr>
        <w:t>)</w:t>
      </w:r>
      <w:r w:rsidRPr="00ED24F3">
        <w:rPr>
          <w:rFonts w:ascii="Times New Roman" w:hAnsi="Times New Roman"/>
          <w:i/>
          <w:position w:val="-6"/>
          <w:sz w:val="24"/>
          <w:szCs w:val="24"/>
        </w:rPr>
        <w:t>.</w:t>
      </w:r>
    </w:p>
    <w:p w14:paraId="1C1025CA" w14:textId="77777777" w:rsidR="008D6160" w:rsidRDefault="008D6160" w:rsidP="009F2198">
      <w:pPr>
        <w:spacing w:after="0" w:line="240" w:lineRule="auto"/>
        <w:ind w:left="720" w:hanging="720"/>
        <w:rPr>
          <w:rFonts w:ascii="Times New Roman" w:hAnsi="Times New Roman"/>
          <w:color w:val="000000"/>
          <w:sz w:val="24"/>
          <w:szCs w:val="24"/>
        </w:rPr>
      </w:pPr>
      <w:r w:rsidRPr="00AE4EA1">
        <w:rPr>
          <w:rFonts w:ascii="Times New Roman" w:hAnsi="Times New Roman"/>
          <w:color w:val="000000"/>
          <w:sz w:val="24"/>
          <w:szCs w:val="24"/>
        </w:rPr>
        <w:t xml:space="preserve">Elder J. and </w:t>
      </w:r>
      <w:proofErr w:type="spellStart"/>
      <w:r w:rsidRPr="00AE4EA1">
        <w:rPr>
          <w:rFonts w:ascii="Times New Roman" w:hAnsi="Times New Roman"/>
          <w:color w:val="000000"/>
          <w:sz w:val="24"/>
          <w:szCs w:val="24"/>
        </w:rPr>
        <w:t>Sertilis</w:t>
      </w:r>
      <w:proofErr w:type="spellEnd"/>
      <w:r w:rsidRPr="00AE4EA1">
        <w:rPr>
          <w:rFonts w:ascii="Times New Roman" w:hAnsi="Times New Roman"/>
          <w:color w:val="000000"/>
          <w:sz w:val="24"/>
          <w:szCs w:val="24"/>
        </w:rPr>
        <w:t xml:space="preserve"> A. (2008) Long memory in energy futures prices: </w:t>
      </w:r>
      <w:r w:rsidRPr="00AE4EA1">
        <w:rPr>
          <w:rFonts w:ascii="Times New Roman" w:hAnsi="Times New Roman"/>
          <w:i/>
          <w:color w:val="000000"/>
          <w:sz w:val="24"/>
          <w:szCs w:val="24"/>
        </w:rPr>
        <w:t>Review of Financial Economics</w:t>
      </w:r>
      <w:r w:rsidRPr="00AE4EA1">
        <w:rPr>
          <w:rFonts w:ascii="Times New Roman" w:hAnsi="Times New Roman"/>
          <w:color w:val="000000"/>
          <w:sz w:val="24"/>
          <w:szCs w:val="24"/>
        </w:rPr>
        <w:t>. 17, 146 – 155.</w:t>
      </w:r>
    </w:p>
    <w:p w14:paraId="328688F5"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Engle, R.; Ng, V. &amp;</w:t>
      </w:r>
      <w:proofErr w:type="spellStart"/>
      <w:r w:rsidRPr="00560CAA">
        <w:rPr>
          <w:rFonts w:ascii="Times New Roman" w:hAnsi="Times New Roman"/>
          <w:position w:val="-6"/>
          <w:sz w:val="24"/>
          <w:szCs w:val="24"/>
        </w:rPr>
        <w:t>Rottshild</w:t>
      </w:r>
      <w:proofErr w:type="spellEnd"/>
      <w:r w:rsidRPr="00560CAA">
        <w:rPr>
          <w:rFonts w:ascii="Times New Roman" w:hAnsi="Times New Roman"/>
          <w:position w:val="-6"/>
          <w:sz w:val="24"/>
          <w:szCs w:val="24"/>
        </w:rPr>
        <w:t xml:space="preserve"> (1990) Asset Pricing with factor-ARCH: Empirical estimates with TBs, </w:t>
      </w:r>
      <w:r w:rsidRPr="00F67175">
        <w:rPr>
          <w:rFonts w:ascii="Times New Roman" w:hAnsi="Times New Roman"/>
          <w:i/>
          <w:position w:val="-6"/>
          <w:sz w:val="24"/>
          <w:szCs w:val="24"/>
        </w:rPr>
        <w:t>Journal of Econometrics</w:t>
      </w:r>
      <w:r w:rsidRPr="00560CAA">
        <w:rPr>
          <w:rFonts w:ascii="Times New Roman" w:hAnsi="Times New Roman"/>
          <w:position w:val="-6"/>
          <w:sz w:val="24"/>
          <w:szCs w:val="24"/>
        </w:rPr>
        <w:t xml:space="preserve">, </w:t>
      </w:r>
      <w:r>
        <w:rPr>
          <w:rFonts w:ascii="Times New Roman" w:hAnsi="Times New Roman"/>
          <w:position w:val="-6"/>
          <w:sz w:val="24"/>
          <w:szCs w:val="24"/>
        </w:rPr>
        <w:t>(</w:t>
      </w:r>
      <w:r w:rsidRPr="00560CAA">
        <w:rPr>
          <w:rFonts w:ascii="Times New Roman" w:hAnsi="Times New Roman"/>
          <w:position w:val="-6"/>
          <w:sz w:val="24"/>
          <w:szCs w:val="24"/>
        </w:rPr>
        <w:t>45</w:t>
      </w:r>
      <w:r>
        <w:rPr>
          <w:rFonts w:ascii="Times New Roman" w:hAnsi="Times New Roman"/>
          <w:position w:val="-6"/>
          <w:sz w:val="24"/>
          <w:szCs w:val="24"/>
        </w:rPr>
        <w:t>)</w:t>
      </w:r>
      <w:r w:rsidRPr="00560CAA">
        <w:rPr>
          <w:rFonts w:ascii="Times New Roman" w:hAnsi="Times New Roman"/>
          <w:position w:val="-6"/>
          <w:sz w:val="24"/>
          <w:szCs w:val="24"/>
        </w:rPr>
        <w:t>, 213-238.</w:t>
      </w:r>
    </w:p>
    <w:p w14:paraId="6E40E74F"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Ewing &amp; Malik (2015) Volatility Spillover between Oil Prices and the Stock Market under Structural </w:t>
      </w:r>
      <w:r w:rsidRPr="00560CAA">
        <w:rPr>
          <w:rFonts w:ascii="Times New Roman" w:hAnsi="Times New Roman"/>
          <w:position w:val="-6"/>
          <w:sz w:val="24"/>
          <w:szCs w:val="24"/>
        </w:rPr>
        <w:t xml:space="preserve">Prices. </w:t>
      </w:r>
      <w:r w:rsidRPr="00F67175">
        <w:rPr>
          <w:rFonts w:ascii="Times New Roman" w:hAnsi="Times New Roman"/>
          <w:i/>
          <w:position w:val="-6"/>
          <w:sz w:val="24"/>
          <w:szCs w:val="24"/>
        </w:rPr>
        <w:t>Global Finance Journal</w:t>
      </w:r>
      <w:r>
        <w:rPr>
          <w:rFonts w:ascii="Times New Roman" w:hAnsi="Times New Roman"/>
          <w:i/>
          <w:position w:val="-6"/>
          <w:sz w:val="24"/>
          <w:szCs w:val="24"/>
        </w:rPr>
        <w:t>,</w:t>
      </w:r>
      <w:r w:rsidRPr="00560CAA">
        <w:rPr>
          <w:rFonts w:ascii="Times New Roman" w:hAnsi="Times New Roman"/>
          <w:position w:val="-6"/>
          <w:sz w:val="24"/>
          <w:szCs w:val="24"/>
        </w:rPr>
        <w:t xml:space="preserve"> 1 – 12.</w:t>
      </w:r>
    </w:p>
    <w:p w14:paraId="4AF6A667" w14:textId="77777777" w:rsidR="008D6160" w:rsidRDefault="008D6160" w:rsidP="009F2198">
      <w:pPr>
        <w:spacing w:after="0" w:line="240" w:lineRule="auto"/>
        <w:ind w:left="720" w:hanging="720"/>
        <w:rPr>
          <w:rFonts w:ascii="Times New Roman" w:hAnsi="Times New Roman"/>
          <w:i/>
          <w:position w:val="-6"/>
          <w:sz w:val="24"/>
          <w:szCs w:val="24"/>
        </w:rPr>
      </w:pPr>
      <w:proofErr w:type="spellStart"/>
      <w:r w:rsidRPr="00560CAA">
        <w:rPr>
          <w:rFonts w:ascii="Times New Roman" w:hAnsi="Times New Roman"/>
          <w:position w:val="-6"/>
          <w:sz w:val="24"/>
          <w:szCs w:val="24"/>
        </w:rPr>
        <w:t>Jafarian</w:t>
      </w:r>
      <w:proofErr w:type="spellEnd"/>
      <w:r w:rsidRPr="00560CAA">
        <w:rPr>
          <w:rFonts w:ascii="Times New Roman" w:hAnsi="Times New Roman"/>
          <w:position w:val="-6"/>
          <w:sz w:val="24"/>
          <w:szCs w:val="24"/>
        </w:rPr>
        <w:t xml:space="preserve"> &amp; </w:t>
      </w:r>
      <w:proofErr w:type="spellStart"/>
      <w:r w:rsidRPr="00560CAA">
        <w:rPr>
          <w:rFonts w:ascii="Times New Roman" w:hAnsi="Times New Roman"/>
          <w:position w:val="-6"/>
          <w:sz w:val="24"/>
          <w:szCs w:val="24"/>
        </w:rPr>
        <w:t>Safai</w:t>
      </w:r>
      <w:proofErr w:type="spellEnd"/>
      <w:r w:rsidRPr="00560CAA">
        <w:rPr>
          <w:rFonts w:ascii="Times New Roman" w:hAnsi="Times New Roman"/>
          <w:position w:val="-6"/>
          <w:sz w:val="24"/>
          <w:szCs w:val="24"/>
        </w:rPr>
        <w:t xml:space="preserve"> (2015) Impact of Oil Price Fluctuation on Returns of Different Sectors of Malaysia Stock Market, </w:t>
      </w:r>
      <w:r>
        <w:rPr>
          <w:rFonts w:ascii="Times New Roman" w:hAnsi="Times New Roman"/>
          <w:i/>
          <w:position w:val="-6"/>
          <w:sz w:val="24"/>
          <w:szCs w:val="24"/>
        </w:rPr>
        <w:t>1(11),</w:t>
      </w:r>
      <w:r w:rsidRPr="00ED24F3">
        <w:rPr>
          <w:rFonts w:ascii="Times New Roman" w:hAnsi="Times New Roman"/>
          <w:i/>
          <w:position w:val="-6"/>
          <w:sz w:val="24"/>
          <w:szCs w:val="24"/>
        </w:rPr>
        <w:t xml:space="preserve"> 159 – 167.</w:t>
      </w:r>
    </w:p>
    <w:p w14:paraId="735A9C0D" w14:textId="77777777" w:rsidR="008D6160" w:rsidRDefault="008D6160" w:rsidP="009F2198">
      <w:pPr>
        <w:spacing w:after="0" w:line="240" w:lineRule="auto"/>
        <w:ind w:left="720" w:hanging="720"/>
        <w:rPr>
          <w:rFonts w:ascii="Times New Roman" w:hAnsi="Times New Roman"/>
          <w:position w:val="-6"/>
          <w:sz w:val="24"/>
          <w:szCs w:val="24"/>
        </w:rPr>
      </w:pPr>
      <w:r>
        <w:rPr>
          <w:rFonts w:ascii="Times New Roman" w:hAnsi="Times New Roman"/>
          <w:position w:val="-6"/>
          <w:sz w:val="24"/>
          <w:szCs w:val="24"/>
        </w:rPr>
        <w:t>Johansen, S. (1995) A statistical analysis of cointegration for 1(2) variables: economic theory, 11:25-59.</w:t>
      </w:r>
    </w:p>
    <w:p w14:paraId="7621885E"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Kang, W. </w:t>
      </w:r>
      <w:proofErr w:type="spellStart"/>
      <w:r w:rsidRPr="00560CAA">
        <w:rPr>
          <w:rFonts w:ascii="Times New Roman" w:hAnsi="Times New Roman"/>
          <w:position w:val="-6"/>
          <w:sz w:val="24"/>
          <w:szCs w:val="24"/>
        </w:rPr>
        <w:t>Ratti</w:t>
      </w:r>
      <w:proofErr w:type="spellEnd"/>
      <w:r w:rsidRPr="00560CAA">
        <w:rPr>
          <w:rFonts w:ascii="Times New Roman" w:hAnsi="Times New Roman"/>
          <w:position w:val="-6"/>
          <w:sz w:val="24"/>
          <w:szCs w:val="24"/>
        </w:rPr>
        <w:t xml:space="preserve">, R. &amp; Yoon, K.H. (2015) The Impact of Oil Price Shocks on the Stock Market Returns and Volatility Relationship. </w:t>
      </w:r>
      <w:r w:rsidRPr="00BC42AC">
        <w:rPr>
          <w:rFonts w:ascii="Times New Roman" w:hAnsi="Times New Roman"/>
          <w:i/>
          <w:position w:val="-6"/>
          <w:sz w:val="24"/>
          <w:szCs w:val="24"/>
        </w:rPr>
        <w:t>Journal of International Financial Market, Institutions and Money</w:t>
      </w:r>
      <w:r>
        <w:rPr>
          <w:rFonts w:ascii="Times New Roman" w:hAnsi="Times New Roman"/>
          <w:position w:val="-6"/>
          <w:sz w:val="24"/>
          <w:szCs w:val="24"/>
        </w:rPr>
        <w:t>,</w:t>
      </w:r>
      <w:r w:rsidRPr="00560CAA">
        <w:rPr>
          <w:rFonts w:ascii="Times New Roman" w:hAnsi="Times New Roman"/>
          <w:position w:val="-6"/>
          <w:sz w:val="24"/>
          <w:szCs w:val="24"/>
        </w:rPr>
        <w:t xml:space="preserve"> 41-54.</w:t>
      </w:r>
    </w:p>
    <w:p w14:paraId="7F7982D8"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Khamis, R. &amp;</w:t>
      </w:r>
      <w:proofErr w:type="spellStart"/>
      <w:r w:rsidRPr="00560CAA">
        <w:rPr>
          <w:rFonts w:ascii="Times New Roman" w:hAnsi="Times New Roman"/>
          <w:position w:val="-6"/>
          <w:sz w:val="24"/>
          <w:szCs w:val="24"/>
        </w:rPr>
        <w:t>Handar</w:t>
      </w:r>
      <w:proofErr w:type="spellEnd"/>
      <w:r w:rsidRPr="00560CAA">
        <w:rPr>
          <w:rFonts w:ascii="Times New Roman" w:hAnsi="Times New Roman"/>
          <w:position w:val="-6"/>
          <w:sz w:val="24"/>
          <w:szCs w:val="24"/>
        </w:rPr>
        <w:t>, A. (2016) Sectoral Response of GCC Stock Markets to International oil Price Changes: Source not stated.</w:t>
      </w:r>
    </w:p>
    <w:p w14:paraId="739D8CAE" w14:textId="77777777" w:rsidR="008D6160" w:rsidRDefault="008D6160" w:rsidP="009F2198">
      <w:pPr>
        <w:spacing w:after="0" w:line="240" w:lineRule="auto"/>
        <w:ind w:left="720" w:hanging="720"/>
        <w:rPr>
          <w:rFonts w:ascii="Times New Roman" w:hAnsi="Times New Roman"/>
          <w:position w:val="-6"/>
          <w:sz w:val="24"/>
          <w:szCs w:val="24"/>
        </w:rPr>
      </w:pPr>
      <w:r>
        <w:rPr>
          <w:rFonts w:ascii="Times New Roman" w:hAnsi="Times New Roman"/>
          <w:position w:val="-6"/>
          <w:sz w:val="24"/>
          <w:szCs w:val="24"/>
        </w:rPr>
        <w:t>Koop, G. (2006</w:t>
      </w:r>
      <w:r w:rsidRPr="000653A6">
        <w:rPr>
          <w:rFonts w:ascii="Times New Roman" w:hAnsi="Times New Roman"/>
          <w:i/>
          <w:position w:val="-6"/>
          <w:sz w:val="24"/>
          <w:szCs w:val="24"/>
        </w:rPr>
        <w:t>) Analysis of Financial Data</w:t>
      </w:r>
      <w:r>
        <w:rPr>
          <w:rFonts w:ascii="Times New Roman" w:hAnsi="Times New Roman"/>
          <w:position w:val="-6"/>
          <w:sz w:val="24"/>
          <w:szCs w:val="24"/>
        </w:rPr>
        <w:t>. John Wiley and Sons Ltd England.</w:t>
      </w:r>
    </w:p>
    <w:p w14:paraId="7E2AE4EB" w14:textId="685C318B"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Kroner K.F. &amp; Sultan, J.M. (1993) Time Varying Distributed and Dynamic Trading Foreign Currency Fitness. </w:t>
      </w:r>
      <w:r w:rsidRPr="00910B16">
        <w:rPr>
          <w:rFonts w:ascii="Times New Roman" w:hAnsi="Times New Roman"/>
          <w:i/>
          <w:position w:val="-6"/>
          <w:sz w:val="24"/>
          <w:szCs w:val="24"/>
        </w:rPr>
        <w:t>Journal of Financial and Qualitative Analysis</w:t>
      </w:r>
      <w:r w:rsidRPr="00560CAA">
        <w:rPr>
          <w:rFonts w:ascii="Times New Roman" w:hAnsi="Times New Roman"/>
          <w:position w:val="-6"/>
          <w:sz w:val="24"/>
          <w:szCs w:val="24"/>
        </w:rPr>
        <w:t>,</w:t>
      </w:r>
      <w:r w:rsidR="00AE5F68">
        <w:rPr>
          <w:rFonts w:ascii="Times New Roman" w:hAnsi="Times New Roman"/>
          <w:position w:val="-6"/>
          <w:sz w:val="24"/>
          <w:szCs w:val="24"/>
        </w:rPr>
        <w:t xml:space="preserve"> </w:t>
      </w:r>
      <w:r w:rsidRPr="00560CAA">
        <w:rPr>
          <w:rFonts w:ascii="Times New Roman" w:hAnsi="Times New Roman"/>
          <w:position w:val="-6"/>
          <w:sz w:val="24"/>
          <w:szCs w:val="24"/>
        </w:rPr>
        <w:t xml:space="preserve">(28) </w:t>
      </w:r>
      <w:r>
        <w:rPr>
          <w:rFonts w:ascii="Times New Roman" w:hAnsi="Times New Roman"/>
          <w:position w:val="-6"/>
          <w:sz w:val="24"/>
          <w:szCs w:val="24"/>
        </w:rPr>
        <w:t>,</w:t>
      </w:r>
      <w:r w:rsidRPr="00560CAA">
        <w:rPr>
          <w:rFonts w:ascii="Times New Roman" w:hAnsi="Times New Roman"/>
          <w:position w:val="-6"/>
          <w:sz w:val="24"/>
          <w:szCs w:val="24"/>
        </w:rPr>
        <w:t>535-551</w:t>
      </w:r>
      <w:r>
        <w:rPr>
          <w:rFonts w:ascii="Times New Roman" w:hAnsi="Times New Roman"/>
          <w:position w:val="-6"/>
          <w:sz w:val="24"/>
          <w:szCs w:val="24"/>
        </w:rPr>
        <w:t>.</w:t>
      </w:r>
    </w:p>
    <w:p w14:paraId="4E9D195C" w14:textId="77777777" w:rsidR="008D6160" w:rsidRDefault="008D6160" w:rsidP="009F2198">
      <w:pPr>
        <w:spacing w:after="0" w:line="240" w:lineRule="auto"/>
        <w:ind w:left="720" w:hanging="720"/>
        <w:rPr>
          <w:rFonts w:ascii="Times New Roman" w:hAnsi="Times New Roman"/>
          <w:sz w:val="24"/>
          <w:szCs w:val="24"/>
        </w:rPr>
      </w:pPr>
      <w:proofErr w:type="spellStart"/>
      <w:r>
        <w:rPr>
          <w:rFonts w:ascii="Times New Roman" w:hAnsi="Times New Roman"/>
          <w:sz w:val="24"/>
          <w:szCs w:val="24"/>
        </w:rPr>
        <w:t>Kumeka</w:t>
      </w:r>
      <w:proofErr w:type="spellEnd"/>
      <w:r>
        <w:rPr>
          <w:rFonts w:ascii="Times New Roman" w:hAnsi="Times New Roman"/>
          <w:sz w:val="24"/>
          <w:szCs w:val="24"/>
        </w:rPr>
        <w:t xml:space="preserve">, T., </w:t>
      </w:r>
      <w:proofErr w:type="spellStart"/>
      <w:r>
        <w:rPr>
          <w:rFonts w:ascii="Times New Roman" w:hAnsi="Times New Roman"/>
          <w:sz w:val="24"/>
          <w:szCs w:val="24"/>
        </w:rPr>
        <w:t>Adenuji</w:t>
      </w:r>
      <w:proofErr w:type="spellEnd"/>
      <w:r>
        <w:rPr>
          <w:rFonts w:ascii="Times New Roman" w:hAnsi="Times New Roman"/>
          <w:sz w:val="24"/>
          <w:szCs w:val="24"/>
        </w:rPr>
        <w:t>, O. &amp;</w:t>
      </w:r>
      <w:proofErr w:type="spellStart"/>
      <w:r>
        <w:rPr>
          <w:rFonts w:ascii="Times New Roman" w:hAnsi="Times New Roman"/>
          <w:sz w:val="24"/>
          <w:szCs w:val="24"/>
        </w:rPr>
        <w:t>Orekoya</w:t>
      </w:r>
      <w:proofErr w:type="spellEnd"/>
      <w:r>
        <w:rPr>
          <w:rFonts w:ascii="Times New Roman" w:hAnsi="Times New Roman"/>
          <w:sz w:val="24"/>
          <w:szCs w:val="24"/>
        </w:rPr>
        <w:t xml:space="preserve">, A. (2017) Empirical Analysis of the Oil Shocks – Stock Return Relationship: A Sector Disaggregation for Nigeria. </w:t>
      </w:r>
      <w:r w:rsidRPr="002D2588">
        <w:rPr>
          <w:rFonts w:ascii="Times New Roman" w:hAnsi="Times New Roman"/>
          <w:i/>
          <w:sz w:val="24"/>
          <w:szCs w:val="24"/>
        </w:rPr>
        <w:t>West African Financial and Economic Review</w:t>
      </w:r>
      <w:r>
        <w:rPr>
          <w:rFonts w:ascii="Times New Roman" w:hAnsi="Times New Roman"/>
          <w:sz w:val="24"/>
          <w:szCs w:val="24"/>
        </w:rPr>
        <w:t xml:space="preserve"> 17(1) 18 – 31.</w:t>
      </w:r>
    </w:p>
    <w:p w14:paraId="7BE2C05A"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Nguyen, T. &amp; Nguyen, C. (2017) Analyzing dependence Structure of Equity, Bond and Money Markets. </w:t>
      </w:r>
      <w:r w:rsidRPr="009B52A5">
        <w:rPr>
          <w:rFonts w:ascii="Times New Roman" w:hAnsi="Times New Roman"/>
          <w:i/>
          <w:position w:val="-6"/>
          <w:sz w:val="24"/>
          <w:szCs w:val="24"/>
        </w:rPr>
        <w:t>International Journal of Economics and Finance</w:t>
      </w:r>
      <w:r w:rsidRPr="00560CAA">
        <w:rPr>
          <w:rFonts w:ascii="Times New Roman" w:hAnsi="Times New Roman"/>
          <w:position w:val="-6"/>
          <w:sz w:val="24"/>
          <w:szCs w:val="24"/>
        </w:rPr>
        <w:t>. 6(3).</w:t>
      </w:r>
    </w:p>
    <w:p w14:paraId="44FA260B" w14:textId="77777777" w:rsidR="008D6160" w:rsidRDefault="008D6160" w:rsidP="009F2198">
      <w:pPr>
        <w:spacing w:after="0" w:line="240" w:lineRule="auto"/>
        <w:ind w:left="720" w:hanging="720"/>
        <w:rPr>
          <w:rFonts w:ascii="Times New Roman" w:hAnsi="Times New Roman"/>
          <w:position w:val="-6"/>
          <w:sz w:val="24"/>
          <w:szCs w:val="24"/>
        </w:rPr>
      </w:pPr>
      <w:proofErr w:type="spellStart"/>
      <w:r w:rsidRPr="00560CAA">
        <w:rPr>
          <w:rFonts w:ascii="Times New Roman" w:hAnsi="Times New Roman"/>
          <w:position w:val="-6"/>
          <w:sz w:val="24"/>
          <w:szCs w:val="24"/>
        </w:rPr>
        <w:t>Ogiri</w:t>
      </w:r>
      <w:proofErr w:type="spellEnd"/>
      <w:r w:rsidRPr="00560CAA">
        <w:rPr>
          <w:rFonts w:ascii="Times New Roman" w:hAnsi="Times New Roman"/>
          <w:position w:val="-6"/>
          <w:sz w:val="24"/>
          <w:szCs w:val="24"/>
        </w:rPr>
        <w:t xml:space="preserve">, I.H.; </w:t>
      </w:r>
      <w:proofErr w:type="spellStart"/>
      <w:r w:rsidRPr="00560CAA">
        <w:rPr>
          <w:rFonts w:ascii="Times New Roman" w:hAnsi="Times New Roman"/>
          <w:position w:val="-6"/>
          <w:sz w:val="24"/>
          <w:szCs w:val="24"/>
        </w:rPr>
        <w:t>Amadi</w:t>
      </w:r>
      <w:proofErr w:type="spellEnd"/>
      <w:r w:rsidRPr="00560CAA">
        <w:rPr>
          <w:rFonts w:ascii="Times New Roman" w:hAnsi="Times New Roman"/>
          <w:position w:val="-6"/>
          <w:sz w:val="24"/>
          <w:szCs w:val="24"/>
        </w:rPr>
        <w:t xml:space="preserve">, S.N.; Uddin, M.M. &amp; </w:t>
      </w:r>
      <w:proofErr w:type="spellStart"/>
      <w:r w:rsidRPr="00560CAA">
        <w:rPr>
          <w:rFonts w:ascii="Times New Roman" w:hAnsi="Times New Roman"/>
          <w:position w:val="-6"/>
          <w:sz w:val="24"/>
          <w:szCs w:val="24"/>
        </w:rPr>
        <w:t>Dubon</w:t>
      </w:r>
      <w:proofErr w:type="spellEnd"/>
      <w:r w:rsidRPr="00560CAA">
        <w:rPr>
          <w:rFonts w:ascii="Times New Roman" w:hAnsi="Times New Roman"/>
          <w:position w:val="-6"/>
          <w:sz w:val="24"/>
          <w:szCs w:val="24"/>
        </w:rPr>
        <w:t xml:space="preserve">, P. (2013) Oil Price and </w:t>
      </w:r>
      <w:r>
        <w:rPr>
          <w:rFonts w:ascii="Times New Roman" w:hAnsi="Times New Roman"/>
          <w:position w:val="-6"/>
          <w:sz w:val="24"/>
          <w:szCs w:val="24"/>
        </w:rPr>
        <w:t>Stock</w:t>
      </w:r>
      <w:r w:rsidRPr="00560CAA">
        <w:rPr>
          <w:rFonts w:ascii="Times New Roman" w:hAnsi="Times New Roman"/>
          <w:position w:val="-6"/>
          <w:sz w:val="24"/>
          <w:szCs w:val="24"/>
        </w:rPr>
        <w:t xml:space="preserve">. </w:t>
      </w:r>
      <w:r w:rsidRPr="00017EDE">
        <w:rPr>
          <w:rFonts w:ascii="Times New Roman" w:hAnsi="Times New Roman"/>
          <w:i/>
          <w:position w:val="-6"/>
          <w:sz w:val="24"/>
          <w:szCs w:val="24"/>
        </w:rPr>
        <w:t>American Journal of Social and Management Sciences</w:t>
      </w:r>
      <w:r>
        <w:rPr>
          <w:rFonts w:ascii="Times New Roman" w:hAnsi="Times New Roman"/>
          <w:position w:val="-6"/>
          <w:sz w:val="24"/>
          <w:szCs w:val="24"/>
        </w:rPr>
        <w:t>, 4(1), 20-</w:t>
      </w:r>
      <w:r w:rsidRPr="00560CAA">
        <w:rPr>
          <w:rFonts w:ascii="Times New Roman" w:hAnsi="Times New Roman"/>
          <w:position w:val="-6"/>
          <w:sz w:val="24"/>
          <w:szCs w:val="24"/>
        </w:rPr>
        <w:t>41.</w:t>
      </w:r>
    </w:p>
    <w:p w14:paraId="4B925CD2" w14:textId="77777777" w:rsidR="008D6160" w:rsidRDefault="008D6160" w:rsidP="009F2198">
      <w:pPr>
        <w:spacing w:after="0" w:line="240" w:lineRule="auto"/>
        <w:ind w:left="720" w:hanging="720"/>
        <w:rPr>
          <w:rFonts w:ascii="Times New Roman" w:hAnsi="Times New Roman"/>
          <w:position w:val="-6"/>
          <w:sz w:val="24"/>
          <w:szCs w:val="24"/>
        </w:rPr>
      </w:pPr>
      <w:proofErr w:type="spellStart"/>
      <w:r>
        <w:rPr>
          <w:rFonts w:ascii="Times New Roman" w:hAnsi="Times New Roman"/>
          <w:position w:val="-6"/>
          <w:sz w:val="24"/>
          <w:szCs w:val="24"/>
        </w:rPr>
        <w:t>Opschoor</w:t>
      </w:r>
      <w:proofErr w:type="spellEnd"/>
      <w:r>
        <w:rPr>
          <w:rFonts w:ascii="Times New Roman" w:hAnsi="Times New Roman"/>
          <w:position w:val="-6"/>
          <w:sz w:val="24"/>
          <w:szCs w:val="24"/>
        </w:rPr>
        <w:t xml:space="preserve">, A. (2013) </w:t>
      </w:r>
      <w:r w:rsidRPr="001655D4">
        <w:rPr>
          <w:rFonts w:ascii="Times New Roman" w:hAnsi="Times New Roman"/>
          <w:i/>
          <w:position w:val="-6"/>
          <w:sz w:val="24"/>
          <w:szCs w:val="24"/>
        </w:rPr>
        <w:t>Understanding Financial Market Volatility</w:t>
      </w:r>
      <w:r>
        <w:rPr>
          <w:rFonts w:ascii="Times New Roman" w:hAnsi="Times New Roman"/>
          <w:position w:val="-6"/>
          <w:sz w:val="24"/>
          <w:szCs w:val="24"/>
        </w:rPr>
        <w:t xml:space="preserve">: </w:t>
      </w:r>
      <w:proofErr w:type="spellStart"/>
      <w:r>
        <w:rPr>
          <w:rFonts w:ascii="Times New Roman" w:hAnsi="Times New Roman"/>
          <w:position w:val="-6"/>
          <w:sz w:val="24"/>
          <w:szCs w:val="24"/>
        </w:rPr>
        <w:t>Timbergen</w:t>
      </w:r>
      <w:proofErr w:type="spellEnd"/>
      <w:r>
        <w:rPr>
          <w:rFonts w:ascii="Times New Roman" w:hAnsi="Times New Roman"/>
          <w:position w:val="-6"/>
          <w:sz w:val="24"/>
          <w:szCs w:val="24"/>
        </w:rPr>
        <w:t xml:space="preserve"> Institute Research Series. Rotterdam.</w:t>
      </w:r>
    </w:p>
    <w:p w14:paraId="5FD89955" w14:textId="2780D63C" w:rsidR="002A7037" w:rsidRPr="00A35B1B" w:rsidRDefault="002A7037" w:rsidP="00AE5F68">
      <w:pPr>
        <w:spacing w:after="0"/>
        <w:rPr>
          <w:rFonts w:ascii="Times New Roman" w:hAnsi="Times New Roman"/>
          <w:sz w:val="24"/>
          <w:szCs w:val="24"/>
          <w:shd w:val="clear" w:color="auto" w:fill="FFFFFF"/>
        </w:rPr>
      </w:pPr>
      <w:proofErr w:type="spellStart"/>
      <w:r w:rsidRPr="00A35B1B">
        <w:rPr>
          <w:rFonts w:ascii="Times New Roman" w:hAnsi="Times New Roman"/>
          <w:sz w:val="24"/>
          <w:szCs w:val="24"/>
        </w:rPr>
        <w:lastRenderedPageBreak/>
        <w:t>Ordue</w:t>
      </w:r>
      <w:proofErr w:type="spellEnd"/>
      <w:r w:rsidRPr="00A35B1B">
        <w:rPr>
          <w:rFonts w:ascii="Times New Roman" w:hAnsi="Times New Roman"/>
          <w:sz w:val="24"/>
          <w:szCs w:val="24"/>
        </w:rPr>
        <w:t xml:space="preserve"> J.A., </w:t>
      </w:r>
      <w:proofErr w:type="spellStart"/>
      <w:r w:rsidRPr="00A35B1B">
        <w:rPr>
          <w:rFonts w:ascii="Times New Roman" w:hAnsi="Times New Roman"/>
          <w:sz w:val="24"/>
          <w:szCs w:val="24"/>
        </w:rPr>
        <w:t>Yua</w:t>
      </w:r>
      <w:proofErr w:type="spellEnd"/>
      <w:r w:rsidRPr="00A35B1B">
        <w:rPr>
          <w:rFonts w:ascii="Times New Roman" w:hAnsi="Times New Roman"/>
          <w:sz w:val="24"/>
          <w:szCs w:val="24"/>
        </w:rPr>
        <w:t xml:space="preserve"> H., </w:t>
      </w:r>
      <w:proofErr w:type="spellStart"/>
      <w:r w:rsidRPr="00A35B1B">
        <w:rPr>
          <w:rFonts w:ascii="Times New Roman" w:hAnsi="Times New Roman"/>
          <w:sz w:val="24"/>
          <w:szCs w:val="24"/>
        </w:rPr>
        <w:t>Ityavyar</w:t>
      </w:r>
      <w:proofErr w:type="spellEnd"/>
      <w:r w:rsidRPr="00A35B1B">
        <w:rPr>
          <w:rFonts w:ascii="Times New Roman" w:hAnsi="Times New Roman"/>
          <w:sz w:val="24"/>
          <w:szCs w:val="24"/>
        </w:rPr>
        <w:t xml:space="preserve"> D.V. and </w:t>
      </w:r>
      <w:proofErr w:type="spellStart"/>
      <w:r w:rsidRPr="00A35B1B">
        <w:rPr>
          <w:rFonts w:ascii="Times New Roman" w:hAnsi="Times New Roman"/>
          <w:sz w:val="24"/>
          <w:szCs w:val="24"/>
        </w:rPr>
        <w:t>Tarnongo</w:t>
      </w:r>
      <w:proofErr w:type="spellEnd"/>
      <w:r w:rsidRPr="00A35B1B">
        <w:rPr>
          <w:rFonts w:ascii="Times New Roman" w:hAnsi="Times New Roman"/>
          <w:sz w:val="24"/>
          <w:szCs w:val="24"/>
        </w:rPr>
        <w:t xml:space="preserve">, T.J. (2024) Evaluating the </w:t>
      </w:r>
      <w:proofErr w:type="gramStart"/>
      <w:r w:rsidRPr="00A35B1B">
        <w:rPr>
          <w:rFonts w:ascii="Times New Roman" w:hAnsi="Times New Roman"/>
          <w:sz w:val="24"/>
          <w:szCs w:val="24"/>
        </w:rPr>
        <w:t>Nexus</w:t>
      </w:r>
      <w:r w:rsidR="00AE5F68">
        <w:rPr>
          <w:rFonts w:ascii="Times New Roman" w:hAnsi="Times New Roman"/>
          <w:sz w:val="24"/>
          <w:szCs w:val="24"/>
        </w:rPr>
        <w:t xml:space="preserve"> </w:t>
      </w:r>
      <w:r w:rsidRPr="00A35B1B">
        <w:rPr>
          <w:rFonts w:ascii="Times New Roman" w:hAnsi="Times New Roman"/>
          <w:sz w:val="24"/>
          <w:szCs w:val="24"/>
        </w:rPr>
        <w:t xml:space="preserve"> between</w:t>
      </w:r>
      <w:proofErr w:type="gramEnd"/>
      <w:r w:rsidRPr="00A35B1B">
        <w:rPr>
          <w:rFonts w:ascii="Times New Roman" w:hAnsi="Times New Roman"/>
          <w:sz w:val="24"/>
          <w:szCs w:val="24"/>
        </w:rPr>
        <w:t xml:space="preserve"> Macroeconomic</w:t>
      </w:r>
      <w:r w:rsidR="00AE5F68">
        <w:rPr>
          <w:rFonts w:ascii="Times New Roman" w:hAnsi="Times New Roman"/>
          <w:sz w:val="24"/>
          <w:szCs w:val="24"/>
        </w:rPr>
        <w:t xml:space="preserve"> </w:t>
      </w:r>
      <w:r w:rsidRPr="00A35B1B">
        <w:rPr>
          <w:rFonts w:ascii="Times New Roman" w:hAnsi="Times New Roman"/>
          <w:sz w:val="24"/>
          <w:szCs w:val="24"/>
        </w:rPr>
        <w:t xml:space="preserve">Indicators and Stock Market Performance in Nigeria, International Journal of Developing and Emerging Economies, 12(1), 67-93 </w:t>
      </w:r>
    </w:p>
    <w:p w14:paraId="124F716A" w14:textId="46C4A1EF" w:rsidR="002A7037" w:rsidRPr="00E21E53" w:rsidRDefault="00E21E53" w:rsidP="00AE5F68">
      <w:pPr>
        <w:spacing w:before="12" w:after="0" w:line="240" w:lineRule="exact"/>
        <w:rPr>
          <w:rFonts w:ascii="Times New Roman" w:hAnsi="Times New Roman"/>
          <w:sz w:val="24"/>
          <w:szCs w:val="24"/>
        </w:rPr>
      </w:pPr>
      <w:bookmarkStart w:id="3" w:name="_Hlk198141241"/>
      <w:bookmarkStart w:id="4" w:name="_Hlk197800407"/>
      <w:proofErr w:type="spellStart"/>
      <w:r w:rsidRPr="00E21E53">
        <w:rPr>
          <w:rFonts w:ascii="Times New Roman" w:hAnsi="Times New Roman"/>
          <w:sz w:val="24"/>
          <w:szCs w:val="24"/>
        </w:rPr>
        <w:t>Omale</w:t>
      </w:r>
      <w:proofErr w:type="spellEnd"/>
      <w:r w:rsidRPr="00E21E53">
        <w:rPr>
          <w:rFonts w:ascii="Times New Roman" w:hAnsi="Times New Roman"/>
          <w:sz w:val="24"/>
          <w:szCs w:val="24"/>
        </w:rPr>
        <w:t xml:space="preserve">, E.A., </w:t>
      </w:r>
      <w:proofErr w:type="spellStart"/>
      <w:r w:rsidRPr="002D41D3">
        <w:rPr>
          <w:rFonts w:ascii="Times New Roman" w:hAnsi="Times New Roman"/>
          <w:bCs/>
          <w:sz w:val="24"/>
          <w:szCs w:val="24"/>
        </w:rPr>
        <w:t>Yua</w:t>
      </w:r>
      <w:proofErr w:type="spellEnd"/>
      <w:r w:rsidRPr="002D41D3">
        <w:rPr>
          <w:rFonts w:ascii="Times New Roman" w:hAnsi="Times New Roman"/>
          <w:bCs/>
          <w:sz w:val="24"/>
          <w:szCs w:val="24"/>
        </w:rPr>
        <w:t>, H.,</w:t>
      </w:r>
      <w:r w:rsidRPr="00E21E53">
        <w:rPr>
          <w:rFonts w:ascii="Times New Roman" w:hAnsi="Times New Roman"/>
          <w:sz w:val="24"/>
          <w:szCs w:val="24"/>
        </w:rPr>
        <w:t xml:space="preserve"> and Azubuike, P.E. (2024)</w:t>
      </w:r>
      <w:bookmarkEnd w:id="3"/>
      <w:r w:rsidRPr="00E21E53">
        <w:rPr>
          <w:rFonts w:ascii="Times New Roman" w:hAnsi="Times New Roman"/>
          <w:sz w:val="24"/>
          <w:szCs w:val="24"/>
        </w:rPr>
        <w:t xml:space="preserve">. Effect of Money Market Instruments </w:t>
      </w:r>
      <w:proofErr w:type="gramStart"/>
      <w:r w:rsidRPr="00E21E53">
        <w:rPr>
          <w:rFonts w:ascii="Times New Roman" w:hAnsi="Times New Roman"/>
          <w:sz w:val="24"/>
          <w:szCs w:val="24"/>
        </w:rPr>
        <w:t>on</w:t>
      </w:r>
      <w:r w:rsidR="00AE5F68">
        <w:rPr>
          <w:rFonts w:ascii="Times New Roman" w:hAnsi="Times New Roman"/>
          <w:sz w:val="24"/>
          <w:szCs w:val="24"/>
        </w:rPr>
        <w:t xml:space="preserve"> </w:t>
      </w:r>
      <w:r w:rsidRPr="00E21E53">
        <w:rPr>
          <w:rFonts w:ascii="Times New Roman" w:hAnsi="Times New Roman"/>
          <w:sz w:val="24"/>
          <w:szCs w:val="24"/>
        </w:rPr>
        <w:t xml:space="preserve"> Banking</w:t>
      </w:r>
      <w:proofErr w:type="gramEnd"/>
      <w:r w:rsidRPr="00E21E53">
        <w:rPr>
          <w:rFonts w:ascii="Times New Roman" w:hAnsi="Times New Roman"/>
          <w:sz w:val="24"/>
          <w:szCs w:val="24"/>
        </w:rPr>
        <w:t xml:space="preserve"> Soundness in Nigeria, </w:t>
      </w:r>
      <w:r w:rsidRPr="00E21E53">
        <w:rPr>
          <w:rFonts w:ascii="Times New Roman" w:hAnsi="Times New Roman"/>
          <w:i/>
          <w:iCs/>
          <w:sz w:val="24"/>
          <w:szCs w:val="24"/>
        </w:rPr>
        <w:t xml:space="preserve">Journal of Business and African Economy, </w:t>
      </w:r>
      <w:r w:rsidRPr="00E21E53">
        <w:rPr>
          <w:rFonts w:ascii="Times New Roman" w:hAnsi="Times New Roman"/>
          <w:sz w:val="24"/>
          <w:szCs w:val="24"/>
        </w:rPr>
        <w:t>10(2), 77-100</w:t>
      </w:r>
      <w:bookmarkEnd w:id="4"/>
    </w:p>
    <w:p w14:paraId="0CBEA10A" w14:textId="77777777" w:rsidR="008D6160" w:rsidRDefault="008D6160" w:rsidP="009F2198">
      <w:pPr>
        <w:spacing w:after="0" w:line="240" w:lineRule="auto"/>
        <w:ind w:left="720" w:hanging="720"/>
        <w:rPr>
          <w:rFonts w:ascii="Times New Roman" w:hAnsi="Times New Roman"/>
          <w:i/>
          <w:position w:val="-6"/>
          <w:sz w:val="24"/>
          <w:szCs w:val="24"/>
        </w:rPr>
      </w:pPr>
      <w:r w:rsidRPr="00560CAA">
        <w:rPr>
          <w:rFonts w:ascii="Times New Roman" w:hAnsi="Times New Roman"/>
          <w:position w:val="-6"/>
          <w:sz w:val="24"/>
          <w:szCs w:val="24"/>
        </w:rPr>
        <w:t xml:space="preserve">Salisu, A.A.; </w:t>
      </w:r>
      <w:proofErr w:type="spellStart"/>
      <w:r w:rsidRPr="00560CAA">
        <w:rPr>
          <w:rFonts w:ascii="Times New Roman" w:hAnsi="Times New Roman"/>
          <w:position w:val="-6"/>
          <w:sz w:val="24"/>
          <w:szCs w:val="24"/>
        </w:rPr>
        <w:t>Swaray</w:t>
      </w:r>
      <w:proofErr w:type="spellEnd"/>
      <w:r w:rsidRPr="00560CAA">
        <w:rPr>
          <w:rFonts w:ascii="Times New Roman" w:hAnsi="Times New Roman"/>
          <w:position w:val="-6"/>
          <w:sz w:val="24"/>
          <w:szCs w:val="24"/>
        </w:rPr>
        <w:t>, R. &amp;</w:t>
      </w:r>
      <w:proofErr w:type="spellStart"/>
      <w:r w:rsidRPr="00560CAA">
        <w:rPr>
          <w:rFonts w:ascii="Times New Roman" w:hAnsi="Times New Roman"/>
          <w:position w:val="-6"/>
          <w:sz w:val="24"/>
          <w:szCs w:val="24"/>
        </w:rPr>
        <w:t>Oloko</w:t>
      </w:r>
      <w:proofErr w:type="spellEnd"/>
      <w:r w:rsidRPr="00560CAA">
        <w:rPr>
          <w:rFonts w:ascii="Times New Roman" w:hAnsi="Times New Roman"/>
          <w:position w:val="-6"/>
          <w:sz w:val="24"/>
          <w:szCs w:val="24"/>
        </w:rPr>
        <w:t xml:space="preserve">, T.F. (2017) US Stocks in the Present of Oil Price Risk: Large Cap US Small Cap. </w:t>
      </w:r>
      <w:r w:rsidRPr="00410607">
        <w:rPr>
          <w:rFonts w:ascii="Times New Roman" w:hAnsi="Times New Roman"/>
          <w:i/>
          <w:position w:val="-6"/>
          <w:sz w:val="24"/>
          <w:szCs w:val="24"/>
        </w:rPr>
        <w:t>Economics and Business Letters</w:t>
      </w:r>
      <w:r>
        <w:rPr>
          <w:rFonts w:ascii="Times New Roman" w:hAnsi="Times New Roman"/>
          <w:i/>
          <w:position w:val="-6"/>
          <w:sz w:val="24"/>
          <w:szCs w:val="24"/>
        </w:rPr>
        <w:t>,</w:t>
      </w:r>
      <w:r w:rsidRPr="00410607">
        <w:rPr>
          <w:rFonts w:ascii="Times New Roman" w:hAnsi="Times New Roman"/>
          <w:i/>
          <w:position w:val="-6"/>
          <w:sz w:val="24"/>
          <w:szCs w:val="24"/>
        </w:rPr>
        <w:t xml:space="preserve"> 6(4)</w:t>
      </w:r>
      <w:r>
        <w:rPr>
          <w:rFonts w:ascii="Times New Roman" w:hAnsi="Times New Roman"/>
          <w:i/>
          <w:position w:val="-6"/>
          <w:sz w:val="24"/>
          <w:szCs w:val="24"/>
        </w:rPr>
        <w:t>,</w:t>
      </w:r>
      <w:r w:rsidRPr="00410607">
        <w:rPr>
          <w:rFonts w:ascii="Times New Roman" w:hAnsi="Times New Roman"/>
          <w:i/>
          <w:position w:val="-6"/>
          <w:sz w:val="24"/>
          <w:szCs w:val="24"/>
        </w:rPr>
        <w:t xml:space="preserve"> 116-124.</w:t>
      </w:r>
    </w:p>
    <w:p w14:paraId="0834B296"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Sarwar, S.; </w:t>
      </w:r>
      <w:proofErr w:type="spellStart"/>
      <w:r w:rsidRPr="00560CAA">
        <w:rPr>
          <w:rFonts w:ascii="Times New Roman" w:hAnsi="Times New Roman"/>
          <w:position w:val="-6"/>
          <w:sz w:val="24"/>
          <w:szCs w:val="24"/>
        </w:rPr>
        <w:t>Shabaz</w:t>
      </w:r>
      <w:proofErr w:type="spellEnd"/>
      <w:r w:rsidRPr="00560CAA">
        <w:rPr>
          <w:rFonts w:ascii="Times New Roman" w:hAnsi="Times New Roman"/>
          <w:position w:val="-6"/>
          <w:sz w:val="24"/>
          <w:szCs w:val="24"/>
        </w:rPr>
        <w:t xml:space="preserve">, M.; Anwar, A. &amp; Tiwari, A.K. (2019) The Importance of Oil Assets for Portfolio Optimization: The Analysis of Firm Level Stocks. </w:t>
      </w:r>
      <w:r w:rsidRPr="00C424B6">
        <w:rPr>
          <w:rFonts w:ascii="Times New Roman" w:hAnsi="Times New Roman"/>
          <w:i/>
          <w:position w:val="-6"/>
          <w:sz w:val="24"/>
          <w:szCs w:val="24"/>
        </w:rPr>
        <w:t>Energy Economics</w:t>
      </w:r>
      <w:r>
        <w:rPr>
          <w:rFonts w:ascii="Times New Roman" w:hAnsi="Times New Roman"/>
          <w:position w:val="-6"/>
          <w:sz w:val="24"/>
          <w:szCs w:val="24"/>
        </w:rPr>
        <w:t>,</w:t>
      </w:r>
      <w:r w:rsidRPr="00560CAA">
        <w:rPr>
          <w:rFonts w:ascii="Times New Roman" w:hAnsi="Times New Roman"/>
          <w:position w:val="-6"/>
          <w:sz w:val="24"/>
          <w:szCs w:val="24"/>
        </w:rPr>
        <w:t xml:space="preserve"> 78; 217-234.</w:t>
      </w:r>
    </w:p>
    <w:p w14:paraId="68B3CF93" w14:textId="77777777" w:rsidR="008D6160" w:rsidRDefault="008D6160" w:rsidP="009F2198">
      <w:pPr>
        <w:spacing w:after="0" w:line="240" w:lineRule="auto"/>
        <w:ind w:left="720" w:hanging="720"/>
        <w:rPr>
          <w:rFonts w:ascii="Times New Roman" w:hAnsi="Times New Roman"/>
          <w:position w:val="-6"/>
          <w:sz w:val="24"/>
          <w:szCs w:val="24"/>
        </w:rPr>
      </w:pPr>
      <w:proofErr w:type="spellStart"/>
      <w:r w:rsidRPr="00560CAA">
        <w:rPr>
          <w:rFonts w:ascii="Times New Roman" w:hAnsi="Times New Roman"/>
          <w:position w:val="-6"/>
          <w:sz w:val="24"/>
          <w:szCs w:val="24"/>
        </w:rPr>
        <w:t>Sek</w:t>
      </w:r>
      <w:proofErr w:type="spellEnd"/>
      <w:r w:rsidRPr="00560CAA">
        <w:rPr>
          <w:rFonts w:ascii="Times New Roman" w:hAnsi="Times New Roman"/>
          <w:position w:val="-6"/>
          <w:sz w:val="24"/>
          <w:szCs w:val="24"/>
        </w:rPr>
        <w:t xml:space="preserve">, S.K.; Ng, Z.J. &amp; Har, W.M. (2015) Comparing the Impacts of Oil Price Shocks Across Stock Markets. </w:t>
      </w:r>
      <w:r w:rsidRPr="00C424B6">
        <w:rPr>
          <w:rFonts w:ascii="Times New Roman" w:hAnsi="Times New Roman"/>
          <w:i/>
          <w:position w:val="-6"/>
          <w:sz w:val="24"/>
          <w:szCs w:val="24"/>
        </w:rPr>
        <w:t xml:space="preserve">Journal </w:t>
      </w:r>
      <w:proofErr w:type="spellStart"/>
      <w:r w:rsidRPr="00C424B6">
        <w:rPr>
          <w:rFonts w:ascii="Times New Roman" w:hAnsi="Times New Roman"/>
          <w:i/>
          <w:position w:val="-6"/>
          <w:sz w:val="24"/>
          <w:szCs w:val="24"/>
        </w:rPr>
        <w:t>Teknologi</w:t>
      </w:r>
      <w:proofErr w:type="spellEnd"/>
      <w:r>
        <w:rPr>
          <w:rFonts w:ascii="Times New Roman" w:hAnsi="Times New Roman"/>
          <w:position w:val="-6"/>
          <w:sz w:val="24"/>
          <w:szCs w:val="24"/>
        </w:rPr>
        <w:t>, 77(</w:t>
      </w:r>
      <w:r w:rsidRPr="00560CAA">
        <w:rPr>
          <w:rFonts w:ascii="Times New Roman" w:hAnsi="Times New Roman"/>
          <w:position w:val="-6"/>
          <w:sz w:val="24"/>
          <w:szCs w:val="24"/>
        </w:rPr>
        <w:t>2</w:t>
      </w:r>
      <w:r>
        <w:rPr>
          <w:rFonts w:ascii="Times New Roman" w:hAnsi="Times New Roman"/>
          <w:position w:val="-6"/>
          <w:sz w:val="24"/>
          <w:szCs w:val="24"/>
        </w:rPr>
        <w:t>),</w:t>
      </w:r>
      <w:r w:rsidRPr="00560CAA">
        <w:rPr>
          <w:rFonts w:ascii="Times New Roman" w:hAnsi="Times New Roman"/>
          <w:position w:val="-6"/>
          <w:sz w:val="24"/>
          <w:szCs w:val="24"/>
        </w:rPr>
        <w:t xml:space="preserve"> 1-7.</w:t>
      </w:r>
    </w:p>
    <w:p w14:paraId="552F2540"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Tiwari, A.K.; Jena, S.K. Mitra, A. &amp; Yoon, S. (2018) Impact of Oil Price Risk on Sectoral Equity Markets: Implications on Portfolio Management. </w:t>
      </w:r>
      <w:r w:rsidRPr="00391368">
        <w:rPr>
          <w:rFonts w:ascii="Times New Roman" w:hAnsi="Times New Roman"/>
          <w:i/>
          <w:position w:val="-6"/>
          <w:sz w:val="24"/>
          <w:szCs w:val="24"/>
        </w:rPr>
        <w:t>Energy Economics</w:t>
      </w:r>
      <w:r w:rsidRPr="00560CAA">
        <w:rPr>
          <w:rFonts w:ascii="Times New Roman" w:hAnsi="Times New Roman"/>
          <w:position w:val="-6"/>
          <w:sz w:val="24"/>
          <w:szCs w:val="24"/>
        </w:rPr>
        <w:t>, 1-45.</w:t>
      </w:r>
    </w:p>
    <w:p w14:paraId="0CB4E2D7" w14:textId="77777777" w:rsidR="008D6160" w:rsidRDefault="008D6160" w:rsidP="009F2198">
      <w:pPr>
        <w:spacing w:after="0" w:line="240" w:lineRule="auto"/>
        <w:ind w:left="720" w:hanging="720"/>
        <w:rPr>
          <w:rFonts w:ascii="Times New Roman" w:hAnsi="Times New Roman"/>
          <w:color w:val="000000"/>
          <w:sz w:val="24"/>
          <w:szCs w:val="24"/>
        </w:rPr>
      </w:pPr>
      <w:proofErr w:type="spellStart"/>
      <w:r w:rsidRPr="00AE4EA1">
        <w:rPr>
          <w:rFonts w:ascii="Times New Roman" w:hAnsi="Times New Roman"/>
          <w:color w:val="000000"/>
          <w:sz w:val="24"/>
          <w:szCs w:val="24"/>
        </w:rPr>
        <w:t>Tsay</w:t>
      </w:r>
      <w:proofErr w:type="spellEnd"/>
      <w:r w:rsidRPr="00AE4EA1">
        <w:rPr>
          <w:rFonts w:ascii="Times New Roman" w:hAnsi="Times New Roman"/>
          <w:color w:val="000000"/>
          <w:sz w:val="24"/>
          <w:szCs w:val="24"/>
        </w:rPr>
        <w:t xml:space="preserve"> R. S. (2010) </w:t>
      </w:r>
      <w:r w:rsidRPr="00AE4EA1">
        <w:rPr>
          <w:rFonts w:ascii="Times New Roman" w:hAnsi="Times New Roman"/>
          <w:i/>
          <w:color w:val="000000"/>
          <w:sz w:val="24"/>
          <w:szCs w:val="24"/>
        </w:rPr>
        <w:t>Analysis of Financial Time Series</w:t>
      </w:r>
      <w:r w:rsidRPr="00AE4EA1">
        <w:rPr>
          <w:rFonts w:ascii="Times New Roman" w:hAnsi="Times New Roman"/>
          <w:color w:val="000000"/>
          <w:sz w:val="24"/>
          <w:szCs w:val="24"/>
        </w:rPr>
        <w:t>. 2e Willey Publishers.</w:t>
      </w:r>
    </w:p>
    <w:p w14:paraId="126F1CBD" w14:textId="77777777" w:rsidR="008D6160" w:rsidRDefault="008D6160" w:rsidP="009F2198">
      <w:pPr>
        <w:spacing w:after="0" w:line="240" w:lineRule="auto"/>
        <w:ind w:left="720" w:hanging="720"/>
        <w:rPr>
          <w:rFonts w:ascii="Times New Roman" w:hAnsi="Times New Roman"/>
          <w:sz w:val="24"/>
          <w:szCs w:val="24"/>
        </w:rPr>
      </w:pPr>
      <w:r>
        <w:rPr>
          <w:rFonts w:ascii="Times New Roman" w:hAnsi="Times New Roman"/>
          <w:sz w:val="24"/>
          <w:szCs w:val="24"/>
        </w:rPr>
        <w:t xml:space="preserve">Tule, M. K., </w:t>
      </w:r>
      <w:proofErr w:type="spellStart"/>
      <w:r>
        <w:rPr>
          <w:rFonts w:ascii="Times New Roman" w:hAnsi="Times New Roman"/>
          <w:sz w:val="24"/>
          <w:szCs w:val="24"/>
        </w:rPr>
        <w:t>Akuns</w:t>
      </w:r>
      <w:proofErr w:type="spellEnd"/>
      <w:r>
        <w:rPr>
          <w:rFonts w:ascii="Times New Roman" w:hAnsi="Times New Roman"/>
          <w:sz w:val="24"/>
          <w:szCs w:val="24"/>
        </w:rPr>
        <w:t xml:space="preserve">, J. S., </w:t>
      </w:r>
      <w:proofErr w:type="spellStart"/>
      <w:r>
        <w:rPr>
          <w:rFonts w:ascii="Times New Roman" w:hAnsi="Times New Roman"/>
          <w:sz w:val="24"/>
          <w:szCs w:val="24"/>
        </w:rPr>
        <w:t>Balakeffi</w:t>
      </w:r>
      <w:proofErr w:type="spellEnd"/>
      <w:r>
        <w:rPr>
          <w:rFonts w:ascii="Times New Roman" w:hAnsi="Times New Roman"/>
          <w:sz w:val="24"/>
          <w:szCs w:val="24"/>
        </w:rPr>
        <w:t xml:space="preserve">, L. R., </w:t>
      </w:r>
      <w:proofErr w:type="spellStart"/>
      <w:r>
        <w:rPr>
          <w:rFonts w:ascii="Times New Roman" w:hAnsi="Times New Roman"/>
          <w:sz w:val="24"/>
          <w:szCs w:val="24"/>
        </w:rPr>
        <w:t>Chemeke</w:t>
      </w:r>
      <w:proofErr w:type="spellEnd"/>
      <w:r>
        <w:rPr>
          <w:rFonts w:ascii="Times New Roman" w:hAnsi="Times New Roman"/>
          <w:sz w:val="24"/>
          <w:szCs w:val="24"/>
        </w:rPr>
        <w:t xml:space="preserve">, C. C. &amp; Abdulsalam, S. A. (2019) Volatility spillovers between oil and stock market: Evidence from Nigeria and South Africa. </w:t>
      </w:r>
      <w:r>
        <w:rPr>
          <w:rFonts w:ascii="Times New Roman" w:hAnsi="Times New Roman"/>
          <w:i/>
          <w:sz w:val="24"/>
          <w:szCs w:val="24"/>
        </w:rPr>
        <w:t xml:space="preserve">West African Financial and Economic Review </w:t>
      </w:r>
      <w:r>
        <w:rPr>
          <w:rFonts w:ascii="Times New Roman" w:hAnsi="Times New Roman"/>
          <w:sz w:val="24"/>
          <w:szCs w:val="24"/>
        </w:rPr>
        <w:t>19(2) 105-140.</w:t>
      </w:r>
    </w:p>
    <w:p w14:paraId="4BAE2ED7" w14:textId="77777777" w:rsidR="008D6160" w:rsidRDefault="008D6160" w:rsidP="009F2198">
      <w:pPr>
        <w:spacing w:after="0" w:line="240" w:lineRule="auto"/>
        <w:ind w:left="720" w:hanging="720"/>
        <w:rPr>
          <w:rFonts w:ascii="Times New Roman" w:hAnsi="Times New Roman"/>
          <w:color w:val="000000"/>
          <w:sz w:val="24"/>
          <w:szCs w:val="24"/>
        </w:rPr>
      </w:pPr>
      <w:proofErr w:type="spellStart"/>
      <w:r w:rsidRPr="00AE4EA1">
        <w:rPr>
          <w:rFonts w:ascii="Times New Roman" w:hAnsi="Times New Roman"/>
          <w:color w:val="000000"/>
          <w:sz w:val="24"/>
          <w:szCs w:val="24"/>
        </w:rPr>
        <w:t>Uzonwanne</w:t>
      </w:r>
      <w:proofErr w:type="spellEnd"/>
      <w:r w:rsidRPr="00AE4EA1">
        <w:rPr>
          <w:rFonts w:ascii="Times New Roman" w:hAnsi="Times New Roman"/>
          <w:color w:val="000000"/>
          <w:sz w:val="24"/>
          <w:szCs w:val="24"/>
        </w:rPr>
        <w:t xml:space="preserve"> G. (2021) Volatility and Return Spillover between stock market and crypto currencies. </w:t>
      </w:r>
      <w:r w:rsidRPr="00AE4EA1">
        <w:rPr>
          <w:rFonts w:ascii="Times New Roman" w:hAnsi="Times New Roman"/>
          <w:i/>
          <w:color w:val="000000"/>
          <w:sz w:val="24"/>
          <w:szCs w:val="24"/>
        </w:rPr>
        <w:t>The quarterly review of Economic and Finance</w:t>
      </w:r>
      <w:r w:rsidRPr="00AE4EA1">
        <w:rPr>
          <w:rFonts w:ascii="Times New Roman" w:hAnsi="Times New Roman"/>
          <w:color w:val="000000"/>
          <w:sz w:val="24"/>
          <w:szCs w:val="24"/>
        </w:rPr>
        <w:t xml:space="preserve"> 82 (2021) 30 – 36.</w:t>
      </w:r>
    </w:p>
    <w:p w14:paraId="7447C013" w14:textId="77777777" w:rsidR="008D6160" w:rsidRDefault="008D6160" w:rsidP="009F2198">
      <w:pPr>
        <w:spacing w:after="0" w:line="240" w:lineRule="auto"/>
        <w:ind w:left="720" w:hanging="720"/>
        <w:rPr>
          <w:rFonts w:ascii="Times New Roman" w:hAnsi="Times New Roman"/>
          <w:i/>
          <w:position w:val="-6"/>
          <w:sz w:val="24"/>
          <w:szCs w:val="24"/>
        </w:rPr>
      </w:pPr>
      <w:proofErr w:type="spellStart"/>
      <w:r w:rsidRPr="00560CAA">
        <w:rPr>
          <w:rFonts w:ascii="Times New Roman" w:hAnsi="Times New Roman"/>
          <w:position w:val="-6"/>
          <w:sz w:val="24"/>
          <w:szCs w:val="24"/>
        </w:rPr>
        <w:t>Waheed</w:t>
      </w:r>
      <w:proofErr w:type="spellEnd"/>
      <w:r w:rsidRPr="00560CAA">
        <w:rPr>
          <w:rFonts w:ascii="Times New Roman" w:hAnsi="Times New Roman"/>
          <w:position w:val="-6"/>
          <w:sz w:val="24"/>
          <w:szCs w:val="24"/>
        </w:rPr>
        <w:t>, R.; Wei, C. &amp;</w:t>
      </w:r>
      <w:proofErr w:type="spellStart"/>
      <w:r w:rsidRPr="00560CAA">
        <w:rPr>
          <w:rFonts w:ascii="Times New Roman" w:hAnsi="Times New Roman"/>
          <w:position w:val="-6"/>
          <w:sz w:val="24"/>
          <w:szCs w:val="24"/>
        </w:rPr>
        <w:t>Sorwar</w:t>
      </w:r>
      <w:proofErr w:type="spellEnd"/>
      <w:r w:rsidRPr="00560CAA">
        <w:rPr>
          <w:rFonts w:ascii="Times New Roman" w:hAnsi="Times New Roman"/>
          <w:position w:val="-6"/>
          <w:sz w:val="24"/>
          <w:szCs w:val="24"/>
        </w:rPr>
        <w:t>, S. (2017) Impact of oil prices on Stock Markets; Evidence form Gulf Cooperation Council (GCC</w:t>
      </w:r>
      <w:r w:rsidRPr="00410607">
        <w:rPr>
          <w:rFonts w:ascii="Times New Roman" w:hAnsi="Times New Roman"/>
          <w:i/>
          <w:position w:val="-6"/>
          <w:sz w:val="24"/>
          <w:szCs w:val="24"/>
        </w:rPr>
        <w:t>) Financial Markets</w:t>
      </w:r>
      <w:r>
        <w:rPr>
          <w:rFonts w:ascii="Times New Roman" w:hAnsi="Times New Roman"/>
          <w:i/>
          <w:position w:val="-6"/>
          <w:sz w:val="24"/>
          <w:szCs w:val="24"/>
        </w:rPr>
        <w:t>,</w:t>
      </w:r>
      <w:r w:rsidRPr="00410607">
        <w:rPr>
          <w:rFonts w:ascii="Times New Roman" w:hAnsi="Times New Roman"/>
          <w:i/>
          <w:position w:val="-6"/>
          <w:sz w:val="24"/>
          <w:szCs w:val="24"/>
        </w:rPr>
        <w:t xml:space="preserve"> 1(1)</w:t>
      </w:r>
      <w:r>
        <w:rPr>
          <w:rFonts w:ascii="Times New Roman" w:hAnsi="Times New Roman"/>
          <w:i/>
          <w:position w:val="-6"/>
          <w:sz w:val="24"/>
          <w:szCs w:val="24"/>
        </w:rPr>
        <w:t>,</w:t>
      </w:r>
      <w:r w:rsidRPr="00410607">
        <w:rPr>
          <w:rFonts w:ascii="Times New Roman" w:hAnsi="Times New Roman"/>
          <w:i/>
          <w:position w:val="-6"/>
          <w:sz w:val="24"/>
          <w:szCs w:val="24"/>
        </w:rPr>
        <w:t xml:space="preserve"> 1-8.</w:t>
      </w:r>
    </w:p>
    <w:p w14:paraId="7FA08E29" w14:textId="77777777" w:rsidR="008D6160" w:rsidRDefault="008D6160" w:rsidP="009F2198">
      <w:pPr>
        <w:spacing w:after="0" w:line="240" w:lineRule="auto"/>
        <w:ind w:left="720" w:hanging="720"/>
        <w:rPr>
          <w:rFonts w:ascii="Times New Roman" w:hAnsi="Times New Roman"/>
          <w:sz w:val="24"/>
          <w:szCs w:val="24"/>
        </w:rPr>
      </w:pPr>
      <w:r>
        <w:rPr>
          <w:rFonts w:ascii="Times New Roman" w:hAnsi="Times New Roman"/>
          <w:sz w:val="24"/>
          <w:szCs w:val="24"/>
        </w:rPr>
        <w:t xml:space="preserve">Yaya S., </w:t>
      </w:r>
      <w:proofErr w:type="spellStart"/>
      <w:r>
        <w:rPr>
          <w:rFonts w:ascii="Times New Roman" w:hAnsi="Times New Roman"/>
          <w:sz w:val="24"/>
          <w:szCs w:val="24"/>
        </w:rPr>
        <w:t>Tumula</w:t>
      </w:r>
      <w:proofErr w:type="spellEnd"/>
      <w:r>
        <w:rPr>
          <w:rFonts w:ascii="Times New Roman" w:hAnsi="Times New Roman"/>
          <w:sz w:val="24"/>
          <w:szCs w:val="24"/>
        </w:rPr>
        <w:t xml:space="preserve"> M. and </w:t>
      </w:r>
      <w:proofErr w:type="spellStart"/>
      <w:r>
        <w:rPr>
          <w:rFonts w:ascii="Times New Roman" w:hAnsi="Times New Roman"/>
          <w:sz w:val="24"/>
          <w:szCs w:val="24"/>
        </w:rPr>
        <w:t>Udomboso</w:t>
      </w:r>
      <w:proofErr w:type="spellEnd"/>
      <w:r>
        <w:rPr>
          <w:rFonts w:ascii="Times New Roman" w:hAnsi="Times New Roman"/>
          <w:sz w:val="24"/>
          <w:szCs w:val="24"/>
        </w:rPr>
        <w:t xml:space="preserve"> C. (2016) Volatility Persistence and Return Spillovers between oil and gold prices: </w:t>
      </w:r>
      <w:r w:rsidRPr="00350F35">
        <w:rPr>
          <w:rFonts w:ascii="Times New Roman" w:hAnsi="Times New Roman"/>
          <w:i/>
          <w:sz w:val="24"/>
          <w:szCs w:val="24"/>
        </w:rPr>
        <w:t xml:space="preserve">Resources Policy </w:t>
      </w:r>
      <w:r>
        <w:rPr>
          <w:rFonts w:ascii="Times New Roman" w:hAnsi="Times New Roman"/>
          <w:sz w:val="24"/>
          <w:szCs w:val="24"/>
        </w:rPr>
        <w:t>49 (2016) 274 – 281.</w:t>
      </w:r>
    </w:p>
    <w:p w14:paraId="4D7AC570" w14:textId="77777777" w:rsidR="008D6160" w:rsidRDefault="008D6160" w:rsidP="009F2198">
      <w:pPr>
        <w:spacing w:after="0" w:line="240" w:lineRule="auto"/>
        <w:ind w:left="720" w:hanging="720"/>
        <w:rPr>
          <w:rFonts w:ascii="Times New Roman" w:hAnsi="Times New Roman"/>
          <w:position w:val="-6"/>
          <w:sz w:val="24"/>
          <w:szCs w:val="24"/>
        </w:rPr>
      </w:pPr>
      <w:r w:rsidRPr="00560CAA">
        <w:rPr>
          <w:rFonts w:ascii="Times New Roman" w:hAnsi="Times New Roman"/>
          <w:position w:val="-6"/>
          <w:sz w:val="24"/>
          <w:szCs w:val="24"/>
        </w:rPr>
        <w:t xml:space="preserve">Yaya, O.S.; </w:t>
      </w:r>
      <w:proofErr w:type="spellStart"/>
      <w:r w:rsidRPr="00560CAA">
        <w:rPr>
          <w:rFonts w:ascii="Times New Roman" w:hAnsi="Times New Roman"/>
          <w:position w:val="-6"/>
          <w:sz w:val="24"/>
          <w:szCs w:val="24"/>
        </w:rPr>
        <w:t>Lukgma</w:t>
      </w:r>
      <w:proofErr w:type="spellEnd"/>
      <w:r w:rsidRPr="00560CAA">
        <w:rPr>
          <w:rFonts w:ascii="Times New Roman" w:hAnsi="Times New Roman"/>
          <w:position w:val="-6"/>
          <w:sz w:val="24"/>
          <w:szCs w:val="24"/>
        </w:rPr>
        <w:t xml:space="preserve">, S.; </w:t>
      </w:r>
      <w:proofErr w:type="spellStart"/>
      <w:r w:rsidRPr="00560CAA">
        <w:rPr>
          <w:rFonts w:ascii="Times New Roman" w:hAnsi="Times New Roman"/>
          <w:position w:val="-6"/>
          <w:sz w:val="24"/>
          <w:szCs w:val="24"/>
        </w:rPr>
        <w:t>Akimlama</w:t>
      </w:r>
      <w:proofErr w:type="spellEnd"/>
      <w:r w:rsidRPr="00560CAA">
        <w:rPr>
          <w:rFonts w:ascii="Times New Roman" w:hAnsi="Times New Roman"/>
          <w:position w:val="-6"/>
          <w:sz w:val="24"/>
          <w:szCs w:val="24"/>
        </w:rPr>
        <w:t xml:space="preserve">, D.; </w:t>
      </w:r>
      <w:proofErr w:type="spellStart"/>
      <w:r w:rsidRPr="00560CAA">
        <w:rPr>
          <w:rFonts w:ascii="Times New Roman" w:hAnsi="Times New Roman"/>
          <w:position w:val="-6"/>
          <w:sz w:val="24"/>
          <w:szCs w:val="24"/>
        </w:rPr>
        <w:t>Tumala</w:t>
      </w:r>
      <w:proofErr w:type="spellEnd"/>
      <w:r w:rsidRPr="00560CAA">
        <w:rPr>
          <w:rFonts w:ascii="Times New Roman" w:hAnsi="Times New Roman"/>
          <w:position w:val="-6"/>
          <w:sz w:val="24"/>
          <w:szCs w:val="24"/>
        </w:rPr>
        <w:t xml:space="preserve"> M.M. &amp; Ogbonna A.E. (2017) Oil Price vs</w:t>
      </w:r>
      <w:r>
        <w:rPr>
          <w:rFonts w:ascii="Times New Roman" w:hAnsi="Times New Roman"/>
          <w:position w:val="-6"/>
          <w:sz w:val="24"/>
          <w:szCs w:val="24"/>
        </w:rPr>
        <w:t>.</w:t>
      </w:r>
      <w:r w:rsidRPr="00560CAA">
        <w:rPr>
          <w:rFonts w:ascii="Times New Roman" w:hAnsi="Times New Roman"/>
          <w:position w:val="-6"/>
          <w:sz w:val="24"/>
          <w:szCs w:val="24"/>
        </w:rPr>
        <w:t xml:space="preserve"> Dollar-Exchange Returns and Volatility Spillover in OPEC Countries. </w:t>
      </w:r>
      <w:r w:rsidRPr="00854BAD">
        <w:rPr>
          <w:rFonts w:ascii="Times New Roman" w:hAnsi="Times New Roman"/>
          <w:i/>
          <w:position w:val="-6"/>
          <w:sz w:val="24"/>
          <w:szCs w:val="24"/>
        </w:rPr>
        <w:t>Africa</w:t>
      </w:r>
      <w:r>
        <w:rPr>
          <w:rFonts w:ascii="Times New Roman" w:hAnsi="Times New Roman"/>
          <w:i/>
          <w:position w:val="-6"/>
          <w:sz w:val="24"/>
          <w:szCs w:val="24"/>
        </w:rPr>
        <w:t>n Journal of Applied Statistics,</w:t>
      </w:r>
      <w:r w:rsidRPr="00560CAA">
        <w:rPr>
          <w:rFonts w:ascii="Times New Roman" w:hAnsi="Times New Roman"/>
          <w:position w:val="-6"/>
          <w:sz w:val="24"/>
          <w:szCs w:val="24"/>
        </w:rPr>
        <w:t xml:space="preserve"> 4 (1)</w:t>
      </w:r>
      <w:r>
        <w:rPr>
          <w:rFonts w:ascii="Times New Roman" w:hAnsi="Times New Roman"/>
          <w:position w:val="-6"/>
          <w:sz w:val="24"/>
          <w:szCs w:val="24"/>
        </w:rPr>
        <w:t>,</w:t>
      </w:r>
      <w:r w:rsidRPr="00560CAA">
        <w:rPr>
          <w:rFonts w:ascii="Times New Roman" w:hAnsi="Times New Roman"/>
          <w:position w:val="-6"/>
          <w:sz w:val="24"/>
          <w:szCs w:val="24"/>
        </w:rPr>
        <w:t xml:space="preserve"> 191-208.</w:t>
      </w:r>
    </w:p>
    <w:p w14:paraId="4DF1DD49" w14:textId="33E58633" w:rsidR="002A7037" w:rsidRDefault="002A7037" w:rsidP="00AE5F68">
      <w:pPr>
        <w:spacing w:after="0"/>
        <w:rPr>
          <w:rFonts w:ascii="Times New Roman" w:hAnsi="Times New Roman"/>
          <w:sz w:val="24"/>
          <w:szCs w:val="24"/>
          <w:shd w:val="clear" w:color="auto" w:fill="FFFFFF"/>
        </w:rPr>
      </w:pPr>
      <w:proofErr w:type="spellStart"/>
      <w:r w:rsidRPr="00817FF9">
        <w:rPr>
          <w:rFonts w:ascii="Times New Roman" w:hAnsi="Times New Roman"/>
          <w:sz w:val="24"/>
          <w:szCs w:val="24"/>
          <w:shd w:val="clear" w:color="auto" w:fill="FFFFFF"/>
        </w:rPr>
        <w:t>Yua</w:t>
      </w:r>
      <w:proofErr w:type="spellEnd"/>
      <w:r w:rsidRPr="00817FF9">
        <w:rPr>
          <w:rFonts w:ascii="Times New Roman" w:hAnsi="Times New Roman"/>
          <w:sz w:val="24"/>
          <w:szCs w:val="24"/>
          <w:shd w:val="clear" w:color="auto" w:fill="FFFFFF"/>
        </w:rPr>
        <w:t xml:space="preserve">, H., </w:t>
      </w:r>
      <w:proofErr w:type="spellStart"/>
      <w:r w:rsidRPr="00817FF9">
        <w:rPr>
          <w:rFonts w:ascii="Times New Roman" w:hAnsi="Times New Roman"/>
          <w:sz w:val="24"/>
          <w:szCs w:val="24"/>
          <w:shd w:val="clear" w:color="auto" w:fill="FFFFFF"/>
        </w:rPr>
        <w:t>Epor</w:t>
      </w:r>
      <w:proofErr w:type="spellEnd"/>
      <w:r w:rsidRPr="00817FF9">
        <w:rPr>
          <w:rFonts w:ascii="Times New Roman" w:hAnsi="Times New Roman"/>
          <w:sz w:val="24"/>
          <w:szCs w:val="24"/>
          <w:shd w:val="clear" w:color="auto" w:fill="FFFFFF"/>
        </w:rPr>
        <w:t xml:space="preserve">, S.O., and </w:t>
      </w:r>
      <w:proofErr w:type="spellStart"/>
      <w:r w:rsidRPr="00817FF9">
        <w:rPr>
          <w:rFonts w:ascii="Times New Roman" w:hAnsi="Times New Roman"/>
          <w:sz w:val="24"/>
          <w:szCs w:val="24"/>
          <w:shd w:val="clear" w:color="auto" w:fill="FFFFFF"/>
        </w:rPr>
        <w:t>Utor</w:t>
      </w:r>
      <w:proofErr w:type="spellEnd"/>
      <w:r w:rsidRPr="00817FF9">
        <w:rPr>
          <w:rFonts w:ascii="Times New Roman" w:hAnsi="Times New Roman"/>
          <w:sz w:val="24"/>
          <w:szCs w:val="24"/>
          <w:shd w:val="clear" w:color="auto" w:fill="FFFFFF"/>
        </w:rPr>
        <w:t xml:space="preserve"> V., (2023). The Sway of Financial Markets on Economic Growth: Evidence from Nigerian Stock Exchange, </w:t>
      </w:r>
      <w:r w:rsidRPr="00817FF9">
        <w:rPr>
          <w:rFonts w:ascii="Times New Roman" w:hAnsi="Times New Roman"/>
          <w:i/>
          <w:sz w:val="24"/>
          <w:szCs w:val="24"/>
          <w:shd w:val="clear" w:color="auto" w:fill="FFFFFF"/>
        </w:rPr>
        <w:t xml:space="preserve">Development Multidisciplinary international Journal </w:t>
      </w:r>
      <w:r w:rsidRPr="00817FF9">
        <w:rPr>
          <w:rFonts w:ascii="Times New Roman" w:hAnsi="Times New Roman"/>
          <w:sz w:val="24"/>
          <w:szCs w:val="24"/>
          <w:shd w:val="clear" w:color="auto" w:fill="FFFFFF"/>
        </w:rPr>
        <w:t>7(1), 84 – 92</w:t>
      </w:r>
    </w:p>
    <w:p w14:paraId="5BFB70BC" w14:textId="075A312A" w:rsidR="002D41D3" w:rsidRPr="002D41D3" w:rsidRDefault="002D41D3" w:rsidP="00AE5F68">
      <w:pPr>
        <w:spacing w:after="0" w:line="240" w:lineRule="exact"/>
        <w:rPr>
          <w:rFonts w:ascii="Times New Roman" w:hAnsi="Times New Roman"/>
          <w:sz w:val="24"/>
          <w:szCs w:val="24"/>
        </w:rPr>
      </w:pPr>
      <w:bookmarkStart w:id="5" w:name="_Hlk197800484"/>
      <w:proofErr w:type="spellStart"/>
      <w:r w:rsidRPr="002245CF">
        <w:rPr>
          <w:rFonts w:ascii="Times New Roman" w:hAnsi="Times New Roman"/>
          <w:bCs/>
          <w:sz w:val="24"/>
          <w:szCs w:val="24"/>
        </w:rPr>
        <w:t>Yua</w:t>
      </w:r>
      <w:proofErr w:type="spellEnd"/>
      <w:r w:rsidRPr="002245CF">
        <w:rPr>
          <w:rFonts w:ascii="Times New Roman" w:hAnsi="Times New Roman"/>
          <w:bCs/>
          <w:sz w:val="24"/>
          <w:szCs w:val="24"/>
        </w:rPr>
        <w:t>, H</w:t>
      </w:r>
      <w:r w:rsidRPr="002245CF">
        <w:rPr>
          <w:rFonts w:ascii="Times New Roman" w:hAnsi="Times New Roman"/>
          <w:b/>
          <w:sz w:val="24"/>
          <w:szCs w:val="24"/>
        </w:rPr>
        <w:t>.,</w:t>
      </w:r>
      <w:r w:rsidRPr="002245CF">
        <w:rPr>
          <w:rFonts w:ascii="Times New Roman" w:hAnsi="Times New Roman"/>
          <w:sz w:val="24"/>
          <w:szCs w:val="24"/>
        </w:rPr>
        <w:t xml:space="preserve"> </w:t>
      </w:r>
      <w:proofErr w:type="spellStart"/>
      <w:r w:rsidRPr="002245CF">
        <w:rPr>
          <w:rFonts w:ascii="Times New Roman" w:hAnsi="Times New Roman"/>
          <w:sz w:val="24"/>
          <w:szCs w:val="24"/>
        </w:rPr>
        <w:t>Epor</w:t>
      </w:r>
      <w:proofErr w:type="spellEnd"/>
      <w:r w:rsidRPr="002245CF">
        <w:rPr>
          <w:rFonts w:ascii="Times New Roman" w:hAnsi="Times New Roman"/>
          <w:sz w:val="24"/>
          <w:szCs w:val="24"/>
        </w:rPr>
        <w:t xml:space="preserve">, S.O., &amp; </w:t>
      </w:r>
      <w:proofErr w:type="spellStart"/>
      <w:r w:rsidRPr="002245CF">
        <w:rPr>
          <w:rFonts w:ascii="Times New Roman" w:hAnsi="Times New Roman"/>
          <w:sz w:val="24"/>
          <w:szCs w:val="24"/>
        </w:rPr>
        <w:t>Ajekwe</w:t>
      </w:r>
      <w:proofErr w:type="spellEnd"/>
      <w:r w:rsidRPr="002245CF">
        <w:rPr>
          <w:rFonts w:ascii="Times New Roman" w:hAnsi="Times New Roman"/>
          <w:sz w:val="24"/>
          <w:szCs w:val="24"/>
        </w:rPr>
        <w:t xml:space="preserve">, (2025). Risk effects on bank stability measures in Nigeria: Exploring the role of risk weighted, assets of selected deposit money banks in Nigeria. </w:t>
      </w:r>
      <w:r w:rsidRPr="002245CF">
        <w:rPr>
          <w:rStyle w:val="Strong"/>
          <w:rFonts w:ascii="Times New Roman" w:hAnsi="Times New Roman"/>
          <w:i/>
          <w:sz w:val="24"/>
          <w:szCs w:val="24"/>
          <w:shd w:val="clear" w:color="auto" w:fill="FFFFFF"/>
        </w:rPr>
        <w:t xml:space="preserve"> </w:t>
      </w:r>
      <w:r w:rsidRPr="002D41D3">
        <w:rPr>
          <w:rStyle w:val="Strong"/>
          <w:rFonts w:ascii="Times New Roman" w:hAnsi="Times New Roman"/>
          <w:b w:val="0"/>
          <w:bCs w:val="0"/>
          <w:i/>
          <w:sz w:val="24"/>
          <w:szCs w:val="24"/>
          <w:shd w:val="clear" w:color="auto" w:fill="FFFFFF"/>
        </w:rPr>
        <w:t xml:space="preserve">International Journal of Business Systems and Economics, </w:t>
      </w:r>
      <w:r w:rsidRPr="002D41D3">
        <w:rPr>
          <w:rStyle w:val="Strong"/>
          <w:rFonts w:ascii="Times New Roman" w:hAnsi="Times New Roman"/>
          <w:b w:val="0"/>
          <w:bCs w:val="0"/>
          <w:sz w:val="24"/>
          <w:szCs w:val="24"/>
          <w:shd w:val="clear" w:color="auto" w:fill="FFFFFF"/>
        </w:rPr>
        <w:t xml:space="preserve">9(8), </w:t>
      </w:r>
      <w:r w:rsidRPr="002D41D3">
        <w:rPr>
          <w:rFonts w:ascii="Times New Roman" w:hAnsi="Times New Roman"/>
          <w:sz w:val="24"/>
          <w:szCs w:val="24"/>
        </w:rPr>
        <w:t>89-105</w:t>
      </w:r>
      <w:bookmarkEnd w:id="5"/>
    </w:p>
    <w:p w14:paraId="52C310F6" w14:textId="4A135F07" w:rsidR="002A7037" w:rsidRDefault="002A7037" w:rsidP="002A7037">
      <w:pPr>
        <w:spacing w:after="0"/>
        <w:ind w:left="720"/>
        <w:jc w:val="both"/>
        <w:rPr>
          <w:rFonts w:ascii="Times New Roman" w:hAnsi="Times New Roman"/>
          <w:sz w:val="24"/>
          <w:szCs w:val="24"/>
          <w:shd w:val="clear" w:color="auto" w:fill="FFFFFF"/>
        </w:rPr>
      </w:pPr>
    </w:p>
    <w:p w14:paraId="64315EBE" w14:textId="550C78A3" w:rsidR="00A24347" w:rsidRDefault="00A24347" w:rsidP="002A7037">
      <w:pPr>
        <w:spacing w:after="0"/>
        <w:ind w:left="720"/>
        <w:jc w:val="both"/>
        <w:rPr>
          <w:rFonts w:ascii="Times New Roman" w:hAnsi="Times New Roman"/>
          <w:sz w:val="24"/>
          <w:szCs w:val="24"/>
          <w:shd w:val="clear" w:color="auto" w:fill="FFFFFF"/>
        </w:rPr>
      </w:pPr>
    </w:p>
    <w:sectPr w:rsidR="00A24347" w:rsidSect="00AE5F68">
      <w:type w:val="continuous"/>
      <w:pgSz w:w="12240" w:h="15840"/>
      <w:pgMar w:top="851" w:right="1440" w:bottom="1276" w:left="1440" w:header="720" w:footer="720" w:gutter="0"/>
      <w:cols w:num="2" w:space="118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DAD57" w14:textId="77777777" w:rsidR="005A101A" w:rsidRDefault="005A101A" w:rsidP="00BA0A27">
      <w:pPr>
        <w:spacing w:after="0" w:line="240" w:lineRule="auto"/>
      </w:pPr>
      <w:r>
        <w:separator/>
      </w:r>
    </w:p>
  </w:endnote>
  <w:endnote w:type="continuationSeparator" w:id="0">
    <w:p w14:paraId="641D798D" w14:textId="77777777" w:rsidR="005A101A" w:rsidRDefault="005A101A" w:rsidP="00BA0A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5F1F7" w14:textId="77777777" w:rsidR="005A101A" w:rsidRDefault="005A101A" w:rsidP="00BA0A27">
      <w:pPr>
        <w:spacing w:after="0" w:line="240" w:lineRule="auto"/>
      </w:pPr>
      <w:r>
        <w:separator/>
      </w:r>
    </w:p>
  </w:footnote>
  <w:footnote w:type="continuationSeparator" w:id="0">
    <w:p w14:paraId="5FD911BD" w14:textId="77777777" w:rsidR="005A101A" w:rsidRDefault="005A101A" w:rsidP="00BA0A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13E0B"/>
    <w:multiLevelType w:val="hybridMultilevel"/>
    <w:tmpl w:val="C986D240"/>
    <w:lvl w:ilvl="0" w:tplc="F3BE4E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02005B"/>
    <w:multiLevelType w:val="hybridMultilevel"/>
    <w:tmpl w:val="CEA8A094"/>
    <w:lvl w:ilvl="0" w:tplc="173247C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516A07"/>
    <w:multiLevelType w:val="hybridMultilevel"/>
    <w:tmpl w:val="F87A2014"/>
    <w:lvl w:ilvl="0" w:tplc="A1D033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833B8"/>
    <w:multiLevelType w:val="hybridMultilevel"/>
    <w:tmpl w:val="D1FC2BCC"/>
    <w:lvl w:ilvl="0" w:tplc="F3A498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267C7E"/>
    <w:multiLevelType w:val="hybridMultilevel"/>
    <w:tmpl w:val="FC18D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C446A5"/>
    <w:multiLevelType w:val="hybridMultilevel"/>
    <w:tmpl w:val="BD18DCD6"/>
    <w:lvl w:ilvl="0" w:tplc="32180D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B53E95"/>
    <w:multiLevelType w:val="hybridMultilevel"/>
    <w:tmpl w:val="44F4DA0A"/>
    <w:lvl w:ilvl="0" w:tplc="BA7EEB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DF56DF"/>
    <w:multiLevelType w:val="hybridMultilevel"/>
    <w:tmpl w:val="BB121B96"/>
    <w:lvl w:ilvl="0" w:tplc="4472408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F744443"/>
    <w:multiLevelType w:val="hybridMultilevel"/>
    <w:tmpl w:val="1F066B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100397"/>
    <w:multiLevelType w:val="hybridMultilevel"/>
    <w:tmpl w:val="189EB76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AF26C8"/>
    <w:multiLevelType w:val="hybridMultilevel"/>
    <w:tmpl w:val="E1E243B0"/>
    <w:lvl w:ilvl="0" w:tplc="4162BC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917E2D"/>
    <w:multiLevelType w:val="hybridMultilevel"/>
    <w:tmpl w:val="AC04B2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C86EB8"/>
    <w:multiLevelType w:val="hybridMultilevel"/>
    <w:tmpl w:val="CEE00A3A"/>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C059A9"/>
    <w:multiLevelType w:val="hybridMultilevel"/>
    <w:tmpl w:val="7FDCBE08"/>
    <w:lvl w:ilvl="0" w:tplc="0882BC6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66073D9"/>
    <w:multiLevelType w:val="hybridMultilevel"/>
    <w:tmpl w:val="39328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3F4A25"/>
    <w:multiLevelType w:val="hybridMultilevel"/>
    <w:tmpl w:val="B45EF44A"/>
    <w:lvl w:ilvl="0" w:tplc="7C427EB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0AD23A2"/>
    <w:multiLevelType w:val="hybridMultilevel"/>
    <w:tmpl w:val="915E2750"/>
    <w:lvl w:ilvl="0" w:tplc="A3DA8C7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A615E69"/>
    <w:multiLevelType w:val="hybridMultilevel"/>
    <w:tmpl w:val="614AED94"/>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B3D6031"/>
    <w:multiLevelType w:val="hybridMultilevel"/>
    <w:tmpl w:val="610EA9F4"/>
    <w:lvl w:ilvl="0" w:tplc="FE489C3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6B7243E2"/>
    <w:multiLevelType w:val="hybridMultilevel"/>
    <w:tmpl w:val="5FF0D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1C344C"/>
    <w:multiLevelType w:val="hybridMultilevel"/>
    <w:tmpl w:val="A926C2BE"/>
    <w:lvl w:ilvl="0" w:tplc="7488F04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3735201">
    <w:abstractNumId w:val="9"/>
  </w:num>
  <w:num w:numId="2" w16cid:durableId="2100365057">
    <w:abstractNumId w:val="8"/>
  </w:num>
  <w:num w:numId="3" w16cid:durableId="708919738">
    <w:abstractNumId w:val="5"/>
  </w:num>
  <w:num w:numId="4" w16cid:durableId="1492672643">
    <w:abstractNumId w:val="21"/>
  </w:num>
  <w:num w:numId="5" w16cid:durableId="326173805">
    <w:abstractNumId w:val="10"/>
  </w:num>
  <w:num w:numId="6" w16cid:durableId="1792162620">
    <w:abstractNumId w:val="12"/>
  </w:num>
  <w:num w:numId="7" w16cid:durableId="1460218639">
    <w:abstractNumId w:val="15"/>
  </w:num>
  <w:num w:numId="8" w16cid:durableId="1775904808">
    <w:abstractNumId w:val="0"/>
  </w:num>
  <w:num w:numId="9" w16cid:durableId="1488745861">
    <w:abstractNumId w:val="14"/>
  </w:num>
  <w:num w:numId="10" w16cid:durableId="660743689">
    <w:abstractNumId w:val="6"/>
  </w:num>
  <w:num w:numId="11" w16cid:durableId="1673483192">
    <w:abstractNumId w:val="3"/>
  </w:num>
  <w:num w:numId="12" w16cid:durableId="913078745">
    <w:abstractNumId w:val="1"/>
  </w:num>
  <w:num w:numId="13" w16cid:durableId="1183940165">
    <w:abstractNumId w:val="2"/>
  </w:num>
  <w:num w:numId="14" w16cid:durableId="719934972">
    <w:abstractNumId w:val="20"/>
  </w:num>
  <w:num w:numId="15" w16cid:durableId="602961406">
    <w:abstractNumId w:val="7"/>
  </w:num>
  <w:num w:numId="16" w16cid:durableId="998657322">
    <w:abstractNumId w:val="13"/>
  </w:num>
  <w:num w:numId="17" w16cid:durableId="346106167">
    <w:abstractNumId w:val="18"/>
  </w:num>
  <w:num w:numId="18" w16cid:durableId="140074336">
    <w:abstractNumId w:val="19"/>
  </w:num>
  <w:num w:numId="19" w16cid:durableId="262693158">
    <w:abstractNumId w:val="17"/>
  </w:num>
  <w:num w:numId="20" w16cid:durableId="1573471046">
    <w:abstractNumId w:val="11"/>
  </w:num>
  <w:num w:numId="21" w16cid:durableId="1805342602">
    <w:abstractNumId w:val="4"/>
  </w:num>
  <w:num w:numId="22" w16cid:durableId="107697647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05C2E"/>
    <w:rsid w:val="00010F3A"/>
    <w:rsid w:val="00017658"/>
    <w:rsid w:val="00036BF2"/>
    <w:rsid w:val="000370B7"/>
    <w:rsid w:val="00043E3F"/>
    <w:rsid w:val="00047399"/>
    <w:rsid w:val="000573DC"/>
    <w:rsid w:val="00085DAE"/>
    <w:rsid w:val="000A2597"/>
    <w:rsid w:val="000A361C"/>
    <w:rsid w:val="000B0ADF"/>
    <w:rsid w:val="000D4882"/>
    <w:rsid w:val="000D6002"/>
    <w:rsid w:val="00121FDF"/>
    <w:rsid w:val="00146E45"/>
    <w:rsid w:val="001562F9"/>
    <w:rsid w:val="001641D3"/>
    <w:rsid w:val="00195255"/>
    <w:rsid w:val="0019525A"/>
    <w:rsid w:val="0019721F"/>
    <w:rsid w:val="001A3DED"/>
    <w:rsid w:val="001C78A9"/>
    <w:rsid w:val="00216D38"/>
    <w:rsid w:val="002302A9"/>
    <w:rsid w:val="0024409C"/>
    <w:rsid w:val="002538B2"/>
    <w:rsid w:val="0026652F"/>
    <w:rsid w:val="00271F76"/>
    <w:rsid w:val="00283D8E"/>
    <w:rsid w:val="002A7037"/>
    <w:rsid w:val="002C0E49"/>
    <w:rsid w:val="002C49D6"/>
    <w:rsid w:val="002C702B"/>
    <w:rsid w:val="002D41D3"/>
    <w:rsid w:val="003040EE"/>
    <w:rsid w:val="00334204"/>
    <w:rsid w:val="00340415"/>
    <w:rsid w:val="003447B1"/>
    <w:rsid w:val="003501FF"/>
    <w:rsid w:val="0035586F"/>
    <w:rsid w:val="00355FBF"/>
    <w:rsid w:val="00372CD3"/>
    <w:rsid w:val="00373679"/>
    <w:rsid w:val="00374041"/>
    <w:rsid w:val="00387410"/>
    <w:rsid w:val="003878FD"/>
    <w:rsid w:val="003A659D"/>
    <w:rsid w:val="003C4BF3"/>
    <w:rsid w:val="003D6296"/>
    <w:rsid w:val="003D640C"/>
    <w:rsid w:val="003E4724"/>
    <w:rsid w:val="003E74A5"/>
    <w:rsid w:val="003F5A21"/>
    <w:rsid w:val="00401DEF"/>
    <w:rsid w:val="0042498D"/>
    <w:rsid w:val="00446346"/>
    <w:rsid w:val="00462B13"/>
    <w:rsid w:val="0048466B"/>
    <w:rsid w:val="00493079"/>
    <w:rsid w:val="00494C24"/>
    <w:rsid w:val="004A1C59"/>
    <w:rsid w:val="004C1886"/>
    <w:rsid w:val="004C261D"/>
    <w:rsid w:val="004C2A97"/>
    <w:rsid w:val="004F0619"/>
    <w:rsid w:val="00500FFC"/>
    <w:rsid w:val="005137A8"/>
    <w:rsid w:val="00517D19"/>
    <w:rsid w:val="00523E3F"/>
    <w:rsid w:val="005464FC"/>
    <w:rsid w:val="00555799"/>
    <w:rsid w:val="00580757"/>
    <w:rsid w:val="00586DFC"/>
    <w:rsid w:val="00594F51"/>
    <w:rsid w:val="0059533F"/>
    <w:rsid w:val="00597C36"/>
    <w:rsid w:val="005A101A"/>
    <w:rsid w:val="005C4EEF"/>
    <w:rsid w:val="005D0ADD"/>
    <w:rsid w:val="005E247D"/>
    <w:rsid w:val="00617D69"/>
    <w:rsid w:val="0062550D"/>
    <w:rsid w:val="006339DF"/>
    <w:rsid w:val="006653B6"/>
    <w:rsid w:val="00677F80"/>
    <w:rsid w:val="00694EC4"/>
    <w:rsid w:val="006B0625"/>
    <w:rsid w:val="006B08CF"/>
    <w:rsid w:val="006B2B0F"/>
    <w:rsid w:val="007446B9"/>
    <w:rsid w:val="007618D3"/>
    <w:rsid w:val="007809D4"/>
    <w:rsid w:val="007840BD"/>
    <w:rsid w:val="00784799"/>
    <w:rsid w:val="007A253D"/>
    <w:rsid w:val="007A73BE"/>
    <w:rsid w:val="007A77EA"/>
    <w:rsid w:val="007D4216"/>
    <w:rsid w:val="007D5111"/>
    <w:rsid w:val="007E4EE8"/>
    <w:rsid w:val="007E7EDB"/>
    <w:rsid w:val="00803BDF"/>
    <w:rsid w:val="0080580B"/>
    <w:rsid w:val="008252D5"/>
    <w:rsid w:val="008322DD"/>
    <w:rsid w:val="00851B01"/>
    <w:rsid w:val="00856FD2"/>
    <w:rsid w:val="00861F22"/>
    <w:rsid w:val="00886643"/>
    <w:rsid w:val="00886A8B"/>
    <w:rsid w:val="008B23FE"/>
    <w:rsid w:val="008D0547"/>
    <w:rsid w:val="008D2FD6"/>
    <w:rsid w:val="008D6160"/>
    <w:rsid w:val="008F0A9A"/>
    <w:rsid w:val="008F0D98"/>
    <w:rsid w:val="00921092"/>
    <w:rsid w:val="009259EB"/>
    <w:rsid w:val="00946CDA"/>
    <w:rsid w:val="00946D96"/>
    <w:rsid w:val="00961467"/>
    <w:rsid w:val="009745CB"/>
    <w:rsid w:val="009878F4"/>
    <w:rsid w:val="009A2413"/>
    <w:rsid w:val="009A3B0B"/>
    <w:rsid w:val="009B22EE"/>
    <w:rsid w:val="009C27CF"/>
    <w:rsid w:val="009C28B8"/>
    <w:rsid w:val="009C4072"/>
    <w:rsid w:val="009F2198"/>
    <w:rsid w:val="00A24347"/>
    <w:rsid w:val="00AA7C90"/>
    <w:rsid w:val="00AC340E"/>
    <w:rsid w:val="00AC5DB8"/>
    <w:rsid w:val="00AE4076"/>
    <w:rsid w:val="00AE5F68"/>
    <w:rsid w:val="00B2201C"/>
    <w:rsid w:val="00B43252"/>
    <w:rsid w:val="00B763C9"/>
    <w:rsid w:val="00B90AA4"/>
    <w:rsid w:val="00B93759"/>
    <w:rsid w:val="00B97CBB"/>
    <w:rsid w:val="00BA0A27"/>
    <w:rsid w:val="00BA25AD"/>
    <w:rsid w:val="00BB087C"/>
    <w:rsid w:val="00BC4CCE"/>
    <w:rsid w:val="00BC6166"/>
    <w:rsid w:val="00BE5E40"/>
    <w:rsid w:val="00C22241"/>
    <w:rsid w:val="00C30A7E"/>
    <w:rsid w:val="00C519FA"/>
    <w:rsid w:val="00C56D37"/>
    <w:rsid w:val="00C9111E"/>
    <w:rsid w:val="00CA1A07"/>
    <w:rsid w:val="00CA681B"/>
    <w:rsid w:val="00CC0A4C"/>
    <w:rsid w:val="00CC4083"/>
    <w:rsid w:val="00CD6D68"/>
    <w:rsid w:val="00CE4A13"/>
    <w:rsid w:val="00CF5758"/>
    <w:rsid w:val="00D02FBB"/>
    <w:rsid w:val="00D11895"/>
    <w:rsid w:val="00D26B44"/>
    <w:rsid w:val="00D32901"/>
    <w:rsid w:val="00D44368"/>
    <w:rsid w:val="00D45128"/>
    <w:rsid w:val="00D458F7"/>
    <w:rsid w:val="00D66026"/>
    <w:rsid w:val="00DA0EF0"/>
    <w:rsid w:val="00DA35E2"/>
    <w:rsid w:val="00DB5ABE"/>
    <w:rsid w:val="00DE0B1C"/>
    <w:rsid w:val="00DE250A"/>
    <w:rsid w:val="00DF6CB9"/>
    <w:rsid w:val="00E05C2E"/>
    <w:rsid w:val="00E10D07"/>
    <w:rsid w:val="00E21E53"/>
    <w:rsid w:val="00E26D55"/>
    <w:rsid w:val="00E51D05"/>
    <w:rsid w:val="00E67561"/>
    <w:rsid w:val="00E72D48"/>
    <w:rsid w:val="00E742A3"/>
    <w:rsid w:val="00E94A87"/>
    <w:rsid w:val="00EC1AC2"/>
    <w:rsid w:val="00EC1B00"/>
    <w:rsid w:val="00ED328B"/>
    <w:rsid w:val="00EE1D4F"/>
    <w:rsid w:val="00EE2AFC"/>
    <w:rsid w:val="00F02476"/>
    <w:rsid w:val="00F13B1D"/>
    <w:rsid w:val="00F25279"/>
    <w:rsid w:val="00F47833"/>
    <w:rsid w:val="00F478D1"/>
    <w:rsid w:val="00F97D2D"/>
    <w:rsid w:val="00FA2A72"/>
    <w:rsid w:val="00FB1DE4"/>
    <w:rsid w:val="00FE113E"/>
    <w:rsid w:val="00FF59E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845A2"/>
  <w15:docId w15:val="{7B4DE64F-88D9-4F46-ACC0-88B4AAD4D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rPr>
    </w:rPrDefault>
    <w:pPrDefault>
      <w:pPr>
        <w:spacing w:line="260" w:lineRule="exact"/>
        <w:ind w:right="288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C2E"/>
    <w:pPr>
      <w:spacing w:after="200" w:line="276" w:lineRule="auto"/>
      <w:ind w:right="0"/>
      <w:jc w:val="left"/>
    </w:pPr>
    <w:rPr>
      <w:rFonts w:ascii="Calibri" w:eastAsia="Calibri" w:hAnsi="Calibri" w:cs="Times New Roman"/>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E05C2E"/>
    <w:pPr>
      <w:ind w:left="720"/>
      <w:contextualSpacing/>
    </w:pPr>
  </w:style>
  <w:style w:type="paragraph" w:styleId="BalloonText">
    <w:name w:val="Balloon Text"/>
    <w:basedOn w:val="Normal"/>
    <w:link w:val="BalloonTextChar"/>
    <w:uiPriority w:val="99"/>
    <w:semiHidden/>
    <w:unhideWhenUsed/>
    <w:rsid w:val="00DE0B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0B1C"/>
    <w:rPr>
      <w:rFonts w:ascii="Tahoma" w:eastAsia="Calibri" w:hAnsi="Tahoma" w:cs="Tahoma"/>
      <w:kern w:val="0"/>
      <w:sz w:val="16"/>
      <w:szCs w:val="16"/>
    </w:rPr>
  </w:style>
  <w:style w:type="paragraph" w:styleId="Header">
    <w:name w:val="header"/>
    <w:basedOn w:val="Normal"/>
    <w:link w:val="HeaderChar"/>
    <w:uiPriority w:val="99"/>
    <w:unhideWhenUsed/>
    <w:rsid w:val="00EE1D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1D4F"/>
    <w:rPr>
      <w:rFonts w:ascii="Calibri" w:eastAsia="Calibri" w:hAnsi="Calibri" w:cs="Times New Roman"/>
      <w:kern w:val="0"/>
    </w:rPr>
  </w:style>
  <w:style w:type="paragraph" w:styleId="Footer">
    <w:name w:val="footer"/>
    <w:basedOn w:val="Normal"/>
    <w:link w:val="FooterChar"/>
    <w:uiPriority w:val="99"/>
    <w:unhideWhenUsed/>
    <w:rsid w:val="00EE1D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1D4F"/>
    <w:rPr>
      <w:rFonts w:ascii="Calibri" w:eastAsia="Calibri" w:hAnsi="Calibri" w:cs="Times New Roman"/>
      <w:kern w:val="0"/>
    </w:rPr>
  </w:style>
  <w:style w:type="table" w:styleId="TableGrid">
    <w:name w:val="Table Grid"/>
    <w:basedOn w:val="TableNormal"/>
    <w:uiPriority w:val="39"/>
    <w:rsid w:val="00EE1D4F"/>
    <w:pPr>
      <w:spacing w:line="240" w:lineRule="auto"/>
      <w:ind w:right="0"/>
      <w:jc w:val="left"/>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EE1D4F"/>
    <w:rPr>
      <w:color w:val="0000FF"/>
      <w:u w:val="single"/>
    </w:rPr>
  </w:style>
  <w:style w:type="character" w:styleId="PlaceholderText">
    <w:name w:val="Placeholder Text"/>
    <w:uiPriority w:val="99"/>
    <w:semiHidden/>
    <w:rsid w:val="00EE1D4F"/>
    <w:rPr>
      <w:color w:val="808080"/>
    </w:rPr>
  </w:style>
  <w:style w:type="character" w:customStyle="1" w:styleId="TitleChar">
    <w:name w:val="Title Char"/>
    <w:link w:val="Title"/>
    <w:uiPriority w:val="10"/>
    <w:rsid w:val="00EE1D4F"/>
    <w:rPr>
      <w:rFonts w:ascii="Cambria" w:eastAsia="Times New Roman" w:hAnsi="Cambria" w:cs="Times New Roman"/>
      <w:color w:val="17365D"/>
      <w:spacing w:val="5"/>
      <w:kern w:val="28"/>
      <w:sz w:val="52"/>
      <w:szCs w:val="52"/>
      <w:lang w:val="en-GB"/>
    </w:rPr>
  </w:style>
  <w:style w:type="paragraph" w:styleId="Title">
    <w:name w:val="Title"/>
    <w:basedOn w:val="Normal"/>
    <w:next w:val="Normal"/>
    <w:link w:val="TitleChar"/>
    <w:uiPriority w:val="10"/>
    <w:qFormat/>
    <w:rsid w:val="00EE1D4F"/>
    <w:pPr>
      <w:pBdr>
        <w:bottom w:val="single" w:sz="8" w:space="4" w:color="4F81BD"/>
      </w:pBdr>
      <w:spacing w:after="300" w:line="240" w:lineRule="auto"/>
      <w:contextualSpacing/>
    </w:pPr>
    <w:rPr>
      <w:rFonts w:ascii="Cambria" w:eastAsia="Times New Roman" w:hAnsi="Cambria"/>
      <w:color w:val="17365D"/>
      <w:spacing w:val="5"/>
      <w:kern w:val="28"/>
      <w:sz w:val="52"/>
      <w:szCs w:val="52"/>
      <w:lang w:val="en-GB"/>
    </w:rPr>
  </w:style>
  <w:style w:type="character" w:customStyle="1" w:styleId="TitleChar1">
    <w:name w:val="Title Char1"/>
    <w:basedOn w:val="DefaultParagraphFont"/>
    <w:uiPriority w:val="10"/>
    <w:rsid w:val="00EE1D4F"/>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BA0A27"/>
    <w:rPr>
      <w:i/>
      <w:iCs/>
    </w:rPr>
  </w:style>
  <w:style w:type="character" w:styleId="Strong">
    <w:name w:val="Strong"/>
    <w:basedOn w:val="DefaultParagraphFont"/>
    <w:uiPriority w:val="22"/>
    <w:qFormat/>
    <w:rsid w:val="002D41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46392">
      <w:bodyDiv w:val="1"/>
      <w:marLeft w:val="0"/>
      <w:marRight w:val="0"/>
      <w:marTop w:val="0"/>
      <w:marBottom w:val="0"/>
      <w:divBdr>
        <w:top w:val="none" w:sz="0" w:space="0" w:color="auto"/>
        <w:left w:val="none" w:sz="0" w:space="0" w:color="auto"/>
        <w:bottom w:val="none" w:sz="0" w:space="0" w:color="auto"/>
        <w:right w:val="none" w:sz="0" w:space="0" w:color="auto"/>
      </w:divBdr>
    </w:div>
    <w:div w:id="187567955">
      <w:bodyDiv w:val="1"/>
      <w:marLeft w:val="0"/>
      <w:marRight w:val="0"/>
      <w:marTop w:val="0"/>
      <w:marBottom w:val="0"/>
      <w:divBdr>
        <w:top w:val="none" w:sz="0" w:space="0" w:color="auto"/>
        <w:left w:val="none" w:sz="0" w:space="0" w:color="auto"/>
        <w:bottom w:val="none" w:sz="0" w:space="0" w:color="auto"/>
        <w:right w:val="none" w:sz="0" w:space="0" w:color="auto"/>
      </w:divBdr>
    </w:div>
    <w:div w:id="188644152">
      <w:bodyDiv w:val="1"/>
      <w:marLeft w:val="0"/>
      <w:marRight w:val="0"/>
      <w:marTop w:val="0"/>
      <w:marBottom w:val="0"/>
      <w:divBdr>
        <w:top w:val="none" w:sz="0" w:space="0" w:color="auto"/>
        <w:left w:val="none" w:sz="0" w:space="0" w:color="auto"/>
        <w:bottom w:val="none" w:sz="0" w:space="0" w:color="auto"/>
        <w:right w:val="none" w:sz="0" w:space="0" w:color="auto"/>
      </w:divBdr>
    </w:div>
    <w:div w:id="201672465">
      <w:bodyDiv w:val="1"/>
      <w:marLeft w:val="0"/>
      <w:marRight w:val="0"/>
      <w:marTop w:val="0"/>
      <w:marBottom w:val="0"/>
      <w:divBdr>
        <w:top w:val="none" w:sz="0" w:space="0" w:color="auto"/>
        <w:left w:val="none" w:sz="0" w:space="0" w:color="auto"/>
        <w:bottom w:val="none" w:sz="0" w:space="0" w:color="auto"/>
        <w:right w:val="none" w:sz="0" w:space="0" w:color="auto"/>
      </w:divBdr>
    </w:div>
    <w:div w:id="236408039">
      <w:bodyDiv w:val="1"/>
      <w:marLeft w:val="0"/>
      <w:marRight w:val="0"/>
      <w:marTop w:val="0"/>
      <w:marBottom w:val="0"/>
      <w:divBdr>
        <w:top w:val="none" w:sz="0" w:space="0" w:color="auto"/>
        <w:left w:val="none" w:sz="0" w:space="0" w:color="auto"/>
        <w:bottom w:val="none" w:sz="0" w:space="0" w:color="auto"/>
        <w:right w:val="none" w:sz="0" w:space="0" w:color="auto"/>
      </w:divBdr>
    </w:div>
    <w:div w:id="314917779">
      <w:bodyDiv w:val="1"/>
      <w:marLeft w:val="0"/>
      <w:marRight w:val="0"/>
      <w:marTop w:val="0"/>
      <w:marBottom w:val="0"/>
      <w:divBdr>
        <w:top w:val="none" w:sz="0" w:space="0" w:color="auto"/>
        <w:left w:val="none" w:sz="0" w:space="0" w:color="auto"/>
        <w:bottom w:val="none" w:sz="0" w:space="0" w:color="auto"/>
        <w:right w:val="none" w:sz="0" w:space="0" w:color="auto"/>
      </w:divBdr>
    </w:div>
    <w:div w:id="452752259">
      <w:bodyDiv w:val="1"/>
      <w:marLeft w:val="0"/>
      <w:marRight w:val="0"/>
      <w:marTop w:val="0"/>
      <w:marBottom w:val="0"/>
      <w:divBdr>
        <w:top w:val="none" w:sz="0" w:space="0" w:color="auto"/>
        <w:left w:val="none" w:sz="0" w:space="0" w:color="auto"/>
        <w:bottom w:val="none" w:sz="0" w:space="0" w:color="auto"/>
        <w:right w:val="none" w:sz="0" w:space="0" w:color="auto"/>
      </w:divBdr>
    </w:div>
    <w:div w:id="458501401">
      <w:bodyDiv w:val="1"/>
      <w:marLeft w:val="0"/>
      <w:marRight w:val="0"/>
      <w:marTop w:val="0"/>
      <w:marBottom w:val="0"/>
      <w:divBdr>
        <w:top w:val="none" w:sz="0" w:space="0" w:color="auto"/>
        <w:left w:val="none" w:sz="0" w:space="0" w:color="auto"/>
        <w:bottom w:val="none" w:sz="0" w:space="0" w:color="auto"/>
        <w:right w:val="none" w:sz="0" w:space="0" w:color="auto"/>
      </w:divBdr>
    </w:div>
    <w:div w:id="464078425">
      <w:bodyDiv w:val="1"/>
      <w:marLeft w:val="0"/>
      <w:marRight w:val="0"/>
      <w:marTop w:val="0"/>
      <w:marBottom w:val="0"/>
      <w:divBdr>
        <w:top w:val="none" w:sz="0" w:space="0" w:color="auto"/>
        <w:left w:val="none" w:sz="0" w:space="0" w:color="auto"/>
        <w:bottom w:val="none" w:sz="0" w:space="0" w:color="auto"/>
        <w:right w:val="none" w:sz="0" w:space="0" w:color="auto"/>
      </w:divBdr>
    </w:div>
    <w:div w:id="550656786">
      <w:bodyDiv w:val="1"/>
      <w:marLeft w:val="0"/>
      <w:marRight w:val="0"/>
      <w:marTop w:val="0"/>
      <w:marBottom w:val="0"/>
      <w:divBdr>
        <w:top w:val="none" w:sz="0" w:space="0" w:color="auto"/>
        <w:left w:val="none" w:sz="0" w:space="0" w:color="auto"/>
        <w:bottom w:val="none" w:sz="0" w:space="0" w:color="auto"/>
        <w:right w:val="none" w:sz="0" w:space="0" w:color="auto"/>
      </w:divBdr>
    </w:div>
    <w:div w:id="688793922">
      <w:bodyDiv w:val="1"/>
      <w:marLeft w:val="0"/>
      <w:marRight w:val="0"/>
      <w:marTop w:val="0"/>
      <w:marBottom w:val="0"/>
      <w:divBdr>
        <w:top w:val="none" w:sz="0" w:space="0" w:color="auto"/>
        <w:left w:val="none" w:sz="0" w:space="0" w:color="auto"/>
        <w:bottom w:val="none" w:sz="0" w:space="0" w:color="auto"/>
        <w:right w:val="none" w:sz="0" w:space="0" w:color="auto"/>
      </w:divBdr>
    </w:div>
    <w:div w:id="695621279">
      <w:bodyDiv w:val="1"/>
      <w:marLeft w:val="0"/>
      <w:marRight w:val="0"/>
      <w:marTop w:val="0"/>
      <w:marBottom w:val="0"/>
      <w:divBdr>
        <w:top w:val="none" w:sz="0" w:space="0" w:color="auto"/>
        <w:left w:val="none" w:sz="0" w:space="0" w:color="auto"/>
        <w:bottom w:val="none" w:sz="0" w:space="0" w:color="auto"/>
        <w:right w:val="none" w:sz="0" w:space="0" w:color="auto"/>
      </w:divBdr>
    </w:div>
    <w:div w:id="735279867">
      <w:bodyDiv w:val="1"/>
      <w:marLeft w:val="0"/>
      <w:marRight w:val="0"/>
      <w:marTop w:val="0"/>
      <w:marBottom w:val="0"/>
      <w:divBdr>
        <w:top w:val="none" w:sz="0" w:space="0" w:color="auto"/>
        <w:left w:val="none" w:sz="0" w:space="0" w:color="auto"/>
        <w:bottom w:val="none" w:sz="0" w:space="0" w:color="auto"/>
        <w:right w:val="none" w:sz="0" w:space="0" w:color="auto"/>
      </w:divBdr>
    </w:div>
    <w:div w:id="768088808">
      <w:bodyDiv w:val="1"/>
      <w:marLeft w:val="0"/>
      <w:marRight w:val="0"/>
      <w:marTop w:val="0"/>
      <w:marBottom w:val="0"/>
      <w:divBdr>
        <w:top w:val="none" w:sz="0" w:space="0" w:color="auto"/>
        <w:left w:val="none" w:sz="0" w:space="0" w:color="auto"/>
        <w:bottom w:val="none" w:sz="0" w:space="0" w:color="auto"/>
        <w:right w:val="none" w:sz="0" w:space="0" w:color="auto"/>
      </w:divBdr>
    </w:div>
    <w:div w:id="787548806">
      <w:bodyDiv w:val="1"/>
      <w:marLeft w:val="0"/>
      <w:marRight w:val="0"/>
      <w:marTop w:val="0"/>
      <w:marBottom w:val="0"/>
      <w:divBdr>
        <w:top w:val="none" w:sz="0" w:space="0" w:color="auto"/>
        <w:left w:val="none" w:sz="0" w:space="0" w:color="auto"/>
        <w:bottom w:val="none" w:sz="0" w:space="0" w:color="auto"/>
        <w:right w:val="none" w:sz="0" w:space="0" w:color="auto"/>
      </w:divBdr>
    </w:div>
    <w:div w:id="820854609">
      <w:bodyDiv w:val="1"/>
      <w:marLeft w:val="0"/>
      <w:marRight w:val="0"/>
      <w:marTop w:val="0"/>
      <w:marBottom w:val="0"/>
      <w:divBdr>
        <w:top w:val="none" w:sz="0" w:space="0" w:color="auto"/>
        <w:left w:val="none" w:sz="0" w:space="0" w:color="auto"/>
        <w:bottom w:val="none" w:sz="0" w:space="0" w:color="auto"/>
        <w:right w:val="none" w:sz="0" w:space="0" w:color="auto"/>
      </w:divBdr>
    </w:div>
    <w:div w:id="840854426">
      <w:bodyDiv w:val="1"/>
      <w:marLeft w:val="0"/>
      <w:marRight w:val="0"/>
      <w:marTop w:val="0"/>
      <w:marBottom w:val="0"/>
      <w:divBdr>
        <w:top w:val="none" w:sz="0" w:space="0" w:color="auto"/>
        <w:left w:val="none" w:sz="0" w:space="0" w:color="auto"/>
        <w:bottom w:val="none" w:sz="0" w:space="0" w:color="auto"/>
        <w:right w:val="none" w:sz="0" w:space="0" w:color="auto"/>
      </w:divBdr>
    </w:div>
    <w:div w:id="876628990">
      <w:bodyDiv w:val="1"/>
      <w:marLeft w:val="0"/>
      <w:marRight w:val="0"/>
      <w:marTop w:val="0"/>
      <w:marBottom w:val="0"/>
      <w:divBdr>
        <w:top w:val="none" w:sz="0" w:space="0" w:color="auto"/>
        <w:left w:val="none" w:sz="0" w:space="0" w:color="auto"/>
        <w:bottom w:val="none" w:sz="0" w:space="0" w:color="auto"/>
        <w:right w:val="none" w:sz="0" w:space="0" w:color="auto"/>
      </w:divBdr>
    </w:div>
    <w:div w:id="950747075">
      <w:bodyDiv w:val="1"/>
      <w:marLeft w:val="0"/>
      <w:marRight w:val="0"/>
      <w:marTop w:val="0"/>
      <w:marBottom w:val="0"/>
      <w:divBdr>
        <w:top w:val="none" w:sz="0" w:space="0" w:color="auto"/>
        <w:left w:val="none" w:sz="0" w:space="0" w:color="auto"/>
        <w:bottom w:val="none" w:sz="0" w:space="0" w:color="auto"/>
        <w:right w:val="none" w:sz="0" w:space="0" w:color="auto"/>
      </w:divBdr>
    </w:div>
    <w:div w:id="987367486">
      <w:bodyDiv w:val="1"/>
      <w:marLeft w:val="0"/>
      <w:marRight w:val="0"/>
      <w:marTop w:val="0"/>
      <w:marBottom w:val="0"/>
      <w:divBdr>
        <w:top w:val="none" w:sz="0" w:space="0" w:color="auto"/>
        <w:left w:val="none" w:sz="0" w:space="0" w:color="auto"/>
        <w:bottom w:val="none" w:sz="0" w:space="0" w:color="auto"/>
        <w:right w:val="none" w:sz="0" w:space="0" w:color="auto"/>
      </w:divBdr>
    </w:div>
    <w:div w:id="1014112417">
      <w:bodyDiv w:val="1"/>
      <w:marLeft w:val="0"/>
      <w:marRight w:val="0"/>
      <w:marTop w:val="0"/>
      <w:marBottom w:val="0"/>
      <w:divBdr>
        <w:top w:val="none" w:sz="0" w:space="0" w:color="auto"/>
        <w:left w:val="none" w:sz="0" w:space="0" w:color="auto"/>
        <w:bottom w:val="none" w:sz="0" w:space="0" w:color="auto"/>
        <w:right w:val="none" w:sz="0" w:space="0" w:color="auto"/>
      </w:divBdr>
    </w:div>
    <w:div w:id="1094975566">
      <w:bodyDiv w:val="1"/>
      <w:marLeft w:val="0"/>
      <w:marRight w:val="0"/>
      <w:marTop w:val="0"/>
      <w:marBottom w:val="0"/>
      <w:divBdr>
        <w:top w:val="none" w:sz="0" w:space="0" w:color="auto"/>
        <w:left w:val="none" w:sz="0" w:space="0" w:color="auto"/>
        <w:bottom w:val="none" w:sz="0" w:space="0" w:color="auto"/>
        <w:right w:val="none" w:sz="0" w:space="0" w:color="auto"/>
      </w:divBdr>
    </w:div>
    <w:div w:id="1120153026">
      <w:bodyDiv w:val="1"/>
      <w:marLeft w:val="0"/>
      <w:marRight w:val="0"/>
      <w:marTop w:val="0"/>
      <w:marBottom w:val="0"/>
      <w:divBdr>
        <w:top w:val="none" w:sz="0" w:space="0" w:color="auto"/>
        <w:left w:val="none" w:sz="0" w:space="0" w:color="auto"/>
        <w:bottom w:val="none" w:sz="0" w:space="0" w:color="auto"/>
        <w:right w:val="none" w:sz="0" w:space="0" w:color="auto"/>
      </w:divBdr>
    </w:div>
    <w:div w:id="1166945644">
      <w:bodyDiv w:val="1"/>
      <w:marLeft w:val="0"/>
      <w:marRight w:val="0"/>
      <w:marTop w:val="0"/>
      <w:marBottom w:val="0"/>
      <w:divBdr>
        <w:top w:val="none" w:sz="0" w:space="0" w:color="auto"/>
        <w:left w:val="none" w:sz="0" w:space="0" w:color="auto"/>
        <w:bottom w:val="none" w:sz="0" w:space="0" w:color="auto"/>
        <w:right w:val="none" w:sz="0" w:space="0" w:color="auto"/>
      </w:divBdr>
    </w:div>
    <w:div w:id="1186289369">
      <w:bodyDiv w:val="1"/>
      <w:marLeft w:val="0"/>
      <w:marRight w:val="0"/>
      <w:marTop w:val="0"/>
      <w:marBottom w:val="0"/>
      <w:divBdr>
        <w:top w:val="none" w:sz="0" w:space="0" w:color="auto"/>
        <w:left w:val="none" w:sz="0" w:space="0" w:color="auto"/>
        <w:bottom w:val="none" w:sz="0" w:space="0" w:color="auto"/>
        <w:right w:val="none" w:sz="0" w:space="0" w:color="auto"/>
      </w:divBdr>
    </w:div>
    <w:div w:id="1248078516">
      <w:bodyDiv w:val="1"/>
      <w:marLeft w:val="0"/>
      <w:marRight w:val="0"/>
      <w:marTop w:val="0"/>
      <w:marBottom w:val="0"/>
      <w:divBdr>
        <w:top w:val="none" w:sz="0" w:space="0" w:color="auto"/>
        <w:left w:val="none" w:sz="0" w:space="0" w:color="auto"/>
        <w:bottom w:val="none" w:sz="0" w:space="0" w:color="auto"/>
        <w:right w:val="none" w:sz="0" w:space="0" w:color="auto"/>
      </w:divBdr>
    </w:div>
    <w:div w:id="1290428241">
      <w:bodyDiv w:val="1"/>
      <w:marLeft w:val="0"/>
      <w:marRight w:val="0"/>
      <w:marTop w:val="0"/>
      <w:marBottom w:val="0"/>
      <w:divBdr>
        <w:top w:val="none" w:sz="0" w:space="0" w:color="auto"/>
        <w:left w:val="none" w:sz="0" w:space="0" w:color="auto"/>
        <w:bottom w:val="none" w:sz="0" w:space="0" w:color="auto"/>
        <w:right w:val="none" w:sz="0" w:space="0" w:color="auto"/>
      </w:divBdr>
    </w:div>
    <w:div w:id="1297295761">
      <w:bodyDiv w:val="1"/>
      <w:marLeft w:val="0"/>
      <w:marRight w:val="0"/>
      <w:marTop w:val="0"/>
      <w:marBottom w:val="0"/>
      <w:divBdr>
        <w:top w:val="none" w:sz="0" w:space="0" w:color="auto"/>
        <w:left w:val="none" w:sz="0" w:space="0" w:color="auto"/>
        <w:bottom w:val="none" w:sz="0" w:space="0" w:color="auto"/>
        <w:right w:val="none" w:sz="0" w:space="0" w:color="auto"/>
      </w:divBdr>
    </w:div>
    <w:div w:id="1389838828">
      <w:bodyDiv w:val="1"/>
      <w:marLeft w:val="0"/>
      <w:marRight w:val="0"/>
      <w:marTop w:val="0"/>
      <w:marBottom w:val="0"/>
      <w:divBdr>
        <w:top w:val="none" w:sz="0" w:space="0" w:color="auto"/>
        <w:left w:val="none" w:sz="0" w:space="0" w:color="auto"/>
        <w:bottom w:val="none" w:sz="0" w:space="0" w:color="auto"/>
        <w:right w:val="none" w:sz="0" w:space="0" w:color="auto"/>
      </w:divBdr>
    </w:div>
    <w:div w:id="1462191122">
      <w:bodyDiv w:val="1"/>
      <w:marLeft w:val="0"/>
      <w:marRight w:val="0"/>
      <w:marTop w:val="0"/>
      <w:marBottom w:val="0"/>
      <w:divBdr>
        <w:top w:val="none" w:sz="0" w:space="0" w:color="auto"/>
        <w:left w:val="none" w:sz="0" w:space="0" w:color="auto"/>
        <w:bottom w:val="none" w:sz="0" w:space="0" w:color="auto"/>
        <w:right w:val="none" w:sz="0" w:space="0" w:color="auto"/>
      </w:divBdr>
    </w:div>
    <w:div w:id="1540899775">
      <w:bodyDiv w:val="1"/>
      <w:marLeft w:val="0"/>
      <w:marRight w:val="0"/>
      <w:marTop w:val="0"/>
      <w:marBottom w:val="0"/>
      <w:divBdr>
        <w:top w:val="none" w:sz="0" w:space="0" w:color="auto"/>
        <w:left w:val="none" w:sz="0" w:space="0" w:color="auto"/>
        <w:bottom w:val="none" w:sz="0" w:space="0" w:color="auto"/>
        <w:right w:val="none" w:sz="0" w:space="0" w:color="auto"/>
      </w:divBdr>
    </w:div>
    <w:div w:id="1574049081">
      <w:bodyDiv w:val="1"/>
      <w:marLeft w:val="0"/>
      <w:marRight w:val="0"/>
      <w:marTop w:val="0"/>
      <w:marBottom w:val="0"/>
      <w:divBdr>
        <w:top w:val="none" w:sz="0" w:space="0" w:color="auto"/>
        <w:left w:val="none" w:sz="0" w:space="0" w:color="auto"/>
        <w:bottom w:val="none" w:sz="0" w:space="0" w:color="auto"/>
        <w:right w:val="none" w:sz="0" w:space="0" w:color="auto"/>
      </w:divBdr>
    </w:div>
    <w:div w:id="1616595508">
      <w:bodyDiv w:val="1"/>
      <w:marLeft w:val="0"/>
      <w:marRight w:val="0"/>
      <w:marTop w:val="0"/>
      <w:marBottom w:val="0"/>
      <w:divBdr>
        <w:top w:val="none" w:sz="0" w:space="0" w:color="auto"/>
        <w:left w:val="none" w:sz="0" w:space="0" w:color="auto"/>
        <w:bottom w:val="none" w:sz="0" w:space="0" w:color="auto"/>
        <w:right w:val="none" w:sz="0" w:space="0" w:color="auto"/>
      </w:divBdr>
    </w:div>
    <w:div w:id="1688949260">
      <w:bodyDiv w:val="1"/>
      <w:marLeft w:val="0"/>
      <w:marRight w:val="0"/>
      <w:marTop w:val="0"/>
      <w:marBottom w:val="0"/>
      <w:divBdr>
        <w:top w:val="none" w:sz="0" w:space="0" w:color="auto"/>
        <w:left w:val="none" w:sz="0" w:space="0" w:color="auto"/>
        <w:bottom w:val="none" w:sz="0" w:space="0" w:color="auto"/>
        <w:right w:val="none" w:sz="0" w:space="0" w:color="auto"/>
      </w:divBdr>
    </w:div>
    <w:div w:id="1700546358">
      <w:bodyDiv w:val="1"/>
      <w:marLeft w:val="0"/>
      <w:marRight w:val="0"/>
      <w:marTop w:val="0"/>
      <w:marBottom w:val="0"/>
      <w:divBdr>
        <w:top w:val="none" w:sz="0" w:space="0" w:color="auto"/>
        <w:left w:val="none" w:sz="0" w:space="0" w:color="auto"/>
        <w:bottom w:val="none" w:sz="0" w:space="0" w:color="auto"/>
        <w:right w:val="none" w:sz="0" w:space="0" w:color="auto"/>
      </w:divBdr>
    </w:div>
    <w:div w:id="1761102952">
      <w:bodyDiv w:val="1"/>
      <w:marLeft w:val="0"/>
      <w:marRight w:val="0"/>
      <w:marTop w:val="0"/>
      <w:marBottom w:val="0"/>
      <w:divBdr>
        <w:top w:val="none" w:sz="0" w:space="0" w:color="auto"/>
        <w:left w:val="none" w:sz="0" w:space="0" w:color="auto"/>
        <w:bottom w:val="none" w:sz="0" w:space="0" w:color="auto"/>
        <w:right w:val="none" w:sz="0" w:space="0" w:color="auto"/>
      </w:divBdr>
    </w:div>
    <w:div w:id="1795904667">
      <w:bodyDiv w:val="1"/>
      <w:marLeft w:val="0"/>
      <w:marRight w:val="0"/>
      <w:marTop w:val="0"/>
      <w:marBottom w:val="0"/>
      <w:divBdr>
        <w:top w:val="none" w:sz="0" w:space="0" w:color="auto"/>
        <w:left w:val="none" w:sz="0" w:space="0" w:color="auto"/>
        <w:bottom w:val="none" w:sz="0" w:space="0" w:color="auto"/>
        <w:right w:val="none" w:sz="0" w:space="0" w:color="auto"/>
      </w:divBdr>
    </w:div>
    <w:div w:id="1800764514">
      <w:bodyDiv w:val="1"/>
      <w:marLeft w:val="0"/>
      <w:marRight w:val="0"/>
      <w:marTop w:val="0"/>
      <w:marBottom w:val="0"/>
      <w:divBdr>
        <w:top w:val="none" w:sz="0" w:space="0" w:color="auto"/>
        <w:left w:val="none" w:sz="0" w:space="0" w:color="auto"/>
        <w:bottom w:val="none" w:sz="0" w:space="0" w:color="auto"/>
        <w:right w:val="none" w:sz="0" w:space="0" w:color="auto"/>
      </w:divBdr>
    </w:div>
    <w:div w:id="1942299491">
      <w:bodyDiv w:val="1"/>
      <w:marLeft w:val="0"/>
      <w:marRight w:val="0"/>
      <w:marTop w:val="0"/>
      <w:marBottom w:val="0"/>
      <w:divBdr>
        <w:top w:val="none" w:sz="0" w:space="0" w:color="auto"/>
        <w:left w:val="none" w:sz="0" w:space="0" w:color="auto"/>
        <w:bottom w:val="none" w:sz="0" w:space="0" w:color="auto"/>
        <w:right w:val="none" w:sz="0" w:space="0" w:color="auto"/>
      </w:divBdr>
    </w:div>
    <w:div w:id="1968120318">
      <w:bodyDiv w:val="1"/>
      <w:marLeft w:val="0"/>
      <w:marRight w:val="0"/>
      <w:marTop w:val="0"/>
      <w:marBottom w:val="0"/>
      <w:divBdr>
        <w:top w:val="none" w:sz="0" w:space="0" w:color="auto"/>
        <w:left w:val="none" w:sz="0" w:space="0" w:color="auto"/>
        <w:bottom w:val="none" w:sz="0" w:space="0" w:color="auto"/>
        <w:right w:val="none" w:sz="0" w:space="0" w:color="auto"/>
      </w:divBdr>
    </w:div>
    <w:div w:id="1976834480">
      <w:bodyDiv w:val="1"/>
      <w:marLeft w:val="0"/>
      <w:marRight w:val="0"/>
      <w:marTop w:val="0"/>
      <w:marBottom w:val="0"/>
      <w:divBdr>
        <w:top w:val="none" w:sz="0" w:space="0" w:color="auto"/>
        <w:left w:val="none" w:sz="0" w:space="0" w:color="auto"/>
        <w:bottom w:val="none" w:sz="0" w:space="0" w:color="auto"/>
        <w:right w:val="none" w:sz="0" w:space="0" w:color="auto"/>
      </w:divBdr>
    </w:div>
    <w:div w:id="2029138644">
      <w:bodyDiv w:val="1"/>
      <w:marLeft w:val="0"/>
      <w:marRight w:val="0"/>
      <w:marTop w:val="0"/>
      <w:marBottom w:val="0"/>
      <w:divBdr>
        <w:top w:val="none" w:sz="0" w:space="0" w:color="auto"/>
        <w:left w:val="none" w:sz="0" w:space="0" w:color="auto"/>
        <w:bottom w:val="none" w:sz="0" w:space="0" w:color="auto"/>
        <w:right w:val="none" w:sz="0" w:space="0" w:color="auto"/>
      </w:divBdr>
    </w:div>
    <w:div w:id="2043826038">
      <w:bodyDiv w:val="1"/>
      <w:marLeft w:val="0"/>
      <w:marRight w:val="0"/>
      <w:marTop w:val="0"/>
      <w:marBottom w:val="0"/>
      <w:divBdr>
        <w:top w:val="none" w:sz="0" w:space="0" w:color="auto"/>
        <w:left w:val="none" w:sz="0" w:space="0" w:color="auto"/>
        <w:bottom w:val="none" w:sz="0" w:space="0" w:color="auto"/>
        <w:right w:val="none" w:sz="0" w:space="0" w:color="auto"/>
      </w:divBdr>
    </w:div>
    <w:div w:id="2048946312">
      <w:bodyDiv w:val="1"/>
      <w:marLeft w:val="0"/>
      <w:marRight w:val="0"/>
      <w:marTop w:val="0"/>
      <w:marBottom w:val="0"/>
      <w:divBdr>
        <w:top w:val="none" w:sz="0" w:space="0" w:color="auto"/>
        <w:left w:val="none" w:sz="0" w:space="0" w:color="auto"/>
        <w:bottom w:val="none" w:sz="0" w:space="0" w:color="auto"/>
        <w:right w:val="none" w:sz="0" w:space="0" w:color="auto"/>
      </w:divBdr>
    </w:div>
    <w:div w:id="2118867014">
      <w:bodyDiv w:val="1"/>
      <w:marLeft w:val="0"/>
      <w:marRight w:val="0"/>
      <w:marTop w:val="0"/>
      <w:marBottom w:val="0"/>
      <w:divBdr>
        <w:top w:val="none" w:sz="0" w:space="0" w:color="auto"/>
        <w:left w:val="none" w:sz="0" w:space="0" w:color="auto"/>
        <w:bottom w:val="none" w:sz="0" w:space="0" w:color="auto"/>
        <w:right w:val="none" w:sz="0" w:space="0" w:color="auto"/>
      </w:divBdr>
    </w:div>
    <w:div w:id="2124763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854</TotalTime>
  <Pages>25</Pages>
  <Words>11014</Words>
  <Characters>62786</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138</cp:revision>
  <dcterms:created xsi:type="dcterms:W3CDTF">2025-02-21T17:06:00Z</dcterms:created>
  <dcterms:modified xsi:type="dcterms:W3CDTF">2025-08-28T23:14:00Z</dcterms:modified>
</cp:coreProperties>
</file>