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5E038" w14:textId="21016F7F" w:rsidR="009D1922" w:rsidRDefault="00DE4D58" w:rsidP="00AE3A49">
      <w:pPr>
        <w:spacing w:before="100" w:beforeAutospacing="1" w:after="100" w:afterAutospacing="1" w:line="240" w:lineRule="auto"/>
        <w:jc w:val="center"/>
        <w:outlineLvl w:val="0"/>
        <w:rPr>
          <w:rFonts w:ascii="Times New Roman" w:eastAsia="Times New Roman" w:hAnsi="Times New Roman" w:cs="Times New Roman"/>
          <w:b/>
          <w:color w:val="5B9BD5" w:themeColor="accent1"/>
          <w:kern w:val="36"/>
          <w:sz w:val="28"/>
          <w:szCs w:val="28"/>
        </w:rPr>
      </w:pPr>
      <w:r w:rsidRPr="00DE4D58">
        <w:rPr>
          <w:rFonts w:ascii="Times New Roman" w:eastAsia="Times New Roman" w:hAnsi="Times New Roman" w:cs="Times New Roman"/>
          <w:b/>
          <w:color w:val="5B9BD5" w:themeColor="accent1"/>
          <w:kern w:val="36"/>
          <w:sz w:val="28"/>
          <w:szCs w:val="28"/>
        </w:rPr>
        <w:t>EXPLORING THE APPLICATION OF STATISTICAL LEARNING THEORY TO VOLTAGE STABILITY ANALYSIS ON THE BIRNIN KEBBI 330 KV POWER TRANSMISSION NETWORK: A COMPREHENSIVE REVIEW</w:t>
      </w:r>
    </w:p>
    <w:p w14:paraId="4F1F2803" w14:textId="6AA86167" w:rsidR="00DE4D58" w:rsidRPr="00DE4D58" w:rsidRDefault="00DE4D58" w:rsidP="00AE3A49">
      <w:pPr>
        <w:spacing w:before="100" w:beforeAutospacing="1" w:after="100" w:afterAutospacing="1" w:line="240" w:lineRule="auto"/>
        <w:jc w:val="center"/>
        <w:outlineLvl w:val="0"/>
        <w:rPr>
          <w:rFonts w:ascii="Times New Roman" w:eastAsia="Times New Roman" w:hAnsi="Times New Roman" w:cs="Times New Roman"/>
          <w:b/>
          <w:color w:val="5B9BD5" w:themeColor="accent1"/>
          <w:kern w:val="36"/>
          <w:sz w:val="28"/>
          <w:szCs w:val="28"/>
        </w:rPr>
      </w:pPr>
      <w:r>
        <w:rPr>
          <w:rFonts w:ascii="Times New Roman" w:eastAsia="Times New Roman" w:hAnsi="Times New Roman" w:cs="Times New Roman"/>
          <w:b/>
          <w:color w:val="5B9BD5" w:themeColor="accent1"/>
          <w:kern w:val="36"/>
          <w:sz w:val="28"/>
          <w:szCs w:val="28"/>
        </w:rPr>
        <w:t xml:space="preserve">BY </w:t>
      </w:r>
    </w:p>
    <w:p w14:paraId="11D797F8" w14:textId="77777777" w:rsidR="002A282E" w:rsidRDefault="002A282E" w:rsidP="002A282E">
      <w:pPr>
        <w:spacing w:after="0" w:line="240" w:lineRule="auto"/>
        <w:rPr>
          <w:rFonts w:ascii="Times New Roman" w:hAnsi="Times New Roman" w:cs="Times New Roman"/>
          <w:sz w:val="18"/>
          <w:szCs w:val="18"/>
        </w:rPr>
        <w:sectPr w:rsidR="002A282E" w:rsidSect="00DE4D58">
          <w:pgSz w:w="12240" w:h="15840"/>
          <w:pgMar w:top="1440" w:right="1440" w:bottom="1440" w:left="1440" w:header="720" w:footer="720" w:gutter="0"/>
          <w:cols w:space="720"/>
          <w:docGrid w:linePitch="360"/>
        </w:sectPr>
      </w:pPr>
    </w:p>
    <w:p w14:paraId="16EDAD7C" w14:textId="57374B8F" w:rsidR="002A282E" w:rsidRPr="00DE4D58" w:rsidRDefault="00DE4D58" w:rsidP="00DE4D58">
      <w:pPr>
        <w:spacing w:after="0" w:line="240" w:lineRule="auto"/>
        <w:jc w:val="center"/>
        <w:rPr>
          <w:rFonts w:ascii="Times New Roman" w:hAnsi="Times New Roman" w:cs="Times New Roman"/>
          <w:b/>
          <w:bCs/>
          <w:sz w:val="24"/>
          <w:szCs w:val="24"/>
        </w:rPr>
      </w:pPr>
      <w:r w:rsidRPr="00DE4D58">
        <w:rPr>
          <w:rFonts w:ascii="Times New Roman" w:hAnsi="Times New Roman" w:cs="Times New Roman"/>
          <w:b/>
          <w:bCs/>
          <w:sz w:val="24"/>
          <w:szCs w:val="24"/>
        </w:rPr>
        <w:t>YABANI GELWASA GALADIM</w:t>
      </w:r>
      <w:r w:rsidRPr="00DE4D58">
        <w:rPr>
          <w:rFonts w:ascii="Times New Roman" w:hAnsi="Times New Roman" w:cs="Times New Roman"/>
          <w:b/>
          <w:bCs/>
          <w:sz w:val="24"/>
          <w:szCs w:val="24"/>
          <w:vertAlign w:val="superscript"/>
        </w:rPr>
        <w:t xml:space="preserve">1 </w:t>
      </w:r>
      <w:r w:rsidRPr="00DE4D58">
        <w:rPr>
          <w:rFonts w:ascii="Times New Roman" w:hAnsi="Times New Roman" w:cs="Times New Roman"/>
          <w:b/>
          <w:bCs/>
          <w:sz w:val="24"/>
          <w:szCs w:val="24"/>
        </w:rPr>
        <w:t>and</w:t>
      </w:r>
      <w:r w:rsidRPr="00DE4D58">
        <w:rPr>
          <w:rFonts w:ascii="Times New Roman" w:hAnsi="Times New Roman" w:cs="Times New Roman"/>
          <w:b/>
          <w:bCs/>
          <w:sz w:val="24"/>
          <w:szCs w:val="24"/>
          <w:vertAlign w:val="superscript"/>
        </w:rPr>
        <w:t xml:space="preserve"> </w:t>
      </w:r>
      <w:r w:rsidRPr="00DE4D58">
        <w:rPr>
          <w:rStyle w:val="Hyperlink"/>
          <w:rFonts w:ascii="Times New Roman" w:hAnsi="Times New Roman" w:cs="Times New Roman"/>
          <w:b/>
          <w:bCs/>
          <w:color w:val="auto"/>
          <w:sz w:val="24"/>
          <w:szCs w:val="24"/>
          <w:u w:val="none"/>
        </w:rPr>
        <w:t>PEACE IFEOLUWA IKUFORIJ</w:t>
      </w:r>
      <w:r w:rsidRPr="00DE4D58">
        <w:rPr>
          <w:rStyle w:val="Hyperlink"/>
          <w:rFonts w:ascii="Times New Roman" w:hAnsi="Times New Roman" w:cs="Times New Roman"/>
          <w:b/>
          <w:bCs/>
          <w:sz w:val="24"/>
          <w:szCs w:val="24"/>
          <w:vertAlign w:val="superscript"/>
        </w:rPr>
        <w:t>2</w:t>
      </w:r>
    </w:p>
    <w:p w14:paraId="678AD5DD" w14:textId="77777777" w:rsidR="00DE4D58" w:rsidRDefault="00DE4D58" w:rsidP="002A282E">
      <w:pPr>
        <w:spacing w:after="0" w:line="240" w:lineRule="auto"/>
        <w:jc w:val="center"/>
        <w:rPr>
          <w:rFonts w:ascii="Times New Roman" w:hAnsi="Times New Roman" w:cs="Times New Roman"/>
          <w:sz w:val="18"/>
          <w:szCs w:val="18"/>
        </w:rPr>
      </w:pPr>
    </w:p>
    <w:p w14:paraId="113B8872" w14:textId="7F5A89EF" w:rsidR="002A282E" w:rsidRPr="00DE4D58" w:rsidRDefault="00DE4D58" w:rsidP="00DE4D58">
      <w:pPr>
        <w:spacing w:after="0" w:line="240" w:lineRule="auto"/>
        <w:rPr>
          <w:rFonts w:ascii="Times New Roman" w:hAnsi="Times New Roman" w:cs="Times New Roman"/>
          <w:sz w:val="20"/>
          <w:szCs w:val="20"/>
        </w:rPr>
      </w:pPr>
      <w:r w:rsidRPr="00DE4D58">
        <w:rPr>
          <w:rFonts w:ascii="Times New Roman" w:hAnsi="Times New Roman" w:cs="Times New Roman"/>
          <w:sz w:val="20"/>
          <w:szCs w:val="20"/>
          <w:vertAlign w:val="superscript"/>
        </w:rPr>
        <w:t>1</w:t>
      </w:r>
      <w:r w:rsidR="002A282E" w:rsidRPr="00DE4D58">
        <w:rPr>
          <w:rFonts w:ascii="Times New Roman" w:hAnsi="Times New Roman" w:cs="Times New Roman"/>
          <w:sz w:val="20"/>
          <w:szCs w:val="20"/>
        </w:rPr>
        <w:t>Department of Elect/Elect Engineering</w:t>
      </w:r>
      <w:r w:rsidRPr="00DE4D58">
        <w:rPr>
          <w:rFonts w:ascii="Times New Roman" w:hAnsi="Times New Roman" w:cs="Times New Roman"/>
          <w:sz w:val="20"/>
          <w:szCs w:val="20"/>
        </w:rPr>
        <w:t xml:space="preserve"> </w:t>
      </w:r>
      <w:r w:rsidR="002A282E" w:rsidRPr="00DE4D58">
        <w:rPr>
          <w:rFonts w:ascii="Times New Roman" w:hAnsi="Times New Roman" w:cs="Times New Roman"/>
          <w:sz w:val="20"/>
          <w:szCs w:val="20"/>
        </w:rPr>
        <w:t>Abdullahi Fodio University of Science and Technology,Aliero, Nigeria.</w:t>
      </w:r>
    </w:p>
    <w:p w14:paraId="70AF803B" w14:textId="4F6A7F9F" w:rsidR="00DE4D58" w:rsidRPr="00DE4D58" w:rsidRDefault="00DE4D58" w:rsidP="00DE4D58">
      <w:pPr>
        <w:spacing w:after="0" w:line="240" w:lineRule="auto"/>
        <w:rPr>
          <w:sz w:val="20"/>
          <w:szCs w:val="20"/>
        </w:rPr>
      </w:pPr>
      <w:r w:rsidRPr="00DE4D58">
        <w:rPr>
          <w:rFonts w:ascii="Times New Roman" w:hAnsi="Times New Roman" w:cs="Times New Roman"/>
          <w:sz w:val="20"/>
          <w:szCs w:val="20"/>
          <w:vertAlign w:val="superscript"/>
        </w:rPr>
        <w:t>2</w:t>
      </w:r>
      <w:r w:rsidRPr="00DE4D58">
        <w:rPr>
          <w:rFonts w:ascii="Times New Roman" w:hAnsi="Times New Roman" w:cs="Times New Roman"/>
          <w:sz w:val="20"/>
          <w:szCs w:val="20"/>
        </w:rPr>
        <w:t>Department of Mathematics</w:t>
      </w:r>
      <w:r w:rsidRPr="00DE4D58">
        <w:rPr>
          <w:rFonts w:ascii="Times New Roman" w:hAnsi="Times New Roman" w:cs="Times New Roman"/>
          <w:sz w:val="20"/>
          <w:szCs w:val="20"/>
        </w:rPr>
        <w:t xml:space="preserve">, </w:t>
      </w:r>
      <w:r w:rsidRPr="00DE4D58">
        <w:rPr>
          <w:rFonts w:ascii="Times New Roman" w:hAnsi="Times New Roman" w:cs="Times New Roman"/>
          <w:sz w:val="20"/>
          <w:szCs w:val="20"/>
        </w:rPr>
        <w:t>Abdullahi Fodio University of Science and Technology,</w:t>
      </w:r>
      <w:r w:rsidRPr="00DE4D58">
        <w:rPr>
          <w:rFonts w:ascii="Times New Roman" w:hAnsi="Times New Roman" w:cs="Times New Roman"/>
          <w:sz w:val="20"/>
          <w:szCs w:val="20"/>
        </w:rPr>
        <w:t xml:space="preserve"> </w:t>
      </w:r>
      <w:r w:rsidRPr="00DE4D58">
        <w:rPr>
          <w:rFonts w:ascii="Times New Roman" w:hAnsi="Times New Roman" w:cs="Times New Roman"/>
          <w:sz w:val="20"/>
          <w:szCs w:val="20"/>
        </w:rPr>
        <w:t>Aliero, Nigeria</w:t>
      </w:r>
    </w:p>
    <w:p w14:paraId="095CD959" w14:textId="77777777" w:rsidR="00DE4D58" w:rsidRDefault="00DE4D58" w:rsidP="002A282E">
      <w:pPr>
        <w:spacing w:after="0" w:line="240" w:lineRule="auto"/>
        <w:jc w:val="center"/>
        <w:rPr>
          <w:rFonts w:ascii="Times New Roman" w:hAnsi="Times New Roman" w:cs="Times New Roman"/>
          <w:sz w:val="18"/>
          <w:szCs w:val="18"/>
        </w:rPr>
      </w:pPr>
    </w:p>
    <w:p w14:paraId="1EDBB3D2" w14:textId="72F3A00D" w:rsidR="00DE4D58" w:rsidRPr="00DE4D58" w:rsidRDefault="00DE4D58" w:rsidP="002A282E">
      <w:pPr>
        <w:spacing w:after="0" w:line="240" w:lineRule="auto"/>
        <w:jc w:val="center"/>
        <w:rPr>
          <w:rFonts w:ascii="Times New Roman" w:hAnsi="Times New Roman" w:cs="Times New Roman"/>
          <w:b/>
          <w:bCs/>
          <w:color w:val="5B9BD5" w:themeColor="accent1"/>
          <w:sz w:val="24"/>
          <w:szCs w:val="24"/>
        </w:rPr>
      </w:pPr>
      <w:r w:rsidRPr="00DE4D58">
        <w:rPr>
          <w:rFonts w:ascii="Times New Roman" w:hAnsi="Times New Roman" w:cs="Times New Roman"/>
          <w:b/>
          <w:bCs/>
          <w:color w:val="5B9BD5" w:themeColor="accent1"/>
          <w:sz w:val="24"/>
          <w:szCs w:val="24"/>
        </w:rPr>
        <w:t>CORRESSPONDING AUTHOR</w:t>
      </w:r>
    </w:p>
    <w:p w14:paraId="05F03BD7" w14:textId="03D76979" w:rsidR="00DE4D58" w:rsidRPr="00DE4D58" w:rsidRDefault="00DE4D58" w:rsidP="002A282E">
      <w:pPr>
        <w:spacing w:after="0" w:line="240" w:lineRule="auto"/>
        <w:jc w:val="center"/>
        <w:rPr>
          <w:rFonts w:ascii="Times New Roman" w:hAnsi="Times New Roman" w:cs="Times New Roman"/>
          <w:sz w:val="24"/>
          <w:szCs w:val="24"/>
        </w:rPr>
      </w:pPr>
      <w:r w:rsidRPr="00DE4D58">
        <w:rPr>
          <w:rFonts w:ascii="Times New Roman" w:hAnsi="Times New Roman" w:cs="Times New Roman"/>
          <w:sz w:val="24"/>
          <w:szCs w:val="24"/>
        </w:rPr>
        <w:t>Yabani Gelwasa Galadim</w:t>
      </w:r>
      <w:r w:rsidRPr="00DE4D58">
        <w:rPr>
          <w:rFonts w:ascii="Times New Roman" w:hAnsi="Times New Roman" w:cs="Times New Roman"/>
          <w:sz w:val="24"/>
          <w:szCs w:val="24"/>
          <w:vertAlign w:val="superscript"/>
        </w:rPr>
        <w:t>1</w:t>
      </w:r>
    </w:p>
    <w:p w14:paraId="56871CB9" w14:textId="560FD6B3" w:rsidR="00DE4D58" w:rsidRPr="00DE4D58" w:rsidRDefault="00DE4D58" w:rsidP="00DE4D58">
      <w:pPr>
        <w:spacing w:after="0" w:line="240" w:lineRule="auto"/>
        <w:jc w:val="center"/>
        <w:rPr>
          <w:rFonts w:ascii="Times New Roman" w:hAnsi="Times New Roman" w:cs="Times New Roman"/>
          <w:sz w:val="24"/>
          <w:szCs w:val="24"/>
        </w:rPr>
      </w:pPr>
      <w:r w:rsidRPr="00DE4D58">
        <w:rPr>
          <w:rFonts w:ascii="Times New Roman" w:hAnsi="Times New Roman" w:cs="Times New Roman"/>
          <w:sz w:val="24"/>
          <w:szCs w:val="24"/>
        </w:rPr>
        <w:t>Department of Elect/Elect Engineering</w:t>
      </w:r>
    </w:p>
    <w:p w14:paraId="1167CC28" w14:textId="77777777" w:rsidR="00DE4D58" w:rsidRPr="00DE4D58" w:rsidRDefault="00DE4D58" w:rsidP="00DE4D58">
      <w:pPr>
        <w:spacing w:after="0" w:line="240" w:lineRule="auto"/>
        <w:jc w:val="center"/>
        <w:rPr>
          <w:rFonts w:ascii="Times New Roman" w:hAnsi="Times New Roman" w:cs="Times New Roman"/>
          <w:sz w:val="24"/>
          <w:szCs w:val="24"/>
        </w:rPr>
      </w:pPr>
      <w:r w:rsidRPr="00DE4D58">
        <w:rPr>
          <w:rFonts w:ascii="Times New Roman" w:hAnsi="Times New Roman" w:cs="Times New Roman"/>
          <w:sz w:val="24"/>
          <w:szCs w:val="24"/>
        </w:rPr>
        <w:t>Abdullahi Fodio University of Science and Technology,</w:t>
      </w:r>
    </w:p>
    <w:p w14:paraId="4EE12A6F" w14:textId="1865B89B" w:rsidR="00DE4D58" w:rsidRPr="00DE4D58" w:rsidRDefault="00DE4D58" w:rsidP="00DE4D58">
      <w:pPr>
        <w:spacing w:after="0" w:line="240" w:lineRule="auto"/>
        <w:jc w:val="center"/>
        <w:rPr>
          <w:rFonts w:ascii="Times New Roman" w:hAnsi="Times New Roman" w:cs="Times New Roman"/>
          <w:sz w:val="24"/>
          <w:szCs w:val="24"/>
        </w:rPr>
      </w:pPr>
      <w:r w:rsidRPr="00DE4D58">
        <w:rPr>
          <w:rFonts w:ascii="Times New Roman" w:hAnsi="Times New Roman" w:cs="Times New Roman"/>
          <w:sz w:val="24"/>
          <w:szCs w:val="24"/>
        </w:rPr>
        <w:t>Aliero, Nigeria.</w:t>
      </w:r>
    </w:p>
    <w:p w14:paraId="33EE3948" w14:textId="36216C24" w:rsidR="002A282E" w:rsidRPr="00DE4D58" w:rsidRDefault="00DE4D58" w:rsidP="002A282E">
      <w:pPr>
        <w:spacing w:after="0" w:line="240" w:lineRule="auto"/>
        <w:jc w:val="center"/>
        <w:rPr>
          <w:rStyle w:val="Hyperlink"/>
          <w:rFonts w:ascii="Times New Roman" w:hAnsi="Times New Roman" w:cs="Times New Roman"/>
          <w:sz w:val="24"/>
          <w:szCs w:val="24"/>
        </w:rPr>
      </w:pPr>
      <w:hyperlink r:id="rId6" w:history="1">
        <w:r w:rsidRPr="00DE4D58">
          <w:rPr>
            <w:rStyle w:val="Hyperlink"/>
            <w:rFonts w:ascii="Times New Roman" w:hAnsi="Times New Roman" w:cs="Times New Roman"/>
            <w:sz w:val="24"/>
            <w:szCs w:val="24"/>
          </w:rPr>
          <w:t>yabani.galadima@ksusta.edu.ng</w:t>
        </w:r>
      </w:hyperlink>
    </w:p>
    <w:p w14:paraId="55185E04" w14:textId="77777777" w:rsidR="002A282E" w:rsidRDefault="00000000" w:rsidP="002A282E">
      <w:pPr>
        <w:spacing w:after="0" w:line="240" w:lineRule="auto"/>
        <w:jc w:val="center"/>
        <w:rPr>
          <w:rStyle w:val="Hyperlink"/>
          <w:rFonts w:ascii="Times New Roman" w:hAnsi="Times New Roman" w:cs="Times New Roman"/>
          <w:sz w:val="18"/>
          <w:szCs w:val="18"/>
        </w:rPr>
      </w:pPr>
      <w:hyperlink r:id="rId7" w:history="1">
        <w:r w:rsidR="002A282E" w:rsidRPr="00DE4D58">
          <w:rPr>
            <w:rStyle w:val="Hyperlink"/>
            <w:rFonts w:ascii="Times New Roman" w:hAnsi="Times New Roman" w:cs="Times New Roman"/>
            <w:sz w:val="24"/>
            <w:szCs w:val="24"/>
          </w:rPr>
          <w:t>https://orcid.org/0009-0006-0525-4044</w:t>
        </w:r>
      </w:hyperlink>
    </w:p>
    <w:p w14:paraId="22DB97A5" w14:textId="77777777" w:rsidR="002A282E" w:rsidRDefault="002A282E" w:rsidP="002A282E">
      <w:pPr>
        <w:spacing w:after="0" w:line="240" w:lineRule="auto"/>
        <w:jc w:val="center"/>
        <w:rPr>
          <w:rStyle w:val="Hyperlink"/>
          <w:rFonts w:ascii="Times New Roman" w:hAnsi="Times New Roman" w:cs="Times New Roman"/>
          <w:sz w:val="18"/>
          <w:szCs w:val="18"/>
        </w:rPr>
      </w:pPr>
    </w:p>
    <w:p w14:paraId="54006D2C" w14:textId="77777777" w:rsidR="002A282E" w:rsidRDefault="002A282E" w:rsidP="00AE3A49">
      <w:pPr>
        <w:spacing w:before="100" w:beforeAutospacing="1" w:after="100" w:afterAutospacing="1" w:line="240" w:lineRule="auto"/>
        <w:jc w:val="both"/>
        <w:outlineLvl w:val="1"/>
        <w:rPr>
          <w:rFonts w:ascii="Times New Roman" w:eastAsia="Times New Roman" w:hAnsi="Times New Roman" w:cs="Times New Roman"/>
          <w:b/>
          <w:bCs/>
          <w:i/>
          <w:sz w:val="24"/>
          <w:szCs w:val="24"/>
        </w:rPr>
        <w:sectPr w:rsidR="002A282E" w:rsidSect="00DE4D58">
          <w:type w:val="continuous"/>
          <w:pgSz w:w="12240" w:h="15840"/>
          <w:pgMar w:top="1440" w:right="1440" w:bottom="1440" w:left="1440" w:header="720" w:footer="720" w:gutter="0"/>
          <w:cols w:space="720"/>
          <w:docGrid w:linePitch="360"/>
        </w:sectPr>
      </w:pPr>
    </w:p>
    <w:p w14:paraId="6105B27A" w14:textId="4556BDCD" w:rsidR="00DE4D58" w:rsidRPr="00DE4D58" w:rsidRDefault="00DE4D58" w:rsidP="00AE3A49">
      <w:pPr>
        <w:spacing w:before="100" w:beforeAutospacing="1" w:after="100" w:afterAutospacing="1" w:line="240" w:lineRule="auto"/>
        <w:jc w:val="both"/>
        <w:outlineLvl w:val="1"/>
        <w:rPr>
          <w:rFonts w:ascii="Times New Roman" w:eastAsia="Times New Roman" w:hAnsi="Times New Roman" w:cs="Times New Roman"/>
          <w:b/>
          <w:bCs/>
          <w:iCs/>
          <w:sz w:val="24"/>
          <w:szCs w:val="24"/>
        </w:rPr>
      </w:pPr>
      <w:r w:rsidRPr="00DE4D58">
        <w:rPr>
          <w:rFonts w:ascii="Times New Roman" w:eastAsia="Times New Roman" w:hAnsi="Times New Roman" w:cs="Times New Roman"/>
          <w:b/>
          <w:bCs/>
          <w:iCs/>
          <w:sz w:val="24"/>
          <w:szCs w:val="24"/>
        </w:rPr>
        <w:t>ABSTRACT</w:t>
      </w:r>
    </w:p>
    <w:p w14:paraId="2F690940" w14:textId="033345B4" w:rsidR="009D1922" w:rsidRPr="00DE4D58" w:rsidRDefault="00DE09BA" w:rsidP="00AE3A49">
      <w:pPr>
        <w:spacing w:before="100" w:beforeAutospacing="1" w:after="100" w:afterAutospacing="1" w:line="240" w:lineRule="auto"/>
        <w:jc w:val="both"/>
        <w:outlineLvl w:val="1"/>
        <w:rPr>
          <w:rFonts w:ascii="Times New Roman" w:eastAsia="Times New Roman" w:hAnsi="Times New Roman" w:cs="Times New Roman"/>
          <w:bCs/>
          <w:i/>
          <w:iCs/>
          <w:sz w:val="20"/>
          <w:szCs w:val="20"/>
        </w:rPr>
      </w:pPr>
      <w:r w:rsidRPr="00DE4D58">
        <w:rPr>
          <w:rFonts w:ascii="Times New Roman" w:eastAsia="Times New Roman" w:hAnsi="Times New Roman" w:cs="Times New Roman"/>
          <w:bCs/>
          <w:i/>
          <w:iCs/>
          <w:sz w:val="20"/>
          <w:szCs w:val="20"/>
        </w:rPr>
        <w:t>Voltage instability remains a persistent challenge in Nigeria’s high-voltage grid, including the Birnin Kebbi 330 kV corridor. Aging infrastructure, increasing load, and limited high-resolution telemetry hinder conventional analysis. This review explores how Statistical Learning Theory (SLT), with key concepts like empirical risk minimization, structural risk minimization, margin maximization, and capacity control, can enable robust voltage stability analysis amid data scarcity and noise. We relate SLT ideas to practical tasks such as regression of stability indices, binary and ordinal classification of stability states, and early-warning forecasting. The review covers model families (SVMs, kernel methods, regularized regression), feature extraction from SCADA-like signals, handling class imbalance, and methods for uncertainty quantification. It outlines evaluation protocols, using MSE as the main regression metric, proposes a Birnin Kebbi–specific workflow, and addresses open challenges like domain shift, missing data, and causal confounding. The conclusion presents a roadmap that combines SLT principles with modern techniques (e.g., GAN-generated data) to produce interpretable, capacity-controlled, offline monitoring suitable for under-instrumented networks.</w:t>
      </w:r>
    </w:p>
    <w:p w14:paraId="6B94B50A" w14:textId="77777777" w:rsidR="009D1922" w:rsidRPr="001E2049" w:rsidRDefault="009D1922" w:rsidP="001E2049">
      <w:pPr>
        <w:spacing w:before="100" w:beforeAutospacing="1" w:after="100" w:afterAutospacing="1" w:line="240" w:lineRule="auto"/>
        <w:jc w:val="both"/>
        <w:rPr>
          <w:rFonts w:ascii="Times New Roman" w:eastAsia="Times New Roman" w:hAnsi="Times New Roman" w:cs="Times New Roman"/>
          <w:i/>
          <w:sz w:val="24"/>
          <w:szCs w:val="24"/>
        </w:rPr>
      </w:pPr>
      <w:r w:rsidRPr="00CE7AAD">
        <w:rPr>
          <w:rFonts w:ascii="Times New Roman" w:eastAsia="Times New Roman" w:hAnsi="Times New Roman" w:cs="Times New Roman"/>
          <w:b/>
          <w:sz w:val="24"/>
          <w:szCs w:val="24"/>
        </w:rPr>
        <w:t>Keywords:</w:t>
      </w:r>
      <w:r w:rsidRPr="00AE3A49">
        <w:rPr>
          <w:rFonts w:ascii="Times New Roman" w:eastAsia="Times New Roman" w:hAnsi="Times New Roman" w:cs="Times New Roman"/>
          <w:sz w:val="24"/>
          <w:szCs w:val="24"/>
        </w:rPr>
        <w:t xml:space="preserve"> </w:t>
      </w:r>
      <w:r w:rsidRPr="00AE3A49">
        <w:rPr>
          <w:rFonts w:ascii="Times New Roman" w:eastAsia="Times New Roman" w:hAnsi="Times New Roman" w:cs="Times New Roman"/>
          <w:i/>
          <w:sz w:val="24"/>
          <w:szCs w:val="24"/>
        </w:rPr>
        <w:t>Voltage Stability; Statistical Learning Theory; PAC-Bayes &amp; Rademacher Complexity; Data-Driven Assessment; Nigerian 330 kV Grid</w:t>
      </w:r>
    </w:p>
    <w:p w14:paraId="42F223D7" w14:textId="77777777" w:rsidR="00CE7AAD" w:rsidRDefault="00CE7AAD" w:rsidP="00AE3A49">
      <w:pPr>
        <w:pStyle w:val="Heading2"/>
        <w:jc w:val="both"/>
        <w:rPr>
          <w:rStyle w:val="Strong"/>
          <w:bCs/>
          <w:sz w:val="24"/>
          <w:szCs w:val="24"/>
        </w:rPr>
        <w:sectPr w:rsidR="00CE7AAD" w:rsidSect="00DE4D58">
          <w:type w:val="continuous"/>
          <w:pgSz w:w="12240" w:h="15840"/>
          <w:pgMar w:top="1440" w:right="1440" w:bottom="1440" w:left="1440" w:header="720" w:footer="720" w:gutter="0"/>
          <w:cols w:space="720"/>
          <w:docGrid w:linePitch="360"/>
        </w:sectPr>
      </w:pPr>
    </w:p>
    <w:p w14:paraId="191F5F37" w14:textId="707B1E8C" w:rsidR="009D1922" w:rsidRPr="00CE7AAD" w:rsidRDefault="009D1922" w:rsidP="00AE3A49">
      <w:pPr>
        <w:pStyle w:val="Heading2"/>
        <w:jc w:val="both"/>
        <w:rPr>
          <w:b w:val="0"/>
          <w:sz w:val="24"/>
          <w:szCs w:val="24"/>
        </w:rPr>
      </w:pPr>
      <w:r w:rsidRPr="00AE3A49">
        <w:rPr>
          <w:rStyle w:val="Strong"/>
          <w:bCs/>
          <w:sz w:val="24"/>
          <w:szCs w:val="24"/>
        </w:rPr>
        <w:t>I</w:t>
      </w:r>
      <w:r w:rsidR="00DE4D58">
        <w:rPr>
          <w:rStyle w:val="Strong"/>
          <w:bCs/>
          <w:sz w:val="24"/>
          <w:szCs w:val="24"/>
        </w:rPr>
        <w:t xml:space="preserve"> </w:t>
      </w:r>
      <w:r w:rsidRPr="00CE7AAD">
        <w:rPr>
          <w:rStyle w:val="Strong"/>
          <w:b/>
          <w:bCs/>
          <w:sz w:val="24"/>
          <w:szCs w:val="24"/>
        </w:rPr>
        <w:t>Introduction</w:t>
      </w:r>
    </w:p>
    <w:p w14:paraId="6394714F" w14:textId="77777777" w:rsidR="009D1922" w:rsidRPr="00AE3A49" w:rsidRDefault="001E2049" w:rsidP="00AE3A49">
      <w:pPr>
        <w:pStyle w:val="NormalWeb"/>
        <w:jc w:val="both"/>
      </w:pPr>
      <w:r>
        <w:t xml:space="preserve">Voltage stability is a critical aspect of power system reliability, ensuring that all bus voltages remain within acceptable limits during normal fluctuations and system disturbances. A loss of voltage stability often appears as a gradual voltage decline, which can lead to a voltage collapse and widespread blackouts [1], [2]. These events are not only technically disruptive but also have serious socio-economic impacts, as evidenced by notable historical cases like the 2003 North American blackout and the 2012 India grid failure[1]. In developing countries such as Nigeria, voltage instability is more frequent due to aging infrastructure, insufficient reactive power compensation, poor maintenance, and the increasing complexity of load demands[3], [4]. The Birnin Kebbi 330 kV transmission network, a crucial hub in Nigeria’s north-western power </w:t>
      </w:r>
      <w:r>
        <w:lastRenderedPageBreak/>
        <w:t>corridor, faces these challenges acutely, making it an ideal case for focused voltage stability studies.</w:t>
      </w:r>
    </w:p>
    <w:p w14:paraId="50CBC39B" w14:textId="77777777" w:rsidR="009D1922" w:rsidRPr="00AE3A49" w:rsidRDefault="001E2049" w:rsidP="00AE3A49">
      <w:pPr>
        <w:pStyle w:val="NormalWeb"/>
        <w:jc w:val="both"/>
      </w:pPr>
      <w:r>
        <w:t>Conventional voltage stability assessment methods such as power flow analysis with the Newton-Raphson algorithm, continuation power flow (CPF), and time-domain simulations are effective for well-instrumented grids with extensive high-resolution data [5], [6], [7]. However, these methods become less efficient in environments with limited instrumentation, where the scarcity of Phasor Measurement Units (PMUs) and limited Supervisory Control and Data Acquisition (SCADA) sampling rates restrict access to real-time, detailed system measurements[8], [9]. Furthermore, these traditional techniques are computationally demanding, making them unsuitable for frequent or large-scale offline studies in grids experiencing rapid operational changes. For the Birnin Kebbi substation, where monitoring infrastructure is limited, there is an urgent need for data-driven, computationally efficient, and broadly applicable approaches to voltage stability assessment.</w:t>
      </w:r>
    </w:p>
    <w:p w14:paraId="341BFE55" w14:textId="77777777" w:rsidR="009D1922" w:rsidRPr="00AE3A49" w:rsidRDefault="009D1922" w:rsidP="00AE3A49">
      <w:pPr>
        <w:pStyle w:val="NormalWeb"/>
        <w:jc w:val="both"/>
      </w:pPr>
      <w:r w:rsidRPr="00AE3A49">
        <w:rPr>
          <w:rStyle w:val="Strong"/>
          <w:b w:val="0"/>
        </w:rPr>
        <w:t>Statistical Learning Theory (SLT)</w:t>
      </w:r>
      <w:r w:rsidRPr="00AE3A49">
        <w:t xml:space="preserve"> offers a rigorous mathematical framework for designing predictive models that can perform reliably under such data constraints. By focusing on principles such as </w:t>
      </w:r>
      <w:r w:rsidRPr="00AE3A49">
        <w:rPr>
          <w:rStyle w:val="Strong"/>
          <w:b w:val="0"/>
        </w:rPr>
        <w:t>structural risk minimization</w:t>
      </w:r>
      <w:r w:rsidRPr="00AE3A49">
        <w:t xml:space="preserve">, </w:t>
      </w:r>
      <w:r w:rsidRPr="00AE3A49">
        <w:rPr>
          <w:rStyle w:val="Strong"/>
          <w:b w:val="0"/>
        </w:rPr>
        <w:t>capacity control</w:t>
      </w:r>
      <w:r w:rsidRPr="00AE3A49">
        <w:t xml:space="preserve">, and </w:t>
      </w:r>
      <w:r w:rsidRPr="00AE3A49">
        <w:rPr>
          <w:rStyle w:val="Strong"/>
          <w:b w:val="0"/>
        </w:rPr>
        <w:t>margin maximization</w:t>
      </w:r>
      <w:r w:rsidRPr="00AE3A49">
        <w:t>, SLT ensures that models are not only accurate on training data but also generalize well to unseen conditions. This is particularly important for voltage stability analysis in the Birnin Kebbi network, where operating conditions can vary significantly between seasons, load profiles, and grid configurations. SLT-guided models such as Support Vector Machines (SVMs), kernel regression, and regularized estimators are well-suited to balance the bias-variance trade-off, handle noisy measurements, and provide interpretable outputs for operational decision-making</w:t>
      </w:r>
      <w:r w:rsidR="00840479" w:rsidRPr="00AE3A49">
        <w:fldChar w:fldCharType="begin" w:fldLock="1"/>
      </w:r>
      <w:r w:rsidR="009F4A40" w:rsidRPr="00AE3A49">
        <w:instrText>ADDIN CSL_CITATION {"citationItems":[{"id":"ITEM-1","itemData":{"DOI":"10.3390/en14196316","ISSN":"19961073","abstract":"To ensure the continuity of electric power generation for photovoltaic systems, condition monitoring frameworks are subject to major enhancements. The continuous uniform delivery of electric power depends entirely on a well-designed condition maintenance program. A just-in-time task to deal with several naturally occurring faults can be correctly undertaken via the cooperation of effective detection, diagnosis, and prognostic analyses. Therefore, the present review first out-lines different failure modes to which all photovoltaic systems are subjected, in addition to the es-sential integrated detection methods and technologies. Then, data-driven paradigms, and their contribution to solving this prediction problem, are also explored. Accordingly, this review pri-marily investigates the different learning architectures used (i.e., ordinary, hybrid, and ensemble) in relation to their learning frameworks (i.e., traditional and deep learning). It also discusses the extension of machine learning to knowledge-driven approaches, including generative models such as adversarial networks and transfer learning. Finally, this review provides insights into different works to highlight various operating conditions and different numbers and types of failures, and provides links to some publicly available datasets in the field. The clear organization of the abun-dant information on this subject may result in rigorous guidelines for the trends adopted in the future.","author":[{"dropping-particle":"","family":"Berghout","given":"Tarek","non-dropping-particle":"","parse-names":false,"suffix":""},{"dropping-particle":"","family":"Benbouzid","given":"Mohamed","non-dropping-particle":"","parse-names":false,"suffix":""},{"dropping-particle":"","family":"Bentrcia","given":"Toufik","non-dropping-particle":"","parse-names":false,"suffix":""},{"dropping-particle":"","family":"Ma","given":"Xiandong","non-dropping-particle":"","parse-names":false,"suffix":""},{"dropping-particle":"","family":"Djurović","given":"Siniša","non-dropping-particle":"","parse-names":false,"suffix":""},{"dropping-particle":"","family":"Mouss","given":"Leïla Hayet","non-dropping-particle":"","parse-names":false,"suffix":""}],"container-title":"Energies","id":"ITEM-1","issue":"19","issued":{"date-parts":[["2021"]]},"page":"1-24","title":"Machine learning-based condition monitoring for pv systems: State of the art and future prospects","type":"article-journal","volume":"14"},"uris":["http://www.mendeley.com/documents/?uuid=513c7aab-15c3-4112-9673-689668f74e21"]},{"id":"ITEM-2","itemData":{"DOI":"10.1109/ACCESS.2025.3533702","ISSN":"21693536","abstract":"The integration of distributed generation (DG), renewable energy sources (RES), and power electronic converters into distribution systems (DSs) has introduced significant power quality (PQ) challenges, such as voltage fluctuations, harmonic distortions, and transients. These issues can undermine the reliability and stability of power systems, making it essential to address them to ensure a consistent and resilient power supply, especially as RES adoption continues to grow. While previous reviews have explored artificial intelligence (AI) applications for PQ management, most have been limited to specific AI techniques or targeted PQ problems, such as harmonics. This review, however, offers a comprehensive synthesis of AI-based approaches across a wide range of PQ applications, encompassing detection, classification, and improvement, while also considering the specific PQ issues addressed in each case. By adopting an integrated approach, this review identifies key research gaps, particularly the limited focus on leveraging AI to control power converters in RESs for PQ improvement, as most existing studies emphasize devices like active power filters, compensators, and conditioners. The review also evaluates the effectiveness of these AI methods in terms of accuracy and the extent of total harmonic distortion (THD) reduction. In addition, it provides novel insights that can help guide researchers, engineers, and industry professionals toward developing more adaptive, scalable, and robust PQ solutions. Finally, future research directions are proposed to advance AI-based PQ management, facilitating the integration of AI into diverse and evolving power systems.","author":[{"dropping-particle":"","family":"Dehaghani","given":"Mitra Nabian","non-dropping-particle":"","parse-names":false,"suffix":""},{"dropping-particle":"","family":"Korotko","given":"Tarmo","non-dropping-particle":"","parse-names":false,"suffix":""},{"dropping-particle":"","family":"Rosin","given":"Argo","non-dropping-particle":"","parse-names":false,"suffix":""}],"container-title":"IEEE Access","id":"ITEM-2","issue":"January","issued":{"date-parts":[["2025"]]},"page":"18346-18365","title":"AI Applications for Power Quality Issues in Distribution Systems: A Systematic Review","type":"article-journal","volume":"13"},"uris":["http://www.mendeley.com/documents/?uuid=28d89cab-8aea-48a6-9abf-9e98e93e9b67"]}],"mendeley":{"formattedCitation":"[9], [10]","plainTextFormattedCitation":"[9], [10]","previouslyFormattedCitation":"[9], [10]"},"properties":{"noteIndex":0},"schema":"https://github.com/citation-style-language/schema/raw/master/csl-citation.json"}</w:instrText>
      </w:r>
      <w:r w:rsidR="00840479" w:rsidRPr="00AE3A49">
        <w:fldChar w:fldCharType="separate"/>
      </w:r>
      <w:r w:rsidR="00840479" w:rsidRPr="00AE3A49">
        <w:rPr>
          <w:noProof/>
        </w:rPr>
        <w:t>[9], [10]</w:t>
      </w:r>
      <w:r w:rsidR="00840479" w:rsidRPr="00AE3A49">
        <w:fldChar w:fldCharType="end"/>
      </w:r>
      <w:r w:rsidRPr="00AE3A49">
        <w:t>.</w:t>
      </w:r>
    </w:p>
    <w:p w14:paraId="30F8C15F" w14:textId="77777777" w:rsidR="009D1922" w:rsidRPr="00AE3A49" w:rsidRDefault="001E2049" w:rsidP="00AE3A49">
      <w:pPr>
        <w:pStyle w:val="NormalWeb"/>
        <w:jc w:val="both"/>
      </w:pPr>
      <w:r>
        <w:t xml:space="preserve">Recent advances in data augmentation, including synthetic sample generation with Generative Adversarial Networks (GANs), further enhance the SLT framework by addressing the inherent class imbalance in voltage stability datasets[9], [11], [12]. Rare instability events, which are crucial for model learning, can be underrepresented in historical records. Augmentation strategies help enrich the dataset while SLT principles maintain control over model capacity, ensuring that overfitting is </w:t>
      </w:r>
      <w:r w:rsidR="00DE09BA">
        <w:t>avoided [</w:t>
      </w:r>
      <w:r>
        <w:t>13]. By integrating SLT with domain-specific knowledge of power systems, this approach can produce offline voltage stability monitoring frameworks that are robust, scalable, and directly usable for operational planning in under-instrumented grids like Birnin Kebbi.</w:t>
      </w:r>
    </w:p>
    <w:p w14:paraId="0F10B741" w14:textId="17C2286D" w:rsidR="001821C7" w:rsidRPr="00CE7AAD" w:rsidRDefault="009D1922" w:rsidP="00AE3A49">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AE3A49">
        <w:rPr>
          <w:rFonts w:ascii="Times New Roman" w:eastAsia="Times New Roman" w:hAnsi="Times New Roman" w:cs="Times New Roman"/>
          <w:bCs/>
          <w:sz w:val="24"/>
          <w:szCs w:val="24"/>
        </w:rPr>
        <w:t>II</w:t>
      </w:r>
      <w:r w:rsidR="00DE4D58">
        <w:rPr>
          <w:rFonts w:ascii="Times New Roman" w:eastAsia="Times New Roman" w:hAnsi="Times New Roman" w:cs="Times New Roman"/>
          <w:bCs/>
          <w:sz w:val="24"/>
          <w:szCs w:val="24"/>
        </w:rPr>
        <w:t xml:space="preserve"> </w:t>
      </w:r>
      <w:r w:rsidR="001E2049">
        <w:rPr>
          <w:rFonts w:ascii="Times New Roman" w:eastAsia="Times New Roman" w:hAnsi="Times New Roman" w:cs="Times New Roman"/>
          <w:b/>
          <w:bCs/>
          <w:sz w:val="24"/>
          <w:szCs w:val="24"/>
        </w:rPr>
        <w:t>Statistical Learning Theory: Fundamental Concepts</w:t>
      </w:r>
    </w:p>
    <w:p w14:paraId="0F52F130" w14:textId="77777777" w:rsidR="001821C7" w:rsidRPr="00AE3A49" w:rsidRDefault="00DE09BA" w:rsidP="00AE3A49">
      <w:pPr>
        <w:spacing w:before="100" w:beforeAutospacing="1" w:after="100" w:afterAutospacing="1" w:line="240" w:lineRule="auto"/>
        <w:jc w:val="both"/>
        <w:outlineLvl w:val="1"/>
        <w:rPr>
          <w:rFonts w:ascii="Times New Roman" w:eastAsia="Times New Roman" w:hAnsi="Times New Roman" w:cs="Times New Roman"/>
          <w:bCs/>
          <w:sz w:val="24"/>
          <w:szCs w:val="24"/>
        </w:rPr>
      </w:pPr>
      <w:r>
        <w:rPr>
          <w:rFonts w:ascii="Times New Roman" w:eastAsia="Times New Roman" w:hAnsi="Times New Roman" w:cs="Times New Roman"/>
          <w:sz w:val="24"/>
          <w:szCs w:val="24"/>
        </w:rPr>
        <w:t>Statistical Learning Theory (SLT) provides a structured method to link a model's fit to data with its ability to perform well on new, unseen cases. Its key component, Empirical Risk Minimization (ERM), involves choosing the model with the lowest average loss on training data, such as mean squared error for predicting a voltage stability index or load margin. However, ERM alone can lead to overfitting, especially when data measurements are noisy or operating conditions change. Structural Risk Minimization (SRM) addresses this by analyzing a hierarchy of hypothesis classes, from simple to complex, and selecting the one that minimizes an established upper bound on the true, or generalization, error[13], [14], [15]. In Birnin Kebbi’s voltage stability analysis, ERM effectively captures in-sample indices like LL-index or Thevenin-style margins, while SRM helps ensure model reliability amid changes in network topology or seasonal loading.</w:t>
      </w:r>
    </w:p>
    <w:p w14:paraId="7BFB773B" w14:textId="77777777" w:rsidR="001821C7" w:rsidRPr="00AE3A49" w:rsidRDefault="00DE09BA" w:rsidP="00AE3A49">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To make SRM practical, SLT introduces capacity metrics, formal measures to assess a model’s tendency to overfit [15]. These include VC dimension, Rademacher complexity, and margin-based measures, which guide how aggressively to regularize a model and when to stop adding layers, features, or kernels. Combined with capacity control, regularization methods help balance bias and variance: </w:t>
      </w:r>
      <w:r>
        <w:rPr>
          <w:rFonts w:ascii="Cambria Math" w:eastAsia="Times New Roman" w:hAnsi="Cambria Math" w:cs="Cambria Math"/>
          <w:sz w:val="24"/>
          <w:szCs w:val="24"/>
        </w:rPr>
        <w:t>𝐿</w:t>
      </w:r>
      <w:r>
        <w:rPr>
          <w:rFonts w:ascii="Times New Roman" w:eastAsia="Times New Roman" w:hAnsi="Times New Roman" w:cs="Times New Roman"/>
          <w:sz w:val="24"/>
          <w:szCs w:val="24"/>
        </w:rPr>
        <w:t>2 weight decay discourages large parameters, L1 promotes sparsity and interpretability (useful for identifying critical buses or lines), early stopping prevents overtraining on limited snapshots, and kernel width regulation in kernel methods controls function smoothness [16], [17]. For the Birnin Kebbi corridor, where labeled events near voltage collapse are scarce, these tools enable the creation of models that remain stable despite small datasets and measurement noise.</w:t>
      </w:r>
    </w:p>
    <w:p w14:paraId="791A067F" w14:textId="77777777" w:rsidR="001821C7" w:rsidRPr="00AE3A49" w:rsidRDefault="001821C7" w:rsidP="00AE3A49">
      <w:p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sz w:val="24"/>
          <w:szCs w:val="24"/>
        </w:rPr>
        <w:t xml:space="preserve">A particularly effective SLT idea for binary stability decisions (e.g., </w:t>
      </w:r>
      <w:r w:rsidRPr="00AE3A49">
        <w:rPr>
          <w:rFonts w:ascii="Times New Roman" w:eastAsia="Times New Roman" w:hAnsi="Times New Roman" w:cs="Times New Roman"/>
          <w:bCs/>
          <w:sz w:val="24"/>
          <w:szCs w:val="24"/>
        </w:rPr>
        <w:t>secure vs. at-risk</w:t>
      </w:r>
      <w:r w:rsidRPr="00AE3A49">
        <w:rPr>
          <w:rFonts w:ascii="Times New Roman" w:eastAsia="Times New Roman" w:hAnsi="Times New Roman" w:cs="Times New Roman"/>
          <w:sz w:val="24"/>
          <w:szCs w:val="24"/>
        </w:rPr>
        <w:t xml:space="preserve">) is </w:t>
      </w:r>
      <w:r w:rsidRPr="00AE3A49">
        <w:rPr>
          <w:rFonts w:ascii="Times New Roman" w:eastAsia="Times New Roman" w:hAnsi="Times New Roman" w:cs="Times New Roman"/>
          <w:bCs/>
          <w:sz w:val="24"/>
          <w:szCs w:val="24"/>
        </w:rPr>
        <w:t>margin maximization</w:t>
      </w:r>
      <w:r w:rsidRPr="00AE3A49">
        <w:rPr>
          <w:rFonts w:ascii="Times New Roman" w:eastAsia="Times New Roman" w:hAnsi="Times New Roman" w:cs="Times New Roman"/>
          <w:sz w:val="24"/>
          <w:szCs w:val="24"/>
        </w:rPr>
        <w:t xml:space="preserve">. </w:t>
      </w:r>
      <w:r w:rsidRPr="00AE3A49">
        <w:rPr>
          <w:rFonts w:ascii="Times New Roman" w:eastAsia="Times New Roman" w:hAnsi="Times New Roman" w:cs="Times New Roman"/>
          <w:bCs/>
          <w:sz w:val="24"/>
          <w:szCs w:val="24"/>
        </w:rPr>
        <w:t>Support Vector Machines (SVMs)</w:t>
      </w:r>
      <w:r w:rsidRPr="00AE3A49">
        <w:rPr>
          <w:rFonts w:ascii="Times New Roman" w:eastAsia="Times New Roman" w:hAnsi="Times New Roman" w:cs="Times New Roman"/>
          <w:sz w:val="24"/>
          <w:szCs w:val="24"/>
        </w:rPr>
        <w:t xml:space="preserve"> and other large-margin classifiers aim to separate classes with the widest possible gap, which increases robustness to outliers and small perturbations in voltages or power flows. Soft-margin formulations allow controlled violations, so the classifier tolerates mislabeled or borderline operating points without collapsing its decision boundary</w:t>
      </w:r>
      <w:r w:rsidR="009E30D6" w:rsidRPr="00AE3A49">
        <w:rPr>
          <w:rFonts w:ascii="Times New Roman" w:eastAsia="Times New Roman" w:hAnsi="Times New Roman" w:cs="Times New Roman"/>
          <w:sz w:val="24"/>
          <w:szCs w:val="24"/>
        </w:rPr>
        <w:fldChar w:fldCharType="begin" w:fldLock="1"/>
      </w:r>
      <w:r w:rsidR="009E30D6" w:rsidRPr="00AE3A49">
        <w:rPr>
          <w:rFonts w:ascii="Times New Roman" w:eastAsia="Times New Roman" w:hAnsi="Times New Roman" w:cs="Times New Roman"/>
          <w:sz w:val="24"/>
          <w:szCs w:val="24"/>
        </w:rPr>
        <w:instrText>ADDIN CSL_CITATION {"citationItems":[{"id":"ITEM-1","itemData":{"DOI":"10.35833/MPCE.2020.000526","ISSN":"21965420","abstract":"Real-time voltage stability assessment (VSA) has long been an extensively research topic. In recent years, rapidly mounting deep learning methods have pushed online VSA to a new height that large amounts of learning algorithms are applied for VSA from the perspective of measurement data. Deep learning methods generally require a large dataset which contains measurements in both secure and insecure states, or even unstable state. However, in practice, the data of insecure or unstable state is very rare, as the power system should be guaranteed to operate far away from voltage collapse. Under this circumstance, this paper proposes an autoencoder based method which merely needs data of secure state to evaluate voltage stability of a power system. The principle of this method is that an autoencoder purely trained by secure data is expected to only create precise reconstruction for secure data, while it fails to rebuild data of insecure states. Thus, the residual of reconstruction is effective in indicating VSA. Besides, to develop a more accurate and robust algorithm, long short-term memory (LSTM) networks combined with fully-connected (FC) layers are used to build the autoencoder, and a moving strategy is introduced to bias the features of testing data toward the secure feature domain. Numerous experiments and comparison with traditional machine learning algorithms demonstrate the effectiveness and high accuracy of the proposed method.","author":[{"dropping-particle":"","family":"Yang","given":"Haosen","non-dropping-particle":"","parse-names":false,"suffix":""},{"dropping-particle":"","family":"Qiu","given":"Robert C.","non-dropping-particle":"","parse-names":false,"suffix":""},{"dropping-particle":"","family":"Tong","given":"Houjie","non-dropping-particle":"","parse-names":false,"suffix":""}],"container-title":"Journal of Modern Power Systems and Clean Energy","id":"ITEM-1","issue":"6","issued":{"date-parts":[["2020"]]},"page":"1092-1103","title":"Reconstruction Residuals Based Long-term Voltage Stability Assessment Using Autoencoders","type":"article-journal","volume":"8"},"uris":["http://www.mendeley.com/documents/?uuid=5b4e29d4-3c3a-49d4-baf9-239e34ad66e5"]},{"id":"ITEM-2","itemData":{"DOI":"10.63125/sxb17553","ISSN":"30670470","abstract":"Power transformers are critical components of electrical power systems, and their failure can lead to severe operational disruptions, financial losses, and safety hazards. Traditional transformer fault diagnosis techniques, such as dissolved gas analysis (DGA), partial discharge (PD) monitoring, and frequency response analysis (FRA), rely heavily on expert knowledge and rule-based frameworks, making them prone to inaccuracies and inconsistencies. Recent advancements in artificial intelligence (AI) and machine learning (ML) have introduced data-driven methodologies that enhance fault detection, classification, and predictive maintenance by automating feature extraction and improving diagnostic accuracy. This systematic review, based on the Preferred Reporting Items for Systematic Reviews and Meta-Analyses (PRISMA) guidelines, evaluates 107 peer-reviewed studies published between 2010 and 2024, assessing the role of AI and ML in transformer fault diagnosis. The findings highlight that deep learning models, particularly convolutional neural networks (CNNs) and long short-term memory (LSTM) networks, achieve superior fault classification accuracy compared to conventional methods, with some models surpassing 95% accuracy in real-world applications. Hybrid AI models, such as ANN-SVM combinations and reinforcement learning-based optimizations, further enhance diagnostic reliability by mitigating data inconsistencies and optimizing fault classification strategies. AI-driven predictive maintenance models demonstrate substantial improvements in transformer health monitoring by shifting from traditional time-based maintenance to condition-based strategies, reducing unexpected failures by up to 40%. Additionally, multi-sensor integration techniques, including wireless sensor networks (WSNs) and IoT-enabled monitoring systems, enhance fault detection accuracy by fusing real-time data from different diagnostic modalities. However, the review also identifies challenges related to AI model interpretability, dataset limitations, and deployment scalability, which need to be addressed for broader industrial adoption. Overall, this study underscores the transformative role of AI in improving transformer fault detection, classification, and predictive analytics, paving the way for more efficient and automated power grid management.","author":[{"dropping-particle":"","family":"Khan","given":"M A Masud","non-dropping-particle":"","parse-names":false,"suffix":""}],"container-title":"American Journal of Advanced Technology and Engineering Solutions","id":"ITEM-2","issue":"01","issued":{"date-parts":[["2025"]]},"page":"290-318","title":"Ai and Machine Learning in Transformer Fault Diagnosis: a Systematic Review","type":"article-journal","volume":"1"},"uris":["http://www.mendeley.com/documents/?uuid=ee712aa1-f990-417b-a756-1d4e36252468"]},{"id":"ITEM-3","itemData":{"DOI":"10.1109/ACCESS.2020.3012411","ISSN":"21693536","abstract":"Intrusion detection is an important and challenging problem that has a major impact on quality and reliability of smart city services. To this extent, replay attacks have been one of the most common threats on smart city infrastructure, which compromises authentication in a smart city network. For example, a replay attack may physically damage smart city infrastructure resulting in loss of sensitive data, incurring considerable financial damages. Therefore, towards securing smart cities from reply attacks, intrusion detection systems and frameworks based on deep learning have been proposed in the recent literature. However, the absence of the time dimension of these proposals is a major limitation. Therefore, we have developed a deep learning-based model for replay attack detection in smart cities. The novelty of the proposed methodology resides in the adoption of deep learning based models as an application for detecting replay attacks to improve detection accuracy. The performance of this model is evaluated by applying it to a real life smart city dataset, where replay attacks were simulated. Our results show that the proposed model is capable of distinguishing between normal and attack behaviours with relatively high accuracy. In addition, according to the results, our proposed model outperforms traditional classification and deep learning models. Last but not least, as an additional contribution, this paper presents a real life smart city data set with simulated replay attacks for future research.","author":[{"dropping-particle":"","family":"Elsaeidy","given":"Asmaa A.","non-dropping-particle":"","parse-names":false,"suffix":""},{"dropping-particle":"","family":"Jagannath","given":"Nishant","non-dropping-particle":"","parse-names":false,"suffix":""},{"dropping-particle":"","family":"Garrido Sanchis","given":"Adrian","non-dropping-particle":"","parse-names":false,"suffix":""},{"dropping-particle":"","family":"Jamalipour","given":"Abbas","non-dropping-particle":"","parse-names":false,"suffix":""},{"dropping-particle":"","family":"Munasinghe","given":"Kumudu S.","non-dropping-particle":"","parse-names":false,"suffix":""}],"container-title":"IEEE Access","id":"ITEM-3","issued":{"date-parts":[["2020"]]},"page":"137825-137837","title":"Replay Attack Detection in Smart Cities Using Deep Learning","type":"article-journal","volume":"8"},"uris":["http://www.mendeley.com/documents/?uuid=fa5fb71c-5983-46ec-b1cc-0d9b88b5b3ee"]}],"mendeley":{"formattedCitation":"[18], [19], [20]","plainTextFormattedCitation":"[18], [19], [20]"},"properties":{"noteIndex":0},"schema":"https://github.com/citation-style-language/schema/raw/master/csl-citation.json"}</w:instrText>
      </w:r>
      <w:r w:rsidR="009E30D6" w:rsidRPr="00AE3A49">
        <w:rPr>
          <w:rFonts w:ascii="Times New Roman" w:eastAsia="Times New Roman" w:hAnsi="Times New Roman" w:cs="Times New Roman"/>
          <w:sz w:val="24"/>
          <w:szCs w:val="24"/>
        </w:rPr>
        <w:fldChar w:fldCharType="separate"/>
      </w:r>
      <w:r w:rsidR="009E30D6" w:rsidRPr="00AE3A49">
        <w:rPr>
          <w:rFonts w:ascii="Times New Roman" w:eastAsia="Times New Roman" w:hAnsi="Times New Roman" w:cs="Times New Roman"/>
          <w:noProof/>
          <w:sz w:val="24"/>
          <w:szCs w:val="24"/>
        </w:rPr>
        <w:t>[18], [19], [20]</w:t>
      </w:r>
      <w:r w:rsidR="009E30D6" w:rsidRPr="00AE3A49">
        <w:rPr>
          <w:rFonts w:ascii="Times New Roman" w:eastAsia="Times New Roman" w:hAnsi="Times New Roman" w:cs="Times New Roman"/>
          <w:sz w:val="24"/>
          <w:szCs w:val="24"/>
        </w:rPr>
        <w:fldChar w:fldCharType="end"/>
      </w:r>
      <w:r w:rsidRPr="00AE3A49">
        <w:rPr>
          <w:rFonts w:ascii="Times New Roman" w:eastAsia="Times New Roman" w:hAnsi="Times New Roman" w:cs="Times New Roman"/>
          <w:sz w:val="24"/>
          <w:szCs w:val="24"/>
        </w:rPr>
        <w:t>. In practice, margin-based methods often provide strong baselines for N-1 contingency screening and critical-bus identification; they can be augmented with class-imbalance treatments (reweighting or focal losses) and calibrated thresholds so that operators see conservative, high-precision alerts rather than noisy alarms.</w:t>
      </w:r>
    </w:p>
    <w:p w14:paraId="76781DE9" w14:textId="77777777" w:rsidR="009D1922" w:rsidRPr="00AE3A49" w:rsidRDefault="00DC140D" w:rsidP="00AE3A49">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Finally, generalization bounds make model selection a more engineering-focused task by indicating how training accuracy predicts real-world performance. PAC-style and Rademacher-based bounds demonstrate that test error roughly equals training error plus a capacity component that diminishes as more Data and regularization are applied. These bounds are especially useful when moving from IEEE test cases to the real Birnin Kebbi 330 kV network, where operating conditions, device settings, and contingencies vary. A practical workflow involves: (1) fitting with ERM; (2) selecting model complexity through SRM guided by capacity estimates; (3) applying explicit regularization and margin maximization; and (4) reporting bound-aware performance with confidence before deployment. This approach yields models that are not only accurate but also certified to generalize, giving planners and operators reliable evidence for live voltage stability monitoring and decision-making.</w:t>
      </w:r>
    </w:p>
    <w:p w14:paraId="6A9679C5" w14:textId="19B205AC" w:rsidR="009D1922" w:rsidRPr="00CE7AAD" w:rsidRDefault="009D1922" w:rsidP="00AE3A49">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AE3A49">
        <w:rPr>
          <w:rFonts w:ascii="Times New Roman" w:eastAsia="Times New Roman" w:hAnsi="Times New Roman" w:cs="Times New Roman"/>
          <w:bCs/>
          <w:sz w:val="24"/>
          <w:szCs w:val="24"/>
        </w:rPr>
        <w:t>III</w:t>
      </w:r>
      <w:r w:rsidR="00DE4D58">
        <w:rPr>
          <w:rFonts w:ascii="Times New Roman" w:eastAsia="Times New Roman" w:hAnsi="Times New Roman" w:cs="Times New Roman"/>
          <w:bCs/>
          <w:sz w:val="24"/>
          <w:szCs w:val="24"/>
        </w:rPr>
        <w:t xml:space="preserve"> </w:t>
      </w:r>
      <w:r w:rsidRPr="00CE7AAD">
        <w:rPr>
          <w:rFonts w:ascii="Times New Roman" w:eastAsia="Times New Roman" w:hAnsi="Times New Roman" w:cs="Times New Roman"/>
          <w:b/>
          <w:bCs/>
          <w:sz w:val="24"/>
          <w:szCs w:val="24"/>
        </w:rPr>
        <w:t xml:space="preserve"> Problem Formulations in Voltage Stability</w:t>
      </w:r>
    </w:p>
    <w:p w14:paraId="29CA6B09" w14:textId="77777777" w:rsidR="001821C7" w:rsidRPr="00AE3A49" w:rsidRDefault="002276EA" w:rsidP="00AE3A49">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Voltage stability analysis can be approached through several complementary problem formulations depending on the operational goal and the types of outputs needed by system operators. A common method is regression, where the goal is to predict a continuous Voltage Stability Margin (VSM) or Voltage Stability Index (VSI) based on measurable system features. These features can include bus voltage magnitudes and phase angles, active and reactive power flows, transformer tap positions, and shunt device statuses[1], [21]. The aim is to connect these high-dimensional input vectors to a single continuous value that measures the “distance to instability.” In such cases, the mean squared error (MSE) is typically the main optimization metric, as it directly penalizes differences between predicted and actual stability margins. This approach is especially useful for proactive control, as it allows operators to gauge how close the system is to a critical point rather than simply determining if it is stable or not[3], [22], [23].</w:t>
      </w:r>
    </w:p>
    <w:p w14:paraId="55790465" w14:textId="77777777" w:rsidR="001821C7" w:rsidRPr="00AE3A49" w:rsidRDefault="002276EA" w:rsidP="00AE3A49">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Another key formulation is binary or ordinal classification, which simplifies operational decisions by categorizing each operating point into specific stability states [15]. A binary approach labels the system as either secure or critical, while an ordinal method introduces intermediate categories such as secure, warning, and risk. This layering supports tiered response strategies, where different mitigation measures are applied depending on the severity level. For such tasks, margin-based loss functions like the hinge loss in Support Vector Machines align well with Statistical Learning Theory principles, as they aim to maximize the gap between classes [16]. This margin maximization typically improves robustness against noise, mislabeled samples, and operating points near class boundaries, making the system more reliable for online deployment where misclassifying borderline states can be costly.</w:t>
      </w:r>
    </w:p>
    <w:p w14:paraId="1EAA8583" w14:textId="77777777" w:rsidR="001821C7" w:rsidRPr="00AE3A49" w:rsidRDefault="001821C7" w:rsidP="00AE3A49">
      <w:p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sz w:val="24"/>
          <w:szCs w:val="24"/>
        </w:rPr>
        <w:t xml:space="preserve">A third important category is </w:t>
      </w:r>
      <w:r w:rsidRPr="00AE3A49">
        <w:rPr>
          <w:rFonts w:ascii="Times New Roman" w:eastAsia="Times New Roman" w:hAnsi="Times New Roman" w:cs="Times New Roman"/>
          <w:bCs/>
          <w:sz w:val="24"/>
          <w:szCs w:val="24"/>
        </w:rPr>
        <w:t>early-warning prediction</w:t>
      </w:r>
      <w:r w:rsidRPr="00AE3A49">
        <w:rPr>
          <w:rFonts w:ascii="Times New Roman" w:eastAsia="Times New Roman" w:hAnsi="Times New Roman" w:cs="Times New Roman"/>
          <w:sz w:val="24"/>
          <w:szCs w:val="24"/>
        </w:rPr>
        <w:t>, which aims to forecast the approach of instability before it manifests in present-time measurements</w:t>
      </w:r>
      <w:r w:rsidR="006A3801" w:rsidRPr="00AE3A49">
        <w:rPr>
          <w:rFonts w:ascii="Times New Roman" w:eastAsia="Times New Roman" w:hAnsi="Times New Roman" w:cs="Times New Roman"/>
          <w:sz w:val="24"/>
          <w:szCs w:val="24"/>
        </w:rPr>
        <w:fldChar w:fldCharType="begin" w:fldLock="1"/>
      </w:r>
      <w:r w:rsidR="009E30D6" w:rsidRPr="00AE3A49">
        <w:rPr>
          <w:rFonts w:ascii="Times New Roman" w:eastAsia="Times New Roman" w:hAnsi="Times New Roman" w:cs="Times New Roman"/>
          <w:sz w:val="24"/>
          <w:szCs w:val="24"/>
        </w:rPr>
        <w:instrText>ADDIN CSL_CITATION {"citationItems":[{"id":"ITEM-1","itemData":{"DOI":"10.3390/s23031305","ISSN":"14248220","PMID":"36772347","abstract":"Fault diagnosis and prognosis (FDP) tries to recognize and locate the faults from the captured sensory data, and also predict their failures in advance, which can greatly help to take appropriate actions for maintenance and avoid serious consequences in industrial systems. In recent years, deep learning methods are being widely introduced into FDP due to the powerful feature representation ability, and its rapid development is bringing new opportunities to the promotion of FDP. In order to facilitate the related research, we give a summary of recent advances in deep learning techniques for industrial FDP in this paper. Related concepts and formulations of FDP are firstly given. Seven commonly used deep learning architectures, especially the emerging generative adversarial network, transformer, and graph neural network, are reviewed. Finally, we give insights into the challenges in current applications of deep learning-based methods from four different aspects of imbalanced data, compound fault types, multimodal data fusion, and edge device implementation, and provide possible solutions, respectively. This paper tries to give a comprehensive guideline for further research into the problem of intelligent industrial FDP for the community.","author":[{"dropping-particle":"","family":"Qiu","given":"Shaohua","non-dropping-particle":"","parse-names":false,"suffix":""},{"dropping-particle":"","family":"Cui","given":"Xiaopeng","non-dropping-particle":"","parse-names":false,"suffix":""},{"dropping-particle":"","family":"Ping","given":"Zuowei","non-dropping-particle":"","parse-names":false,"suffix":""},{"dropping-particle":"","family":"Shan","given":"Nanliang","non-dropping-particle":"","parse-names":false,"suffix":""},{"dropping-particle":"","family":"Li","given":"Zhong","non-dropping-particle":"","parse-names":false,"suffix":""},{"dropping-particle":"","family":"Bao","given":"Xianqiang","non-dropping-particle":"","parse-names":false,"suffix":""},{"dropping-particle":"","family":"Xu","given":"Xinghua","non-dropping-particle":"","parse-names":false,"suffix":""}],"container-title":"Sensors","id":"ITEM-1","issue":"3","issued":{"date-parts":[["2023"]]},"title":"Deep Learning Techniques in Intelligent Fault Diagnosis and Prognosis for Industrial Systems: A Review","type":"article-journal","volume":"23"},"uris":["http://www.mendeley.com/documents/?uuid=c13487d7-4f8d-41f5-9d15-944131a11f12"]},{"id":"ITEM-2","itemData":{"DOI":"10.4236/jmf.2019.92007","ISSN":"2162-2434","abstract":"We explicate the need and pathways for systematic stock market characterisation and development (SSMCD) and the role of Random Matrix Theory (RMT) in SSMCD research. This is the first time SSMCD, itself a nascent area of empirical finance introduced by the first author, is linked to RMT. Our focus is on the Nigerian Stock Market, particularly using RMT techniques to correlate respective asset prices in the NSM. The resulting insights are combined with those from related works on stochastic-times series analyses of stylised facts and six main market issues typically explored in empirical finance (efficiency, bubbles, anomalies, volatility, valuation and predictability), to illustrate SSMCD pathways in the NSM. Specifically, the RMT analyses focus on the cross-correlation matrix C of the stock index returns in the Nigerian Stock Market (NSM) from the period 2009 to 2013. Within this purview, we test the eigenvalues of the selected assets from the NSM and use their respective eigenvectors and inverse participation ratios to determine the stocks that drive the market dynamics. A method of obtaining a realistic implied correlation matrix for a hypothetical portfolio of some given assets selected from those considered in the empirical correlation matrix of the assets is considered. The positive implied correlation matrix shows that the corresponding assets in the NSM move in the same direction, meaning that portfolio diversification is not an optimal investment strategy. Hence, investing on derivative assets like call and put options is recommended. Further SSMCD implications of the analyses are foreshadowed. Also, we develop the links among SSMCD, macroeconomic modelling of national and global economic trends amid cycles of booms and crises. Highlights of an econome derived from analogies with sequencing and editing of genomes in molecular biology are provided.","author":[{"dropping-particle":"","family":"Ezepue","given":"Patrick Oseloka","non-dropping-particle":"","parse-names":false,"suffix":""},{"dropping-particle":"","family":"Urama","given":"Thomas Chinwe","non-dropping-particle":"","parse-names":false,"suffix":""},{"dropping-particle":"","family":"Omar","given":"Mahmoud A. Taib","non-dropping-particle":"","parse-names":false,"suffix":""}],"container-title":"Journal of Mathematical Finance","id":"ITEM-2","issue":"02","issued":{"date-parts":[["2019"]]},"page":"105-151","title":"Systematic Stock Market Characterisation and Development: Perspectives from Random Matrix Theory, Option Pricing, Genetics, and Global Economics","type":"article-journal","volume":"09"},"uris":["http://www.mendeley.com/documents/?uuid=b466dc44-81a0-4001-a9cb-8e0e715f22fc"]}],"mendeley":{"formattedCitation":"[12], [24]","plainTextFormattedCitation":"[12], [24]","previouslyFormattedCitation":"[12], [21]"},"properties":{"noteIndex":0},"schema":"https://github.com/citation-style-language/schema/raw/master/csl-citation.json"}</w:instrText>
      </w:r>
      <w:r w:rsidR="006A3801" w:rsidRPr="00AE3A49">
        <w:rPr>
          <w:rFonts w:ascii="Times New Roman" w:eastAsia="Times New Roman" w:hAnsi="Times New Roman" w:cs="Times New Roman"/>
          <w:sz w:val="24"/>
          <w:szCs w:val="24"/>
        </w:rPr>
        <w:fldChar w:fldCharType="separate"/>
      </w:r>
      <w:r w:rsidR="009E30D6" w:rsidRPr="00AE3A49">
        <w:rPr>
          <w:rFonts w:ascii="Times New Roman" w:eastAsia="Times New Roman" w:hAnsi="Times New Roman" w:cs="Times New Roman"/>
          <w:noProof/>
          <w:sz w:val="24"/>
          <w:szCs w:val="24"/>
        </w:rPr>
        <w:t>[12], [24]</w:t>
      </w:r>
      <w:r w:rsidR="006A3801" w:rsidRPr="00AE3A49">
        <w:rPr>
          <w:rFonts w:ascii="Times New Roman" w:eastAsia="Times New Roman" w:hAnsi="Times New Roman" w:cs="Times New Roman"/>
          <w:sz w:val="24"/>
          <w:szCs w:val="24"/>
        </w:rPr>
        <w:fldChar w:fldCharType="end"/>
      </w:r>
      <w:r w:rsidRPr="00AE3A49">
        <w:rPr>
          <w:rFonts w:ascii="Times New Roman" w:eastAsia="Times New Roman" w:hAnsi="Times New Roman" w:cs="Times New Roman"/>
          <w:sz w:val="24"/>
          <w:szCs w:val="24"/>
        </w:rPr>
        <w:t>. Here, the model takes as input a</w:t>
      </w:r>
      <w:r w:rsidR="006A3801" w:rsidRPr="00AE3A49">
        <w:rPr>
          <w:rFonts w:ascii="Times New Roman" w:eastAsia="Times New Roman" w:hAnsi="Times New Roman" w:cs="Times New Roman"/>
          <w:sz w:val="24"/>
          <w:szCs w:val="24"/>
        </w:rPr>
        <w:t xml:space="preserve"> sequence of past system states </w:t>
      </w:r>
      <w:r w:rsidRPr="00AE3A49">
        <w:rPr>
          <w:rFonts w:ascii="Times New Roman" w:eastAsia="Times New Roman" w:hAnsi="Times New Roman" w:cs="Times New Roman"/>
          <w:sz w:val="24"/>
          <w:szCs w:val="24"/>
        </w:rPr>
        <w:t>created</w:t>
      </w:r>
      <w:r w:rsidR="006A3801" w:rsidRPr="00AE3A49">
        <w:rPr>
          <w:rFonts w:ascii="Times New Roman" w:eastAsia="Times New Roman" w:hAnsi="Times New Roman" w:cs="Times New Roman"/>
          <w:sz w:val="24"/>
          <w:szCs w:val="24"/>
        </w:rPr>
        <w:t>,</w:t>
      </w:r>
      <w:r w:rsidRPr="00AE3A49">
        <w:rPr>
          <w:rFonts w:ascii="Times New Roman" w:eastAsia="Times New Roman" w:hAnsi="Times New Roman" w:cs="Times New Roman"/>
          <w:sz w:val="24"/>
          <w:szCs w:val="24"/>
        </w:rPr>
        <w:t xml:space="preserve"> using sliding </w:t>
      </w:r>
      <w:r w:rsidR="006A3801" w:rsidRPr="00AE3A49">
        <w:rPr>
          <w:rFonts w:ascii="Times New Roman" w:eastAsia="Times New Roman" w:hAnsi="Times New Roman" w:cs="Times New Roman"/>
          <w:sz w:val="24"/>
          <w:szCs w:val="24"/>
        </w:rPr>
        <w:t xml:space="preserve">time windows or lagged features </w:t>
      </w:r>
      <w:r w:rsidRPr="00AE3A49">
        <w:rPr>
          <w:rFonts w:ascii="Times New Roman" w:eastAsia="Times New Roman" w:hAnsi="Times New Roman" w:cs="Times New Roman"/>
          <w:sz w:val="24"/>
          <w:szCs w:val="24"/>
        </w:rPr>
        <w:t xml:space="preserve">and outputs a stability assessment for a short future horizon. This anticipatory capability is critical in real-time operations because it gives operators a time buffer to take corrective actions, such as adjusting reactive power support or reconfiguring network topology. The challenge in early-warning prediction is that time-lagged features often increase model complexity, making the system more prone to overfitting, especially with limited historical data. To mitigate this, SLT-guided </w:t>
      </w:r>
      <w:r w:rsidRPr="00AE3A49">
        <w:rPr>
          <w:rFonts w:ascii="Times New Roman" w:eastAsia="Times New Roman" w:hAnsi="Times New Roman" w:cs="Times New Roman"/>
          <w:bCs/>
          <w:sz w:val="24"/>
          <w:szCs w:val="24"/>
        </w:rPr>
        <w:t>capacity control</w:t>
      </w:r>
      <w:r w:rsidR="006A3801" w:rsidRPr="00AE3A49">
        <w:rPr>
          <w:rFonts w:ascii="Times New Roman" w:eastAsia="Times New Roman" w:hAnsi="Times New Roman" w:cs="Times New Roman"/>
          <w:sz w:val="24"/>
          <w:szCs w:val="24"/>
        </w:rPr>
        <w:t xml:space="preserve">, </w:t>
      </w:r>
      <w:r w:rsidRPr="00AE3A49">
        <w:rPr>
          <w:rFonts w:ascii="Times New Roman" w:eastAsia="Times New Roman" w:hAnsi="Times New Roman" w:cs="Times New Roman"/>
          <w:sz w:val="24"/>
          <w:szCs w:val="24"/>
        </w:rPr>
        <w:t>through regularization, feature selection, or restrict</w:t>
      </w:r>
      <w:r w:rsidR="006A3801" w:rsidRPr="00AE3A49">
        <w:rPr>
          <w:rFonts w:ascii="Times New Roman" w:eastAsia="Times New Roman" w:hAnsi="Times New Roman" w:cs="Times New Roman"/>
          <w:sz w:val="24"/>
          <w:szCs w:val="24"/>
        </w:rPr>
        <w:t xml:space="preserve">ing hypothesis class complexity, </w:t>
      </w:r>
      <w:r w:rsidRPr="00AE3A49">
        <w:rPr>
          <w:rFonts w:ascii="Times New Roman" w:eastAsia="Times New Roman" w:hAnsi="Times New Roman" w:cs="Times New Roman"/>
          <w:sz w:val="24"/>
          <w:szCs w:val="24"/>
        </w:rPr>
        <w:t>ensures that predictive performance remains stable across both normal and stressed operating regimes</w:t>
      </w:r>
      <w:r w:rsidR="006A3801" w:rsidRPr="00AE3A49">
        <w:rPr>
          <w:rFonts w:ascii="Times New Roman" w:eastAsia="Times New Roman" w:hAnsi="Times New Roman" w:cs="Times New Roman"/>
          <w:sz w:val="24"/>
          <w:szCs w:val="24"/>
        </w:rPr>
        <w:fldChar w:fldCharType="begin" w:fldLock="1"/>
      </w:r>
      <w:r w:rsidR="006A3801" w:rsidRPr="00AE3A49">
        <w:rPr>
          <w:rFonts w:ascii="Times New Roman" w:eastAsia="Times New Roman" w:hAnsi="Times New Roman" w:cs="Times New Roman"/>
          <w:sz w:val="24"/>
          <w:szCs w:val="24"/>
        </w:rPr>
        <w:instrText>ADDIN CSL_CITATION {"citationItems":[{"id":"ITEM-1","itemData":{"DOI":"10.3390/en17091999","ISSN":"19961073","abstract":"The maintenance of an uninterrupted electricity supply to meet demand is of paramount importance for maintaining the stable operation of an electrical power system. Machine learning and deep learning play a crucial role in maintaining that stable operation. These algorithms have the ability to acquire knowledge from past data, enabling them to efficiently identify and forecast potential scenarios of instability in the future. This work presents a hybrid convolutional long short-term memory (ConvLSTM) technique for training and predicting nodal voltage stability in an IEEE 14-bus microgrid. Analysis of the findings shows that the suggested ConvLSTM model exhibits the highest level of precision, reaching a value of 97.65%. Furthermore, the ConvLSTM model has been shown to perform better compared to alternative machine learning and deep learning models such as convolutional neural networks, k-nearest neighbors, and support vector machine models, specifically in terms of accurately forecasting voltage stability. The IEEE 14-bus system tests indicate that the suggested method can quickly and accurately determine the stability status of the system. The comparative analysis obtained the results and further justified the efficiency and voltage stability of the proposed model.","author":[{"dropping-particle":"","family":"Abbass","given":"Muhammad Jamshed","non-dropping-particle":"","parse-names":false,"suffix":""},{"dropping-particle":"","family":"Lis","given":"Robert","non-dropping-particle":"","parse-names":false,"suffix":""},{"dropping-particle":"","family":"Awais","given":"Muhammad","non-dropping-particle":"","parse-names":false,"suffix":""},{"dropping-particle":"","family":"Nguyen","given":"Tham X.","non-dropping-particle":"","parse-names":false,"suffix":""}],"container-title":"Energies","id":"ITEM-1","issue":"9","issued":{"date-parts":[["2024"]]},"title":"Convolutional Long Short-Term Memory (ConvLSTM)-Based Prediction of Voltage Stability in a Microgrid","type":"article-journal","volume":"17"},"uris":["http://www.mendeley.com/documents/?uuid=d43fe10d-1764-4949-98ae-c84a6b1701f0"]}],"mendeley":{"formattedCitation":"[2]","plainTextFormattedCitation":"[2]","previouslyFormattedCitation":"[2]"},"properties":{"noteIndex":0},"schema":"https://github.com/citation-style-language/schema/raw/master/csl-citation.json"}</w:instrText>
      </w:r>
      <w:r w:rsidR="006A3801" w:rsidRPr="00AE3A49">
        <w:rPr>
          <w:rFonts w:ascii="Times New Roman" w:eastAsia="Times New Roman" w:hAnsi="Times New Roman" w:cs="Times New Roman"/>
          <w:sz w:val="24"/>
          <w:szCs w:val="24"/>
        </w:rPr>
        <w:fldChar w:fldCharType="separate"/>
      </w:r>
      <w:r w:rsidR="006A3801" w:rsidRPr="00AE3A49">
        <w:rPr>
          <w:rFonts w:ascii="Times New Roman" w:eastAsia="Times New Roman" w:hAnsi="Times New Roman" w:cs="Times New Roman"/>
          <w:noProof/>
          <w:sz w:val="24"/>
          <w:szCs w:val="24"/>
        </w:rPr>
        <w:t>[2]</w:t>
      </w:r>
      <w:r w:rsidR="006A3801" w:rsidRPr="00AE3A49">
        <w:rPr>
          <w:rFonts w:ascii="Times New Roman" w:eastAsia="Times New Roman" w:hAnsi="Times New Roman" w:cs="Times New Roman"/>
          <w:sz w:val="24"/>
          <w:szCs w:val="24"/>
        </w:rPr>
        <w:fldChar w:fldCharType="end"/>
      </w:r>
      <w:r w:rsidRPr="00AE3A49">
        <w:rPr>
          <w:rFonts w:ascii="Times New Roman" w:eastAsia="Times New Roman" w:hAnsi="Times New Roman" w:cs="Times New Roman"/>
          <w:sz w:val="24"/>
          <w:szCs w:val="24"/>
        </w:rPr>
        <w:t>.</w:t>
      </w:r>
    </w:p>
    <w:p w14:paraId="0ED0BEDF" w14:textId="77777777" w:rsidR="009D1922" w:rsidRPr="00AE3A49" w:rsidRDefault="002276EA" w:rsidP="00CE7AAD">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practice, a strong voltage stability monitoring system for a network like the Birnin Kebbi 330 kV corridor can combine all three approaches into a layered decision-support framework. The regression module offers ongoing stability margins for enhanced situational awareness, the classification module converts these into clear stability states for operator dashboards, and the early-warning module delivers predictive alerts for preventive action. By integrating these components within an SLT-informed design, the system not only attains high accuracy on historical test data but also demonstrates proven generalization to real-world conditions, manages scarce or noisy data effectively, and adjusts to changing grid configurations without losing reliability. This layered strategy transforms voltage stability analysis from merely diagnostic into a proactive, risk-based operational tool.</w:t>
      </w:r>
    </w:p>
    <w:p w14:paraId="52FB6708" w14:textId="079AC2E0" w:rsidR="009D1922" w:rsidRPr="00CE7AAD" w:rsidRDefault="009D1922" w:rsidP="00AE3A49">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AE3A49">
        <w:rPr>
          <w:rFonts w:ascii="Times New Roman" w:eastAsia="Times New Roman" w:hAnsi="Times New Roman" w:cs="Times New Roman"/>
          <w:bCs/>
          <w:sz w:val="24"/>
          <w:szCs w:val="24"/>
        </w:rPr>
        <w:t>IV</w:t>
      </w:r>
      <w:r w:rsidR="00DE4D58">
        <w:rPr>
          <w:rFonts w:ascii="Times New Roman" w:eastAsia="Times New Roman" w:hAnsi="Times New Roman" w:cs="Times New Roman"/>
          <w:bCs/>
          <w:sz w:val="24"/>
          <w:szCs w:val="24"/>
        </w:rPr>
        <w:t xml:space="preserve"> </w:t>
      </w:r>
      <w:r w:rsidRPr="00CE7AAD">
        <w:rPr>
          <w:rFonts w:ascii="Times New Roman" w:eastAsia="Times New Roman" w:hAnsi="Times New Roman" w:cs="Times New Roman"/>
          <w:b/>
          <w:bCs/>
          <w:sz w:val="24"/>
          <w:szCs w:val="24"/>
        </w:rPr>
        <w:t xml:space="preserve"> Data in an Under-Instrumented Environment</w:t>
      </w:r>
    </w:p>
    <w:p w14:paraId="11AC750D" w14:textId="77777777" w:rsidR="009D1922" w:rsidRPr="00AE3A49" w:rsidRDefault="009D1922" w:rsidP="00AE3A49">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Sources:</w:t>
      </w:r>
      <w:r w:rsidRPr="00AE3A49">
        <w:rPr>
          <w:rFonts w:ascii="Times New Roman" w:eastAsia="Times New Roman" w:hAnsi="Times New Roman" w:cs="Times New Roman"/>
          <w:sz w:val="24"/>
          <w:szCs w:val="24"/>
        </w:rPr>
        <w:t xml:space="preserve"> Historical </w:t>
      </w:r>
      <w:r w:rsidR="00842BC9" w:rsidRPr="00AE3A49">
        <w:rPr>
          <w:rFonts w:ascii="Times New Roman" w:eastAsia="Times New Roman" w:hAnsi="Times New Roman" w:cs="Times New Roman"/>
          <w:sz w:val="24"/>
          <w:szCs w:val="24"/>
        </w:rPr>
        <w:t>SCADA logs (voltages, currents,</w:t>
      </w:r>
      <m:oMath>
        <m:r>
          <w:rPr>
            <w:rFonts w:ascii="Cambria Math" w:eastAsia="Times New Roman" w:hAnsi="Cambria Math" w:cs="Times New Roman"/>
            <w:sz w:val="24"/>
            <w:szCs w:val="24"/>
          </w:rPr>
          <m:t>P/Q</m:t>
        </m:r>
      </m:oMath>
      <w:r w:rsidRPr="00AE3A49">
        <w:rPr>
          <w:rFonts w:ascii="Times New Roman" w:eastAsia="Times New Roman" w:hAnsi="Times New Roman" w:cs="Times New Roman"/>
          <w:sz w:val="24"/>
          <w:szCs w:val="24"/>
        </w:rPr>
        <w:t>, frequency), operator tags/events, topology snapshots (breaker/transformer states), limited disturbance records.</w:t>
      </w:r>
    </w:p>
    <w:p w14:paraId="201330B7" w14:textId="77777777" w:rsidR="009D1922" w:rsidRPr="00AE3A49" w:rsidRDefault="009D1922" w:rsidP="00AE3A49">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Preprocessing:</w:t>
      </w:r>
      <w:r w:rsidRPr="00AE3A49">
        <w:rPr>
          <w:rFonts w:ascii="Times New Roman" w:eastAsia="Times New Roman" w:hAnsi="Times New Roman" w:cs="Times New Roman"/>
          <w:sz w:val="24"/>
          <w:szCs w:val="24"/>
        </w:rPr>
        <w:t xml:space="preserve"> Outlier screening, missing-value imputation, normalization; trend/seasonality removal where needed.</w:t>
      </w:r>
    </w:p>
    <w:p w14:paraId="1B40B0C7" w14:textId="77777777" w:rsidR="009D1922" w:rsidRPr="00AE3A49" w:rsidRDefault="009D1922" w:rsidP="00AE3A49">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Feature Engineering (SLT-friendly):</w:t>
      </w:r>
    </w:p>
    <w:p w14:paraId="1BCA8309" w14:textId="77777777" w:rsidR="009D1922" w:rsidRPr="00AE3A49" w:rsidRDefault="009D1922" w:rsidP="00AE3A49">
      <w:pPr>
        <w:numPr>
          <w:ilvl w:val="1"/>
          <w:numId w:val="3"/>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sz w:val="24"/>
          <w:szCs w:val="24"/>
        </w:rPr>
        <w:t>Instantaneous: per-bus V, θ; line</w:t>
      </w:r>
      <m:oMath>
        <m:r>
          <w:rPr>
            <w:rFonts w:ascii="Cambria Math" w:eastAsia="Times New Roman" w:hAnsi="Cambria Math" w:cs="Times New Roman"/>
            <w:sz w:val="24"/>
            <w:szCs w:val="24"/>
          </w:rPr>
          <m:t xml:space="preserve"> P/Q</m:t>
        </m:r>
      </m:oMath>
      <w:r w:rsidRPr="00AE3A49">
        <w:rPr>
          <w:rFonts w:ascii="Times New Roman" w:eastAsia="Times New Roman" w:hAnsi="Times New Roman" w:cs="Times New Roman"/>
          <w:sz w:val="24"/>
          <w:szCs w:val="24"/>
        </w:rPr>
        <w:t>; reactive reserves; transformer tap.</w:t>
      </w:r>
    </w:p>
    <w:p w14:paraId="4311A159" w14:textId="77777777" w:rsidR="009D1922" w:rsidRPr="00AE3A49" w:rsidRDefault="009D1922" w:rsidP="00AE3A49">
      <w:pPr>
        <w:numPr>
          <w:ilvl w:val="1"/>
          <w:numId w:val="3"/>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sz w:val="24"/>
          <w:szCs w:val="24"/>
        </w:rPr>
        <w:t xml:space="preserve">Aggregates/ratios: voltage deviation, </w:t>
      </w:r>
      <m:oMath>
        <m:r>
          <w:rPr>
            <w:rFonts w:ascii="Cambria Math" w:eastAsia="Times New Roman" w:hAnsi="Cambria Math" w:cs="Times New Roman"/>
            <w:sz w:val="24"/>
            <w:szCs w:val="24"/>
          </w:rPr>
          <m:t>Q/V</m:t>
        </m:r>
      </m:oMath>
      <w:r w:rsidRPr="00AE3A49">
        <w:rPr>
          <w:rFonts w:ascii="Times New Roman" w:eastAsia="Times New Roman" w:hAnsi="Times New Roman" w:cs="Times New Roman"/>
          <w:sz w:val="24"/>
          <w:szCs w:val="24"/>
        </w:rPr>
        <w:t xml:space="preserve"> sensitivity proxies, local loadability ratios.</w:t>
      </w:r>
    </w:p>
    <w:p w14:paraId="1667AC33" w14:textId="77777777" w:rsidR="009D1922" w:rsidRPr="00AE3A49" w:rsidRDefault="009D1922" w:rsidP="00AE3A49">
      <w:pPr>
        <w:numPr>
          <w:ilvl w:val="1"/>
          <w:numId w:val="3"/>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sz w:val="24"/>
          <w:szCs w:val="24"/>
        </w:rPr>
        <w:t>Topology-aware: features aggregated over electrical neighborhoods (e.g., degree, effective impedance).</w:t>
      </w:r>
    </w:p>
    <w:p w14:paraId="2245E457" w14:textId="77777777" w:rsidR="009D1922" w:rsidRPr="00AE3A49" w:rsidRDefault="009D1922" w:rsidP="00AE3A49">
      <w:pPr>
        <w:numPr>
          <w:ilvl w:val="1"/>
          <w:numId w:val="3"/>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sz w:val="24"/>
          <w:szCs w:val="24"/>
        </w:rPr>
        <w:lastRenderedPageBreak/>
        <w:t>Temporal lags: stack recent samples to capture dynamics while keeping dimensions controlled (SRM principle).</w:t>
      </w:r>
    </w:p>
    <w:p w14:paraId="6E559FD7" w14:textId="77777777" w:rsidR="009D1922" w:rsidRPr="00AE3A49" w:rsidRDefault="009D1922" w:rsidP="00AE3A49">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Synthetic Data (optional augmentation):</w:t>
      </w:r>
      <w:r w:rsidRPr="00AE3A49">
        <w:rPr>
          <w:rFonts w:ascii="Times New Roman" w:eastAsia="Times New Roman" w:hAnsi="Times New Roman" w:cs="Times New Roman"/>
          <w:sz w:val="24"/>
          <w:szCs w:val="24"/>
        </w:rPr>
        <w:t xml:space="preserve"> When permitted, </w:t>
      </w:r>
      <w:r w:rsidRPr="00AE3A49">
        <w:rPr>
          <w:rFonts w:ascii="Times New Roman" w:eastAsia="Times New Roman" w:hAnsi="Times New Roman" w:cs="Times New Roman"/>
          <w:bCs/>
          <w:sz w:val="24"/>
          <w:szCs w:val="24"/>
        </w:rPr>
        <w:t>GAN-generated</w:t>
      </w:r>
      <w:r w:rsidRPr="00AE3A49">
        <w:rPr>
          <w:rFonts w:ascii="Times New Roman" w:eastAsia="Times New Roman" w:hAnsi="Times New Roman" w:cs="Times New Roman"/>
          <w:sz w:val="24"/>
          <w:szCs w:val="24"/>
        </w:rPr>
        <w:t xml:space="preserve"> operating points can improve coverage of rare instability regi</w:t>
      </w:r>
      <w:r w:rsidR="00842BC9" w:rsidRPr="00AE3A49">
        <w:rPr>
          <w:rFonts w:ascii="Times New Roman" w:eastAsia="Times New Roman" w:hAnsi="Times New Roman" w:cs="Times New Roman"/>
          <w:sz w:val="24"/>
          <w:szCs w:val="24"/>
        </w:rPr>
        <w:t xml:space="preserve">mes; SLT principles still apply; </w:t>
      </w:r>
      <w:r w:rsidRPr="00AE3A49">
        <w:rPr>
          <w:rFonts w:ascii="Times New Roman" w:eastAsia="Times New Roman" w:hAnsi="Times New Roman" w:cs="Times New Roman"/>
          <w:sz w:val="24"/>
          <w:szCs w:val="24"/>
        </w:rPr>
        <w:t>capacity control and validation remain essential.</w:t>
      </w:r>
    </w:p>
    <w:p w14:paraId="713D10D3" w14:textId="5732B0FD" w:rsidR="009D1922" w:rsidRPr="00CE7AAD" w:rsidRDefault="009D1922" w:rsidP="00AE3A49">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AE3A49">
        <w:rPr>
          <w:rFonts w:ascii="Times New Roman" w:eastAsia="Times New Roman" w:hAnsi="Times New Roman" w:cs="Times New Roman"/>
          <w:bCs/>
          <w:sz w:val="24"/>
          <w:szCs w:val="24"/>
        </w:rPr>
        <w:t xml:space="preserve">V. </w:t>
      </w:r>
      <w:r w:rsidRPr="00CE7AAD">
        <w:rPr>
          <w:rFonts w:ascii="Times New Roman" w:eastAsia="Times New Roman" w:hAnsi="Times New Roman" w:cs="Times New Roman"/>
          <w:b/>
          <w:bCs/>
          <w:sz w:val="24"/>
          <w:szCs w:val="24"/>
        </w:rPr>
        <w:t>SLT-Aligned Models for Voltage Stability</w:t>
      </w:r>
    </w:p>
    <w:p w14:paraId="4EBB596D" w14:textId="77777777" w:rsidR="009D1922" w:rsidRPr="00AE3A49" w:rsidRDefault="009D1922" w:rsidP="00AE3A49">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Support Vector Machines (SVM):</w:t>
      </w:r>
    </w:p>
    <w:p w14:paraId="04627E4C" w14:textId="77777777" w:rsidR="009D1922" w:rsidRPr="00AE3A49" w:rsidRDefault="009D1922" w:rsidP="00AE3A49">
      <w:pPr>
        <w:numPr>
          <w:ilvl w:val="1"/>
          <w:numId w:val="4"/>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iCs/>
          <w:sz w:val="24"/>
          <w:szCs w:val="24"/>
        </w:rPr>
        <w:t>Classification:</w:t>
      </w:r>
      <w:r w:rsidRPr="00AE3A49">
        <w:rPr>
          <w:rFonts w:ascii="Times New Roman" w:eastAsia="Times New Roman" w:hAnsi="Times New Roman" w:cs="Times New Roman"/>
          <w:sz w:val="24"/>
          <w:szCs w:val="24"/>
        </w:rPr>
        <w:t xml:space="preserve"> Large-margin separation for secure vs. at-risk states; kernels (RBF/poly) capture nonlinearity; C and kernel parameters govern capacity.</w:t>
      </w:r>
    </w:p>
    <w:p w14:paraId="5193D8F7" w14:textId="77777777" w:rsidR="009D1922" w:rsidRPr="00AE3A49" w:rsidRDefault="009D1922" w:rsidP="00AE3A49">
      <w:pPr>
        <w:numPr>
          <w:ilvl w:val="1"/>
          <w:numId w:val="4"/>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iCs/>
          <w:sz w:val="24"/>
          <w:szCs w:val="24"/>
        </w:rPr>
        <w:t>Regression (SVR):</w:t>
      </w:r>
      <w:r w:rsidRPr="00AE3A49">
        <w:rPr>
          <w:rFonts w:ascii="Times New Roman" w:eastAsia="Times New Roman" w:hAnsi="Times New Roman" w:cs="Times New Roman"/>
          <w:sz w:val="24"/>
          <w:szCs w:val="24"/>
        </w:rPr>
        <w:t xml:space="preserve"> ε-insensitive loss with L2 regularization; strong with noisy SCADA data; optimized with MSE/MAE.</w:t>
      </w:r>
    </w:p>
    <w:p w14:paraId="2FF74DC7" w14:textId="77777777" w:rsidR="009D1922" w:rsidRPr="00AE3A49" w:rsidRDefault="009D1922" w:rsidP="00AE3A49">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Kernel Ridge / Regularized Least Squares:</w:t>
      </w:r>
      <w:r w:rsidRPr="00AE3A49">
        <w:rPr>
          <w:rFonts w:ascii="Times New Roman" w:eastAsia="Times New Roman" w:hAnsi="Times New Roman" w:cs="Times New Roman"/>
          <w:sz w:val="24"/>
          <w:szCs w:val="24"/>
        </w:rPr>
        <w:t xml:space="preserve"> Closed-form solutions, strong bias-variance control; suitable for continuous indices (VSI).</w:t>
      </w:r>
    </w:p>
    <w:p w14:paraId="3D6FA129" w14:textId="77777777" w:rsidR="009D1922" w:rsidRPr="00AE3A49" w:rsidRDefault="009D1922" w:rsidP="00AE3A49">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Elastic Net / Lasso:</w:t>
      </w:r>
      <w:r w:rsidRPr="00AE3A49">
        <w:rPr>
          <w:rFonts w:ascii="Times New Roman" w:eastAsia="Times New Roman" w:hAnsi="Times New Roman" w:cs="Times New Roman"/>
          <w:sz w:val="24"/>
          <w:szCs w:val="24"/>
        </w:rPr>
        <w:t xml:space="preserve"> Sparse linear baselines that remain competitive with good features; interpretable and robust when data are limited.</w:t>
      </w:r>
    </w:p>
    <w:p w14:paraId="7E8681E0" w14:textId="77777777" w:rsidR="009D1922" w:rsidRPr="00AE3A49" w:rsidRDefault="009D1922" w:rsidP="00AE3A49">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Gaussian Processes (GPs) (note: Bayesian, but SLT-compatible via kernels):</w:t>
      </w:r>
      <w:r w:rsidRPr="00AE3A49">
        <w:rPr>
          <w:rFonts w:ascii="Times New Roman" w:eastAsia="Times New Roman" w:hAnsi="Times New Roman" w:cs="Times New Roman"/>
          <w:sz w:val="24"/>
          <w:szCs w:val="24"/>
        </w:rPr>
        <w:t xml:space="preserve"> Probabilistic predictions with uncertainty estimates; useful for risk-aware triggering though computationally heavier.</w:t>
      </w:r>
    </w:p>
    <w:p w14:paraId="0931625E" w14:textId="77777777" w:rsidR="009D1922" w:rsidRPr="00CE7AAD" w:rsidRDefault="009D1922" w:rsidP="00CE7AAD">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Hybrid Pipelines:</w:t>
      </w:r>
      <w:r w:rsidRPr="00AE3A49">
        <w:rPr>
          <w:rFonts w:ascii="Times New Roman" w:eastAsia="Times New Roman" w:hAnsi="Times New Roman" w:cs="Times New Roman"/>
          <w:sz w:val="24"/>
          <w:szCs w:val="24"/>
        </w:rPr>
        <w:t xml:space="preserve"> Compact feature extractors (e.g., PCA) + SVM/SVR; or low-capacity shallow nets with strong regularization to respect SRM.</w:t>
      </w:r>
    </w:p>
    <w:p w14:paraId="39DE36E6" w14:textId="3956D244" w:rsidR="009D1922" w:rsidRPr="00CE7AAD" w:rsidRDefault="009D1922" w:rsidP="00AE3A49">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AE3A49">
        <w:rPr>
          <w:rFonts w:ascii="Times New Roman" w:eastAsia="Times New Roman" w:hAnsi="Times New Roman" w:cs="Times New Roman"/>
          <w:bCs/>
          <w:sz w:val="24"/>
          <w:szCs w:val="24"/>
        </w:rPr>
        <w:t>VI</w:t>
      </w:r>
      <w:r w:rsidR="00DE4D58">
        <w:rPr>
          <w:rFonts w:ascii="Times New Roman" w:eastAsia="Times New Roman" w:hAnsi="Times New Roman" w:cs="Times New Roman"/>
          <w:bCs/>
          <w:sz w:val="24"/>
          <w:szCs w:val="24"/>
        </w:rPr>
        <w:t xml:space="preserve"> </w:t>
      </w:r>
      <w:r w:rsidRPr="00CE7AAD">
        <w:rPr>
          <w:rFonts w:ascii="Times New Roman" w:eastAsia="Times New Roman" w:hAnsi="Times New Roman" w:cs="Times New Roman"/>
          <w:b/>
          <w:bCs/>
          <w:sz w:val="24"/>
          <w:szCs w:val="24"/>
        </w:rPr>
        <w:t xml:space="preserve"> Handling Class Imbalance, Noise, and Domain Shift</w:t>
      </w:r>
    </w:p>
    <w:p w14:paraId="1CECF371" w14:textId="77777777" w:rsidR="009D1922" w:rsidRPr="00AE3A49" w:rsidRDefault="009D1922" w:rsidP="00AE3A49">
      <w:pPr>
        <w:numPr>
          <w:ilvl w:val="0"/>
          <w:numId w:val="5"/>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Imbalance:</w:t>
      </w:r>
      <w:r w:rsidRPr="00AE3A49">
        <w:rPr>
          <w:rFonts w:ascii="Times New Roman" w:eastAsia="Times New Roman" w:hAnsi="Times New Roman" w:cs="Times New Roman"/>
          <w:sz w:val="24"/>
          <w:szCs w:val="24"/>
        </w:rPr>
        <w:t xml:space="preserve"> Rare instability events bias learners; use class-weighted losses, resampling, or synthetic minority oversampling (mindful of capacity).</w:t>
      </w:r>
    </w:p>
    <w:p w14:paraId="49440061" w14:textId="77777777" w:rsidR="009D1922" w:rsidRPr="00AE3A49" w:rsidRDefault="009D1922" w:rsidP="00AE3A49">
      <w:pPr>
        <w:numPr>
          <w:ilvl w:val="0"/>
          <w:numId w:val="5"/>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Noisy Labels:</w:t>
      </w:r>
      <w:r w:rsidRPr="00AE3A49">
        <w:rPr>
          <w:rFonts w:ascii="Times New Roman" w:eastAsia="Times New Roman" w:hAnsi="Times New Roman" w:cs="Times New Roman"/>
          <w:sz w:val="24"/>
          <w:szCs w:val="24"/>
        </w:rPr>
        <w:t xml:space="preserve"> Robust losses (Huber), margin maximization, and validation on curated sets mitigate performance drift.</w:t>
      </w:r>
    </w:p>
    <w:p w14:paraId="50CF6A45" w14:textId="77777777" w:rsidR="009D1922" w:rsidRPr="00AE3A49" w:rsidRDefault="002276EA" w:rsidP="00AE3A49">
      <w:pPr>
        <w:numPr>
          <w:ilvl w:val="0"/>
          <w:numId w:val="5"/>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Domain Shift: Variations between weekday and weekend, dry and wet seasons, or pre- and post-maintenance states; use time-blocked validation, covariate-shift diagnostics, and regular recalibration.</w:t>
      </w:r>
    </w:p>
    <w:p w14:paraId="0F22D115" w14:textId="29903169" w:rsidR="009D1922" w:rsidRPr="00CE7AAD" w:rsidRDefault="009D1922" w:rsidP="00AE3A49">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AE3A49">
        <w:rPr>
          <w:rFonts w:ascii="Times New Roman" w:eastAsia="Times New Roman" w:hAnsi="Times New Roman" w:cs="Times New Roman"/>
          <w:bCs/>
          <w:sz w:val="24"/>
          <w:szCs w:val="24"/>
        </w:rPr>
        <w:t>VI</w:t>
      </w:r>
      <w:r w:rsidR="00DE4D58">
        <w:rPr>
          <w:rFonts w:ascii="Times New Roman" w:eastAsia="Times New Roman" w:hAnsi="Times New Roman" w:cs="Times New Roman"/>
          <w:bCs/>
          <w:sz w:val="24"/>
          <w:szCs w:val="24"/>
        </w:rPr>
        <w:t xml:space="preserve"> </w:t>
      </w:r>
      <w:r w:rsidRPr="00CE7AAD">
        <w:rPr>
          <w:rFonts w:ascii="Times New Roman" w:eastAsia="Times New Roman" w:hAnsi="Times New Roman" w:cs="Times New Roman"/>
          <w:b/>
          <w:bCs/>
          <w:sz w:val="24"/>
          <w:szCs w:val="24"/>
        </w:rPr>
        <w:t xml:space="preserve"> Evaluation Protocols and Metrics</w:t>
      </w:r>
    </w:p>
    <w:p w14:paraId="45BBDE75" w14:textId="77777777" w:rsidR="009D1922" w:rsidRPr="00AE3A49" w:rsidRDefault="009D1922" w:rsidP="00AE3A49">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Train/Validation/Test Splits:</w:t>
      </w:r>
      <w:r w:rsidRPr="00AE3A49">
        <w:rPr>
          <w:rFonts w:ascii="Times New Roman" w:eastAsia="Times New Roman" w:hAnsi="Times New Roman" w:cs="Times New Roman"/>
          <w:sz w:val="24"/>
          <w:szCs w:val="24"/>
        </w:rPr>
        <w:t xml:space="preserve"> Time-aware splits (no leakage); substation-specific folds for Birnin Kebbi; optional cross-station tests for generalization.</w:t>
      </w:r>
    </w:p>
    <w:p w14:paraId="53520173" w14:textId="77777777" w:rsidR="009D1922" w:rsidRPr="00AE3A49" w:rsidRDefault="009D1922" w:rsidP="00AE3A49">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Primary Metric (Regression):</w:t>
      </w:r>
      <w:r w:rsidRPr="00AE3A49">
        <w:rPr>
          <w:rFonts w:ascii="Times New Roman" w:eastAsia="Times New Roman" w:hAnsi="Times New Roman" w:cs="Times New Roman"/>
          <w:sz w:val="24"/>
          <w:szCs w:val="24"/>
        </w:rPr>
        <w:t xml:space="preserve"> </w:t>
      </w:r>
      <w:r w:rsidRPr="00AE3A49">
        <w:rPr>
          <w:rFonts w:ascii="Times New Roman" w:eastAsia="Times New Roman" w:hAnsi="Times New Roman" w:cs="Times New Roman"/>
          <w:bCs/>
          <w:sz w:val="24"/>
          <w:szCs w:val="24"/>
        </w:rPr>
        <w:t>Mean Squared Error (MSE)</w:t>
      </w:r>
      <w:r w:rsidR="00842BC9" w:rsidRPr="00AE3A49">
        <w:rPr>
          <w:rFonts w:ascii="Times New Roman" w:eastAsia="Times New Roman" w:hAnsi="Times New Roman" w:cs="Times New Roman"/>
          <w:sz w:val="24"/>
          <w:szCs w:val="24"/>
        </w:rPr>
        <w:t xml:space="preserve">, </w:t>
      </w:r>
      <w:r w:rsidRPr="00AE3A49">
        <w:rPr>
          <w:rFonts w:ascii="Times New Roman" w:eastAsia="Times New Roman" w:hAnsi="Times New Roman" w:cs="Times New Roman"/>
          <w:sz w:val="24"/>
          <w:szCs w:val="24"/>
        </w:rPr>
        <w:t>aligns with continuous stability index targets and is the preferred metric for this work.</w:t>
      </w:r>
    </w:p>
    <w:p w14:paraId="0C0E758B" w14:textId="77777777" w:rsidR="009D1922" w:rsidRPr="00AE3A49" w:rsidRDefault="009D1922" w:rsidP="00AE3A49">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Secondary Metrics:</w:t>
      </w:r>
      <w:r w:rsidRPr="00AE3A49">
        <w:rPr>
          <w:rFonts w:ascii="Times New Roman" w:eastAsia="Times New Roman" w:hAnsi="Times New Roman" w:cs="Times New Roman"/>
          <w:sz w:val="24"/>
          <w:szCs w:val="24"/>
        </w:rPr>
        <w:t xml:space="preserve"> MAE (robustness to outliers), R² (explained variance). If a classifier is used for alarms: precision/recall, F1, ROC-AUC</w:t>
      </w:r>
      <w:r w:rsidR="00DE09BA">
        <w:rPr>
          <w:rFonts w:ascii="Times New Roman" w:eastAsia="Times New Roman" w:hAnsi="Times New Roman" w:cs="Times New Roman"/>
          <w:sz w:val="24"/>
          <w:szCs w:val="24"/>
        </w:rPr>
        <w:t>,</w:t>
      </w:r>
      <w:r w:rsidRPr="00AE3A49">
        <w:rPr>
          <w:rFonts w:ascii="Times New Roman" w:eastAsia="Times New Roman" w:hAnsi="Times New Roman" w:cs="Times New Roman"/>
          <w:sz w:val="24"/>
          <w:szCs w:val="24"/>
        </w:rPr>
        <w:t xml:space="preserve"> and </w:t>
      </w:r>
      <w:r w:rsidRPr="00AE3A49">
        <w:rPr>
          <w:rFonts w:ascii="Times New Roman" w:eastAsia="Times New Roman" w:hAnsi="Times New Roman" w:cs="Times New Roman"/>
          <w:bCs/>
          <w:sz w:val="24"/>
          <w:szCs w:val="24"/>
        </w:rPr>
        <w:t>confusion matrix</w:t>
      </w:r>
      <w:r w:rsidRPr="00AE3A49">
        <w:rPr>
          <w:rFonts w:ascii="Times New Roman" w:eastAsia="Times New Roman" w:hAnsi="Times New Roman" w:cs="Times New Roman"/>
          <w:sz w:val="24"/>
          <w:szCs w:val="24"/>
        </w:rPr>
        <w:t xml:space="preserve"> for operational interpretability.</w:t>
      </w:r>
    </w:p>
    <w:p w14:paraId="21C00407" w14:textId="77777777" w:rsidR="009D1922" w:rsidRPr="00AE3A49" w:rsidRDefault="009D1922" w:rsidP="00AE3A49">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Robustness Checks:</w:t>
      </w:r>
      <w:r w:rsidRPr="00AE3A49">
        <w:rPr>
          <w:rFonts w:ascii="Times New Roman" w:eastAsia="Times New Roman" w:hAnsi="Times New Roman" w:cs="Times New Roman"/>
          <w:sz w:val="24"/>
          <w:szCs w:val="24"/>
        </w:rPr>
        <w:t xml:space="preserve"> Sensitivity to missing features, noise injection, and topology perturbations; calibration curves if probabilistic outputs are used.</w:t>
      </w:r>
    </w:p>
    <w:p w14:paraId="581BEEF5" w14:textId="77777777" w:rsidR="00DE4D58" w:rsidRDefault="00DE4D58" w:rsidP="00AE3A49">
      <w:pPr>
        <w:spacing w:before="100" w:beforeAutospacing="1" w:after="100" w:afterAutospacing="1" w:line="240" w:lineRule="auto"/>
        <w:jc w:val="both"/>
        <w:outlineLvl w:val="1"/>
        <w:rPr>
          <w:rFonts w:ascii="Times New Roman" w:eastAsia="Times New Roman" w:hAnsi="Times New Roman" w:cs="Times New Roman"/>
          <w:bCs/>
          <w:sz w:val="24"/>
          <w:szCs w:val="24"/>
        </w:rPr>
      </w:pPr>
    </w:p>
    <w:p w14:paraId="3CDB2098" w14:textId="3AA4AAEE" w:rsidR="009D1922" w:rsidRPr="00CE7AAD" w:rsidRDefault="009D1922" w:rsidP="00AE3A49">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AE3A49">
        <w:rPr>
          <w:rFonts w:ascii="Times New Roman" w:eastAsia="Times New Roman" w:hAnsi="Times New Roman" w:cs="Times New Roman"/>
          <w:bCs/>
          <w:sz w:val="24"/>
          <w:szCs w:val="24"/>
        </w:rPr>
        <w:lastRenderedPageBreak/>
        <w:t>VIII</w:t>
      </w:r>
      <w:r w:rsidR="00DE4D58">
        <w:rPr>
          <w:rFonts w:ascii="Times New Roman" w:eastAsia="Times New Roman" w:hAnsi="Times New Roman" w:cs="Times New Roman"/>
          <w:bCs/>
          <w:sz w:val="24"/>
          <w:szCs w:val="24"/>
        </w:rPr>
        <w:t xml:space="preserve"> </w:t>
      </w:r>
      <w:r w:rsidR="00CE7AAD">
        <w:rPr>
          <w:rFonts w:ascii="Times New Roman" w:eastAsia="Times New Roman" w:hAnsi="Times New Roman" w:cs="Times New Roman"/>
          <w:b/>
          <w:bCs/>
          <w:sz w:val="24"/>
          <w:szCs w:val="24"/>
        </w:rPr>
        <w:t xml:space="preserve">Birnin Kebbi </w:t>
      </w:r>
      <w:r w:rsidRPr="00CE7AAD">
        <w:rPr>
          <w:rFonts w:ascii="Times New Roman" w:eastAsia="Times New Roman" w:hAnsi="Times New Roman" w:cs="Times New Roman"/>
          <w:b/>
          <w:bCs/>
          <w:sz w:val="24"/>
          <w:szCs w:val="24"/>
        </w:rPr>
        <w:t>Specific Workflow (Offline, SLT-Grounded)</w:t>
      </w:r>
    </w:p>
    <w:p w14:paraId="3D7E4315" w14:textId="77777777" w:rsidR="009D1922" w:rsidRPr="00AE3A49" w:rsidRDefault="002276EA" w:rsidP="00AE3A49">
      <w:pPr>
        <w:numPr>
          <w:ilvl w:val="0"/>
          <w:numId w:val="7"/>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Data Curation: Collect SCADA-like measurements at Birnin Kebbi 330 kV and align with topology snapshots.</w:t>
      </w:r>
    </w:p>
    <w:p w14:paraId="2FE04AA1" w14:textId="77777777" w:rsidR="009D1922" w:rsidRPr="00AE3A49" w:rsidRDefault="009D1922" w:rsidP="00AE3A49">
      <w:pPr>
        <w:numPr>
          <w:ilvl w:val="0"/>
          <w:numId w:val="7"/>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Feature Design:</w:t>
      </w:r>
      <w:r w:rsidRPr="00AE3A49">
        <w:rPr>
          <w:rFonts w:ascii="Times New Roman" w:eastAsia="Times New Roman" w:hAnsi="Times New Roman" w:cs="Times New Roman"/>
          <w:sz w:val="24"/>
          <w:szCs w:val="24"/>
        </w:rPr>
        <w:t xml:space="preserve"> Construct physically meaningful, capacity-controlled features (Section 4).</w:t>
      </w:r>
    </w:p>
    <w:p w14:paraId="4A9BDFB3" w14:textId="77777777" w:rsidR="009D1922" w:rsidRPr="00AE3A49" w:rsidRDefault="009D1922" w:rsidP="00AE3A49">
      <w:pPr>
        <w:numPr>
          <w:ilvl w:val="0"/>
          <w:numId w:val="7"/>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Model Selection:</w:t>
      </w:r>
      <w:r w:rsidRPr="00AE3A49">
        <w:rPr>
          <w:rFonts w:ascii="Times New Roman" w:eastAsia="Times New Roman" w:hAnsi="Times New Roman" w:cs="Times New Roman"/>
          <w:sz w:val="24"/>
          <w:szCs w:val="24"/>
        </w:rPr>
        <w:t xml:space="preserve"> Start with </w:t>
      </w:r>
      <w:r w:rsidRPr="00AE3A49">
        <w:rPr>
          <w:rFonts w:ascii="Times New Roman" w:eastAsia="Times New Roman" w:hAnsi="Times New Roman" w:cs="Times New Roman"/>
          <w:bCs/>
          <w:sz w:val="24"/>
          <w:szCs w:val="24"/>
        </w:rPr>
        <w:t>SVR (RBF kernel)</w:t>
      </w:r>
      <w:r w:rsidRPr="00AE3A49">
        <w:rPr>
          <w:rFonts w:ascii="Times New Roman" w:eastAsia="Times New Roman" w:hAnsi="Times New Roman" w:cs="Times New Roman"/>
          <w:sz w:val="24"/>
          <w:szCs w:val="24"/>
        </w:rPr>
        <w:t xml:space="preserve"> for regression to VSI/VSM (primary MSE objective); compare to Elastic Net.</w:t>
      </w:r>
    </w:p>
    <w:p w14:paraId="58E1AE5E" w14:textId="77777777" w:rsidR="009D1922" w:rsidRPr="00AE3A49" w:rsidRDefault="009D1922" w:rsidP="00AE3A49">
      <w:pPr>
        <w:numPr>
          <w:ilvl w:val="0"/>
          <w:numId w:val="7"/>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SRM via Regularization:</w:t>
      </w:r>
      <w:r w:rsidRPr="00AE3A49">
        <w:rPr>
          <w:rFonts w:ascii="Times New Roman" w:eastAsia="Times New Roman" w:hAnsi="Times New Roman" w:cs="Times New Roman"/>
          <w:sz w:val="24"/>
          <w:szCs w:val="24"/>
        </w:rPr>
        <w:t xml:space="preserve"> Tune </w:t>
      </w:r>
      <m:oMath>
        <m:r>
          <w:rPr>
            <w:rFonts w:ascii="Cambria Math" w:eastAsia="Times New Roman" w:hAnsi="Cambria Math" w:cs="Times New Roman"/>
            <w:sz w:val="24"/>
            <w:szCs w:val="24"/>
          </w:rPr>
          <m:t>C/γ</m:t>
        </m:r>
      </m:oMath>
      <w:r w:rsidRPr="00AE3A49">
        <w:rPr>
          <w:rFonts w:ascii="Times New Roman" w:eastAsia="Times New Roman" w:hAnsi="Times New Roman" w:cs="Times New Roman"/>
          <w:sz w:val="24"/>
          <w:szCs w:val="24"/>
        </w:rPr>
        <w:t xml:space="preserve"> (SVM/SVR) or </w:t>
      </w:r>
      <m:oMath>
        <m:r>
          <w:rPr>
            <w:rFonts w:ascii="Cambria Math" w:eastAsia="Times New Roman" w:hAnsi="Cambria Math" w:cs="Times New Roman"/>
            <w:sz w:val="24"/>
            <w:szCs w:val="24"/>
          </w:rPr>
          <m:t xml:space="preserve">λ </m:t>
        </m:r>
      </m:oMath>
      <w:r w:rsidRPr="00AE3A49">
        <w:rPr>
          <w:rFonts w:ascii="Times New Roman" w:eastAsia="Times New Roman" w:hAnsi="Times New Roman" w:cs="Times New Roman"/>
          <w:sz w:val="24"/>
          <w:szCs w:val="24"/>
        </w:rPr>
        <w:t>(ridge/elastic net) using time-blocked validation; prevent overfitting.</w:t>
      </w:r>
    </w:p>
    <w:p w14:paraId="64EB2BE8" w14:textId="77777777" w:rsidR="009D1922" w:rsidRPr="00AE3A49" w:rsidRDefault="009D1922" w:rsidP="00AE3A49">
      <w:pPr>
        <w:numPr>
          <w:ilvl w:val="0"/>
          <w:numId w:val="7"/>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Imbalance Mitigation:</w:t>
      </w:r>
      <w:r w:rsidRPr="00AE3A49">
        <w:rPr>
          <w:rFonts w:ascii="Times New Roman" w:eastAsia="Times New Roman" w:hAnsi="Times New Roman" w:cs="Times New Roman"/>
          <w:sz w:val="24"/>
          <w:szCs w:val="24"/>
        </w:rPr>
        <w:t xml:space="preserve"> Weighted losses or stratified sampling if “near-collapse” is rare.</w:t>
      </w:r>
    </w:p>
    <w:p w14:paraId="2D00425E" w14:textId="77777777" w:rsidR="009D1922" w:rsidRPr="00AE3A49" w:rsidRDefault="009D1922" w:rsidP="00AE3A49">
      <w:pPr>
        <w:numPr>
          <w:ilvl w:val="0"/>
          <w:numId w:val="7"/>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Uncertainty &amp; Thresholding:</w:t>
      </w:r>
      <w:r w:rsidRPr="00AE3A49">
        <w:rPr>
          <w:rFonts w:ascii="Times New Roman" w:eastAsia="Times New Roman" w:hAnsi="Times New Roman" w:cs="Times New Roman"/>
          <w:sz w:val="24"/>
          <w:szCs w:val="24"/>
        </w:rPr>
        <w:t xml:space="preserve"> Convert continuous predictions into </w:t>
      </w:r>
      <w:r w:rsidRPr="00AE3A49">
        <w:rPr>
          <w:rFonts w:ascii="Times New Roman" w:eastAsia="Times New Roman" w:hAnsi="Times New Roman" w:cs="Times New Roman"/>
          <w:iCs/>
          <w:sz w:val="24"/>
          <w:szCs w:val="24"/>
        </w:rPr>
        <w:t>warning/risk</w:t>
      </w:r>
      <w:r w:rsidRPr="00AE3A49">
        <w:rPr>
          <w:rFonts w:ascii="Times New Roman" w:eastAsia="Times New Roman" w:hAnsi="Times New Roman" w:cs="Times New Roman"/>
          <w:sz w:val="24"/>
          <w:szCs w:val="24"/>
        </w:rPr>
        <w:t xml:space="preserve"> alarms with thresholds from validation; optionally apply conformal prediction for coverage guarantees.</w:t>
      </w:r>
    </w:p>
    <w:p w14:paraId="7DFED6E1" w14:textId="77777777" w:rsidR="009D1922" w:rsidRPr="00AE3A49" w:rsidRDefault="009D1922" w:rsidP="00AE3A49">
      <w:pPr>
        <w:numPr>
          <w:ilvl w:val="0"/>
          <w:numId w:val="7"/>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Interpretability:</w:t>
      </w:r>
      <w:r w:rsidRPr="00AE3A49">
        <w:rPr>
          <w:rFonts w:ascii="Times New Roman" w:eastAsia="Times New Roman" w:hAnsi="Times New Roman" w:cs="Times New Roman"/>
          <w:sz w:val="24"/>
          <w:szCs w:val="24"/>
        </w:rPr>
        <w:t xml:space="preserve"> Sensitivity analysis, feature importance (kernel-SHAP compatible), and operator-friendly summaries.</w:t>
      </w:r>
    </w:p>
    <w:p w14:paraId="34866190" w14:textId="77777777" w:rsidR="009D1922" w:rsidRPr="00AE3A49" w:rsidRDefault="009D1922" w:rsidP="00AE3A49">
      <w:pPr>
        <w:numPr>
          <w:ilvl w:val="0"/>
          <w:numId w:val="7"/>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Deployment (Offline Ops):</w:t>
      </w:r>
      <w:r w:rsidRPr="00AE3A49">
        <w:rPr>
          <w:rFonts w:ascii="Times New Roman" w:eastAsia="Times New Roman" w:hAnsi="Times New Roman" w:cs="Times New Roman"/>
          <w:sz w:val="24"/>
          <w:szCs w:val="24"/>
        </w:rPr>
        <w:t xml:space="preserve"> Daily/weekly runs producing stability dashboards and alarm thresholds for operator planning.</w:t>
      </w:r>
    </w:p>
    <w:p w14:paraId="617B71B4" w14:textId="1EF12E1E" w:rsidR="009D1922" w:rsidRPr="00CE7AAD" w:rsidRDefault="009D1922" w:rsidP="00AE3A49">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AE3A49">
        <w:rPr>
          <w:rFonts w:ascii="Times New Roman" w:eastAsia="Times New Roman" w:hAnsi="Times New Roman" w:cs="Times New Roman"/>
          <w:bCs/>
          <w:sz w:val="24"/>
          <w:szCs w:val="24"/>
        </w:rPr>
        <w:t>IX</w:t>
      </w:r>
      <w:r w:rsidR="00DE4D58">
        <w:rPr>
          <w:rFonts w:ascii="Times New Roman" w:eastAsia="Times New Roman" w:hAnsi="Times New Roman" w:cs="Times New Roman"/>
          <w:bCs/>
          <w:sz w:val="24"/>
          <w:szCs w:val="24"/>
        </w:rPr>
        <w:t xml:space="preserve"> </w:t>
      </w:r>
      <w:r w:rsidRPr="00CE7AAD">
        <w:rPr>
          <w:rFonts w:ascii="Times New Roman" w:eastAsia="Times New Roman" w:hAnsi="Times New Roman" w:cs="Times New Roman"/>
          <w:b/>
          <w:bCs/>
          <w:sz w:val="24"/>
          <w:szCs w:val="24"/>
        </w:rPr>
        <w:t>Advantages of an SLT-First Approach</w:t>
      </w:r>
    </w:p>
    <w:p w14:paraId="57C6040B" w14:textId="77777777" w:rsidR="009D1922" w:rsidRPr="00AE3A49" w:rsidRDefault="009D1922" w:rsidP="00AE3A49">
      <w:pPr>
        <w:numPr>
          <w:ilvl w:val="0"/>
          <w:numId w:val="8"/>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Principled Generalization:</w:t>
      </w:r>
      <w:r w:rsidRPr="00AE3A49">
        <w:rPr>
          <w:rFonts w:ascii="Times New Roman" w:eastAsia="Times New Roman" w:hAnsi="Times New Roman" w:cs="Times New Roman"/>
          <w:sz w:val="24"/>
          <w:szCs w:val="24"/>
        </w:rPr>
        <w:t xml:space="preserve"> Capacity control and margin theory reduce overfitting on small, noisy datasets.</w:t>
      </w:r>
    </w:p>
    <w:p w14:paraId="62960B49" w14:textId="77777777" w:rsidR="009D1922" w:rsidRPr="00AE3A49" w:rsidRDefault="009D1922" w:rsidP="00AE3A49">
      <w:pPr>
        <w:numPr>
          <w:ilvl w:val="0"/>
          <w:numId w:val="8"/>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Data Efficiency:</w:t>
      </w:r>
      <w:r w:rsidRPr="00AE3A49">
        <w:rPr>
          <w:rFonts w:ascii="Times New Roman" w:eastAsia="Times New Roman" w:hAnsi="Times New Roman" w:cs="Times New Roman"/>
          <w:sz w:val="24"/>
          <w:szCs w:val="24"/>
        </w:rPr>
        <w:t xml:space="preserve"> Strong performance without massive labeled data; </w:t>
      </w:r>
      <w:r w:rsidR="00DE09BA">
        <w:rPr>
          <w:rFonts w:ascii="Times New Roman" w:eastAsia="Times New Roman" w:hAnsi="Times New Roman" w:cs="Times New Roman"/>
          <w:sz w:val="24"/>
          <w:szCs w:val="24"/>
        </w:rPr>
        <w:t>well-suited</w:t>
      </w:r>
      <w:r w:rsidRPr="00AE3A49">
        <w:rPr>
          <w:rFonts w:ascii="Times New Roman" w:eastAsia="Times New Roman" w:hAnsi="Times New Roman" w:cs="Times New Roman"/>
          <w:sz w:val="24"/>
          <w:szCs w:val="24"/>
        </w:rPr>
        <w:t xml:space="preserve"> to under-instrumented grids.</w:t>
      </w:r>
    </w:p>
    <w:p w14:paraId="313BE1F0" w14:textId="77777777" w:rsidR="009D1922" w:rsidRPr="00AE3A49" w:rsidRDefault="009D1922" w:rsidP="00AE3A49">
      <w:pPr>
        <w:numPr>
          <w:ilvl w:val="0"/>
          <w:numId w:val="8"/>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Interpretability &amp; Governance:</w:t>
      </w:r>
      <w:r w:rsidRPr="00AE3A49">
        <w:rPr>
          <w:rFonts w:ascii="Times New Roman" w:eastAsia="Times New Roman" w:hAnsi="Times New Roman" w:cs="Times New Roman"/>
          <w:sz w:val="24"/>
          <w:szCs w:val="24"/>
        </w:rPr>
        <w:t xml:space="preserve"> Clear regularization paths, traceable </w:t>
      </w:r>
      <w:r w:rsidR="00DE09BA">
        <w:rPr>
          <w:rFonts w:ascii="Times New Roman" w:eastAsia="Times New Roman" w:hAnsi="Times New Roman" w:cs="Times New Roman"/>
          <w:sz w:val="24"/>
          <w:szCs w:val="24"/>
        </w:rPr>
        <w:t>hyperparameters</w:t>
      </w:r>
      <w:r w:rsidRPr="00AE3A49">
        <w:rPr>
          <w:rFonts w:ascii="Times New Roman" w:eastAsia="Times New Roman" w:hAnsi="Times New Roman" w:cs="Times New Roman"/>
          <w:sz w:val="24"/>
          <w:szCs w:val="24"/>
        </w:rPr>
        <w:t>, and defensible validation aligned with engineering practice.</w:t>
      </w:r>
    </w:p>
    <w:p w14:paraId="615775AC" w14:textId="77777777" w:rsidR="009D1922" w:rsidRPr="00AE3A49" w:rsidRDefault="009D1922" w:rsidP="00AE3A49">
      <w:pPr>
        <w:numPr>
          <w:ilvl w:val="0"/>
          <w:numId w:val="8"/>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Compatibility:</w:t>
      </w:r>
      <w:r w:rsidRPr="00AE3A49">
        <w:rPr>
          <w:rFonts w:ascii="Times New Roman" w:eastAsia="Times New Roman" w:hAnsi="Times New Roman" w:cs="Times New Roman"/>
          <w:sz w:val="24"/>
          <w:szCs w:val="24"/>
        </w:rPr>
        <w:t xml:space="preserve"> SLT models integrate cleanly with synthetic augmentation (e.g., GAN data) while maintaining theoretical guardrails.</w:t>
      </w:r>
    </w:p>
    <w:p w14:paraId="0242CCE9" w14:textId="2BB769ED" w:rsidR="009D1922" w:rsidRPr="00CE7AAD" w:rsidRDefault="009D1922" w:rsidP="00AE3A49">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AE3A49">
        <w:rPr>
          <w:rFonts w:ascii="Times New Roman" w:eastAsia="Times New Roman" w:hAnsi="Times New Roman" w:cs="Times New Roman"/>
          <w:bCs/>
          <w:sz w:val="24"/>
          <w:szCs w:val="24"/>
        </w:rPr>
        <w:t>X</w:t>
      </w:r>
      <w:r w:rsidR="00DE4D58">
        <w:rPr>
          <w:rFonts w:ascii="Times New Roman" w:eastAsia="Times New Roman" w:hAnsi="Times New Roman" w:cs="Times New Roman"/>
          <w:bCs/>
          <w:sz w:val="24"/>
          <w:szCs w:val="24"/>
        </w:rPr>
        <w:t xml:space="preserve"> </w:t>
      </w:r>
      <w:r w:rsidRPr="00AE3A49">
        <w:rPr>
          <w:rFonts w:ascii="Times New Roman" w:eastAsia="Times New Roman" w:hAnsi="Times New Roman" w:cs="Times New Roman"/>
          <w:bCs/>
          <w:sz w:val="24"/>
          <w:szCs w:val="24"/>
        </w:rPr>
        <w:t xml:space="preserve"> </w:t>
      </w:r>
      <w:r w:rsidRPr="00CE7AAD">
        <w:rPr>
          <w:rFonts w:ascii="Times New Roman" w:eastAsia="Times New Roman" w:hAnsi="Times New Roman" w:cs="Times New Roman"/>
          <w:b/>
          <w:bCs/>
          <w:sz w:val="24"/>
          <w:szCs w:val="24"/>
        </w:rPr>
        <w:t>Open Challenges and Research Gaps</w:t>
      </w:r>
    </w:p>
    <w:p w14:paraId="57BBA7D6" w14:textId="77777777" w:rsidR="009D1922" w:rsidRPr="00AE3A49" w:rsidRDefault="009D1922" w:rsidP="00AE3A49">
      <w:pPr>
        <w:numPr>
          <w:ilvl w:val="0"/>
          <w:numId w:val="9"/>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Label Quality:</w:t>
      </w:r>
      <w:r w:rsidRPr="00AE3A49">
        <w:rPr>
          <w:rFonts w:ascii="Times New Roman" w:eastAsia="Times New Roman" w:hAnsi="Times New Roman" w:cs="Times New Roman"/>
          <w:sz w:val="24"/>
          <w:szCs w:val="24"/>
        </w:rPr>
        <w:t xml:space="preserve"> Ground-truth stability</w:t>
      </w:r>
      <w:r w:rsidR="00DE09BA">
        <w:rPr>
          <w:rFonts w:ascii="Times New Roman" w:eastAsia="Times New Roman" w:hAnsi="Times New Roman" w:cs="Times New Roman"/>
          <w:sz w:val="24"/>
          <w:szCs w:val="24"/>
        </w:rPr>
        <w:t>.</w:t>
      </w:r>
      <w:r w:rsidRPr="00AE3A49">
        <w:rPr>
          <w:rFonts w:ascii="Times New Roman" w:eastAsia="Times New Roman" w:hAnsi="Times New Roman" w:cs="Times New Roman"/>
          <w:sz w:val="24"/>
          <w:szCs w:val="24"/>
        </w:rPr>
        <w:t xml:space="preserve"> </w:t>
      </w:r>
      <w:r w:rsidR="002276EA">
        <w:rPr>
          <w:rFonts w:ascii="Times New Roman" w:eastAsia="Times New Roman" w:hAnsi="Times New Roman" w:cs="Times New Roman"/>
          <w:sz w:val="24"/>
          <w:szCs w:val="24"/>
        </w:rPr>
        <w:t>Labels can be noisy or delayed</w:t>
      </w:r>
      <w:r w:rsidR="00DE09BA">
        <w:rPr>
          <w:rFonts w:ascii="Times New Roman" w:eastAsia="Times New Roman" w:hAnsi="Times New Roman" w:cs="Times New Roman"/>
          <w:sz w:val="24"/>
          <w:szCs w:val="24"/>
        </w:rPr>
        <w:t>. Semi-supervised</w:t>
      </w:r>
      <w:r w:rsidRPr="00AE3A49">
        <w:rPr>
          <w:rFonts w:ascii="Times New Roman" w:eastAsia="Times New Roman" w:hAnsi="Times New Roman" w:cs="Times New Roman"/>
          <w:sz w:val="24"/>
          <w:szCs w:val="24"/>
        </w:rPr>
        <w:t xml:space="preserve"> or weak-supervision methods merit exploration.</w:t>
      </w:r>
    </w:p>
    <w:p w14:paraId="5522A87E" w14:textId="77777777" w:rsidR="009D1922" w:rsidRPr="00AE3A49" w:rsidRDefault="009D1922" w:rsidP="00AE3A49">
      <w:pPr>
        <w:numPr>
          <w:ilvl w:val="0"/>
          <w:numId w:val="9"/>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Topology Dynamics:</w:t>
      </w:r>
      <w:r w:rsidRPr="00AE3A49">
        <w:rPr>
          <w:rFonts w:ascii="Times New Roman" w:eastAsia="Times New Roman" w:hAnsi="Times New Roman" w:cs="Times New Roman"/>
          <w:sz w:val="24"/>
          <w:szCs w:val="24"/>
        </w:rPr>
        <w:t xml:space="preserve"> Frequent switching alters effective features; graph-aware kernels or topology-conditioned models are promising.</w:t>
      </w:r>
    </w:p>
    <w:p w14:paraId="2DA6BBE5" w14:textId="77777777" w:rsidR="009D1922" w:rsidRPr="00AE3A49" w:rsidRDefault="002276EA" w:rsidP="00AE3A49">
      <w:pPr>
        <w:numPr>
          <w:ilvl w:val="0"/>
          <w:numId w:val="9"/>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Rare Extremes: Extreme events are still under-represented; add cautiously while ensuring distributional accuracy.</w:t>
      </w:r>
    </w:p>
    <w:p w14:paraId="70831D06" w14:textId="77777777" w:rsidR="009D1922" w:rsidRPr="00AE3A49" w:rsidRDefault="009D1922" w:rsidP="00AE3A49">
      <w:pPr>
        <w:numPr>
          <w:ilvl w:val="0"/>
          <w:numId w:val="9"/>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Causality vs. Correlation:</w:t>
      </w:r>
      <w:r w:rsidRPr="00AE3A49">
        <w:rPr>
          <w:rFonts w:ascii="Times New Roman" w:eastAsia="Times New Roman" w:hAnsi="Times New Roman" w:cs="Times New Roman"/>
          <w:sz w:val="24"/>
          <w:szCs w:val="24"/>
        </w:rPr>
        <w:t xml:space="preserve"> SLT optimizes prediction risk, not causal effect; combine with physics-based checks to avoid spurious signals.</w:t>
      </w:r>
    </w:p>
    <w:p w14:paraId="70FD7167" w14:textId="77777777" w:rsidR="009D1922" w:rsidRPr="00AE3A49" w:rsidRDefault="009D1922" w:rsidP="00AE3A49">
      <w:pPr>
        <w:numPr>
          <w:ilvl w:val="0"/>
          <w:numId w:val="9"/>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Scalability to Wider Grid:</w:t>
      </w:r>
      <w:r w:rsidRPr="00AE3A49">
        <w:rPr>
          <w:rFonts w:ascii="Times New Roman" w:eastAsia="Times New Roman" w:hAnsi="Times New Roman" w:cs="Times New Roman"/>
          <w:sz w:val="24"/>
          <w:szCs w:val="24"/>
        </w:rPr>
        <w:t xml:space="preserve"> Extend from Birnin Kebbi to neighboring corridors; manage domain shift across substations and seasons.</w:t>
      </w:r>
    </w:p>
    <w:p w14:paraId="4D9D45AF" w14:textId="3953E2AD" w:rsidR="009D1922" w:rsidRPr="00CE7AAD" w:rsidRDefault="009D1922" w:rsidP="00AE3A49">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AE3A49">
        <w:rPr>
          <w:rFonts w:ascii="Times New Roman" w:eastAsia="Times New Roman" w:hAnsi="Times New Roman" w:cs="Times New Roman"/>
          <w:bCs/>
          <w:sz w:val="24"/>
          <w:szCs w:val="24"/>
        </w:rPr>
        <w:t>XI</w:t>
      </w:r>
      <w:r w:rsidR="00DE4D58">
        <w:rPr>
          <w:rFonts w:ascii="Times New Roman" w:eastAsia="Times New Roman" w:hAnsi="Times New Roman" w:cs="Times New Roman"/>
          <w:bCs/>
          <w:sz w:val="24"/>
          <w:szCs w:val="24"/>
        </w:rPr>
        <w:t xml:space="preserve"> </w:t>
      </w:r>
      <w:r w:rsidR="00DE09BA">
        <w:rPr>
          <w:rFonts w:ascii="Times New Roman" w:eastAsia="Times New Roman" w:hAnsi="Times New Roman" w:cs="Times New Roman"/>
          <w:b/>
          <w:bCs/>
          <w:sz w:val="24"/>
          <w:szCs w:val="24"/>
        </w:rPr>
        <w:t>Future Work Roadmap</w:t>
      </w:r>
    </w:p>
    <w:p w14:paraId="258721A5" w14:textId="77777777" w:rsidR="009D1922" w:rsidRPr="00AE3A49" w:rsidRDefault="009D1922" w:rsidP="00AE3A49">
      <w:pPr>
        <w:numPr>
          <w:ilvl w:val="0"/>
          <w:numId w:val="10"/>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Graph-Enhanced SLT:</w:t>
      </w:r>
      <w:r w:rsidRPr="00AE3A49">
        <w:rPr>
          <w:rFonts w:ascii="Times New Roman" w:eastAsia="Times New Roman" w:hAnsi="Times New Roman" w:cs="Times New Roman"/>
          <w:sz w:val="24"/>
          <w:szCs w:val="24"/>
        </w:rPr>
        <w:t xml:space="preserve"> Kernel methods over electrical distances or Laplacian features to encode network physics.</w:t>
      </w:r>
    </w:p>
    <w:p w14:paraId="4C226CF7" w14:textId="77777777" w:rsidR="009D1922" w:rsidRPr="00AE3A49" w:rsidRDefault="009D1922" w:rsidP="00AE3A49">
      <w:pPr>
        <w:numPr>
          <w:ilvl w:val="0"/>
          <w:numId w:val="10"/>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lastRenderedPageBreak/>
        <w:t>Conformal Risk Control:</w:t>
      </w:r>
      <w:r w:rsidRPr="00AE3A49">
        <w:rPr>
          <w:rFonts w:ascii="Times New Roman" w:eastAsia="Times New Roman" w:hAnsi="Times New Roman" w:cs="Times New Roman"/>
          <w:sz w:val="24"/>
          <w:szCs w:val="24"/>
        </w:rPr>
        <w:t xml:space="preserve"> Distribution-free uncertainty sets for alarm thresholds with finite-sample guarantees.</w:t>
      </w:r>
    </w:p>
    <w:p w14:paraId="5FBB1825" w14:textId="77777777" w:rsidR="009D1922" w:rsidRPr="00AE3A49" w:rsidRDefault="00DE09BA" w:rsidP="00AE3A49">
      <w:pPr>
        <w:numPr>
          <w:ilvl w:val="0"/>
          <w:numId w:val="10"/>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Hybrid (Physics + SLT): Physics-inspired features (Q–V/V–P sensitivities) feeding into SRM-controlled learners.</w:t>
      </w:r>
    </w:p>
    <w:p w14:paraId="279A2A2B" w14:textId="77777777" w:rsidR="009D1922" w:rsidRPr="00AE3A49" w:rsidRDefault="009D1922" w:rsidP="00AE3A49">
      <w:pPr>
        <w:numPr>
          <w:ilvl w:val="0"/>
          <w:numId w:val="10"/>
        </w:numPr>
        <w:spacing w:before="100" w:beforeAutospacing="1" w:after="100" w:afterAutospacing="1" w:line="240" w:lineRule="auto"/>
        <w:jc w:val="both"/>
        <w:rPr>
          <w:rFonts w:ascii="Times New Roman" w:eastAsia="Times New Roman" w:hAnsi="Times New Roman" w:cs="Times New Roman"/>
          <w:sz w:val="24"/>
          <w:szCs w:val="24"/>
        </w:rPr>
      </w:pPr>
      <w:r w:rsidRPr="00AE3A49">
        <w:rPr>
          <w:rFonts w:ascii="Times New Roman" w:eastAsia="Times New Roman" w:hAnsi="Times New Roman" w:cs="Times New Roman"/>
          <w:bCs/>
          <w:sz w:val="24"/>
          <w:szCs w:val="24"/>
        </w:rPr>
        <w:t>Robust Validation:</w:t>
      </w:r>
      <w:r w:rsidRPr="00AE3A49">
        <w:rPr>
          <w:rFonts w:ascii="Times New Roman" w:eastAsia="Times New Roman" w:hAnsi="Times New Roman" w:cs="Times New Roman"/>
          <w:sz w:val="24"/>
          <w:szCs w:val="24"/>
        </w:rPr>
        <w:t xml:space="preserve"> Time-blocked, seasonally stratified protocols; out-of-year testing to ensure genuine generalization.</w:t>
      </w:r>
    </w:p>
    <w:p w14:paraId="60508E95" w14:textId="77777777" w:rsidR="009D1922" w:rsidRPr="00AE3A49" w:rsidRDefault="00DE09BA" w:rsidP="00AE3A49">
      <w:pPr>
        <w:numPr>
          <w:ilvl w:val="0"/>
          <w:numId w:val="10"/>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Operator-Centric Outputs: Adjusting thresholds for cost-sensitive alarms (false positives versus missed events) and straightforward scorecards.</w:t>
      </w:r>
    </w:p>
    <w:p w14:paraId="3CADF0E2" w14:textId="27F5CFDD" w:rsidR="001821C7" w:rsidRPr="00CE7AAD" w:rsidRDefault="009D1922" w:rsidP="00AE3A49">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AE3A49">
        <w:rPr>
          <w:rFonts w:ascii="Times New Roman" w:eastAsia="Times New Roman" w:hAnsi="Times New Roman" w:cs="Times New Roman"/>
          <w:bCs/>
          <w:sz w:val="24"/>
          <w:szCs w:val="24"/>
        </w:rPr>
        <w:t>XII</w:t>
      </w:r>
      <w:r w:rsidR="00DE4D58">
        <w:rPr>
          <w:rFonts w:ascii="Times New Roman" w:eastAsia="Times New Roman" w:hAnsi="Times New Roman" w:cs="Times New Roman"/>
          <w:bCs/>
          <w:sz w:val="24"/>
          <w:szCs w:val="24"/>
        </w:rPr>
        <w:t xml:space="preserve"> </w:t>
      </w:r>
      <w:r w:rsidRPr="00CE7AAD">
        <w:rPr>
          <w:rFonts w:ascii="Times New Roman" w:eastAsia="Times New Roman" w:hAnsi="Times New Roman" w:cs="Times New Roman"/>
          <w:b/>
          <w:bCs/>
          <w:sz w:val="24"/>
          <w:szCs w:val="24"/>
        </w:rPr>
        <w:t>Conclusion</w:t>
      </w:r>
    </w:p>
    <w:p w14:paraId="77FEE1F1" w14:textId="77777777" w:rsidR="001821C7" w:rsidRPr="00AE3A49" w:rsidRDefault="00DE09BA" w:rsidP="00AE3A49">
      <w:pPr>
        <w:spacing w:before="100" w:beforeAutospacing="1" w:after="100" w:afterAutospacing="1" w:line="240" w:lineRule="auto"/>
        <w:jc w:val="both"/>
        <w:outlineLvl w:val="1"/>
        <w:rPr>
          <w:rFonts w:ascii="Times New Roman" w:eastAsia="Times New Roman" w:hAnsi="Times New Roman" w:cs="Times New Roman"/>
          <w:bCs/>
          <w:sz w:val="24"/>
          <w:szCs w:val="24"/>
        </w:rPr>
      </w:pPr>
      <w:r>
        <w:rPr>
          <w:rFonts w:ascii="Times New Roman" w:eastAsia="Times New Roman" w:hAnsi="Times New Roman" w:cs="Times New Roman"/>
          <w:sz w:val="24"/>
          <w:szCs w:val="24"/>
        </w:rPr>
        <w:t xml:space="preserve">The Birnin Kebbi 330 kV transmission network benefits from Statistical Learning Theory (SLT), which offers a reliable, data-efficient basis for improving offline voltage stability analysis. By deliberately aligning model selection, feature creation, and validation processes with SLT principles, utilities can better manage model complexity, reduce overfitting, and enhance interpretability—particularly when data is scarce or noisy. Employing Mean Squared Error (MSE) as the main metric for regression emphasizes accuracy in margin prediction models. Additionally, regularization methods such as </w:t>
      </w:r>
      <w:r>
        <w:rPr>
          <w:rFonts w:ascii="Cambria Math" w:eastAsia="Times New Roman" w:hAnsi="Cambria Math" w:cs="Cambria Math"/>
          <w:sz w:val="24"/>
          <w:szCs w:val="24"/>
        </w:rPr>
        <w:t>𝐿</w:t>
      </w:r>
      <w:r>
        <w:rPr>
          <w:rFonts w:ascii="Times New Roman" w:eastAsia="Times New Roman" w:hAnsi="Times New Roman" w:cs="Times New Roman"/>
          <w:sz w:val="24"/>
          <w:szCs w:val="24"/>
        </w:rPr>
        <w:t>1/</w:t>
      </w:r>
      <w:r>
        <w:rPr>
          <w:rFonts w:ascii="Cambria Math" w:eastAsia="Times New Roman" w:hAnsi="Cambria Math" w:cs="Cambria Math"/>
          <w:sz w:val="24"/>
          <w:szCs w:val="24"/>
        </w:rPr>
        <w:t>𝐿</w:t>
      </w:r>
      <w:r>
        <w:rPr>
          <w:rFonts w:ascii="Times New Roman" w:eastAsia="Times New Roman" w:hAnsi="Times New Roman" w:cs="Times New Roman"/>
          <w:sz w:val="24"/>
          <w:szCs w:val="24"/>
        </w:rPr>
        <w:t>2 penalties, early stopping, and complexity control help preserve performance during actual operations. This careful approach ensures stability predictors stay clear and trustworthy for engineers and operational decision-making.</w:t>
      </w:r>
    </w:p>
    <w:p w14:paraId="082EE493" w14:textId="77777777" w:rsidR="003A3E1A" w:rsidRPr="00AE3A49" w:rsidRDefault="00DE09BA" w:rsidP="00AE3A49">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combined with topology-aware features, scenario-driven data augmentation, and physics-consistent model constraints, SLT-based methods can extend beyond controlled test environments to handle the complex, evolving conditions of under-instrumented grids. This integration not only ensures accurate margin estimation but also provides robust early-warning capabilities, giving operators sufficient lead time to take corrective actions. This blend of theoretical rigor and practical flexibility makes SLT-driven voltage stability monitoring a feasible approach toward resilient, proactive, and explainable stability management in the Birnin Kebbi corridor, bridging the gap between academic model design and reliable field deployment.</w:t>
      </w:r>
    </w:p>
    <w:p w14:paraId="0A037EFF" w14:textId="77777777" w:rsidR="006A3801" w:rsidRPr="00CE7AAD" w:rsidRDefault="006A3801" w:rsidP="00AE3A49">
      <w:pPr>
        <w:widowControl w:val="0"/>
        <w:autoSpaceDE w:val="0"/>
        <w:autoSpaceDN w:val="0"/>
        <w:adjustRightInd w:val="0"/>
        <w:spacing w:line="240" w:lineRule="auto"/>
        <w:ind w:left="640" w:hanging="640"/>
        <w:jc w:val="both"/>
        <w:rPr>
          <w:rFonts w:ascii="Times New Roman" w:hAnsi="Times New Roman" w:cs="Times New Roman"/>
          <w:b/>
          <w:sz w:val="24"/>
          <w:szCs w:val="24"/>
        </w:rPr>
      </w:pPr>
      <w:r w:rsidRPr="00CE7AAD">
        <w:rPr>
          <w:rFonts w:ascii="Times New Roman" w:hAnsi="Times New Roman" w:cs="Times New Roman"/>
          <w:b/>
          <w:sz w:val="24"/>
          <w:szCs w:val="24"/>
        </w:rPr>
        <w:t>References</w:t>
      </w:r>
    </w:p>
    <w:p w14:paraId="432BBAD4" w14:textId="77777777" w:rsidR="009E30D6" w:rsidRPr="00AE3A49" w:rsidRDefault="006A3801"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sz w:val="24"/>
          <w:szCs w:val="24"/>
        </w:rPr>
        <w:fldChar w:fldCharType="begin" w:fldLock="1"/>
      </w:r>
      <w:r w:rsidRPr="00AE3A49">
        <w:rPr>
          <w:rFonts w:ascii="Times New Roman" w:hAnsi="Times New Roman" w:cs="Times New Roman"/>
          <w:sz w:val="24"/>
          <w:szCs w:val="24"/>
        </w:rPr>
        <w:instrText xml:space="preserve">ADDIN Mendeley Bibliography CSL_BIBLIOGRAPHY </w:instrText>
      </w:r>
      <w:r w:rsidRPr="00AE3A49">
        <w:rPr>
          <w:rFonts w:ascii="Times New Roman" w:hAnsi="Times New Roman" w:cs="Times New Roman"/>
          <w:sz w:val="24"/>
          <w:szCs w:val="24"/>
        </w:rPr>
        <w:fldChar w:fldCharType="separate"/>
      </w:r>
      <w:r w:rsidR="009E30D6" w:rsidRPr="00AE3A49">
        <w:rPr>
          <w:rFonts w:ascii="Times New Roman" w:hAnsi="Times New Roman" w:cs="Times New Roman"/>
          <w:noProof/>
          <w:sz w:val="24"/>
          <w:szCs w:val="24"/>
        </w:rPr>
        <w:t>[1]</w:t>
      </w:r>
      <w:r w:rsidR="009E30D6" w:rsidRPr="00AE3A49">
        <w:rPr>
          <w:rFonts w:ascii="Times New Roman" w:hAnsi="Times New Roman" w:cs="Times New Roman"/>
          <w:noProof/>
          <w:sz w:val="24"/>
          <w:szCs w:val="24"/>
        </w:rPr>
        <w:tab/>
        <w:t xml:space="preserve">S. R. Fahim </w:t>
      </w:r>
      <w:r w:rsidR="009E30D6" w:rsidRPr="00AE3A49">
        <w:rPr>
          <w:rFonts w:ascii="Times New Roman" w:hAnsi="Times New Roman" w:cs="Times New Roman"/>
          <w:i/>
          <w:iCs/>
          <w:noProof/>
          <w:sz w:val="24"/>
          <w:szCs w:val="24"/>
        </w:rPr>
        <w:t>et al.</w:t>
      </w:r>
      <w:r w:rsidR="009E30D6" w:rsidRPr="00AE3A49">
        <w:rPr>
          <w:rFonts w:ascii="Times New Roman" w:hAnsi="Times New Roman" w:cs="Times New Roman"/>
          <w:noProof/>
          <w:sz w:val="24"/>
          <w:szCs w:val="24"/>
        </w:rPr>
        <w:t xml:space="preserve">, “Graph Neural Network-Based Approach for Detecting False Data Injection Attacks on Voltage Stability,” </w:t>
      </w:r>
      <w:r w:rsidR="009E30D6" w:rsidRPr="00AE3A49">
        <w:rPr>
          <w:rFonts w:ascii="Times New Roman" w:hAnsi="Times New Roman" w:cs="Times New Roman"/>
          <w:i/>
          <w:iCs/>
          <w:noProof/>
          <w:sz w:val="24"/>
          <w:szCs w:val="24"/>
        </w:rPr>
        <w:t>IEEE Open Access J. Power Energy</w:t>
      </w:r>
      <w:r w:rsidR="009E30D6" w:rsidRPr="00AE3A49">
        <w:rPr>
          <w:rFonts w:ascii="Times New Roman" w:hAnsi="Times New Roman" w:cs="Times New Roman"/>
          <w:noProof/>
          <w:sz w:val="24"/>
          <w:szCs w:val="24"/>
        </w:rPr>
        <w:t>, vol. 12, no. November 2024, pp. 12–23, 2025, doi: 10.1109/OAJPE.2024.3524268.</w:t>
      </w:r>
    </w:p>
    <w:p w14:paraId="7FAB27B6"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[2]</w:t>
      </w:r>
      <w:r w:rsidRPr="00AE3A49">
        <w:rPr>
          <w:rFonts w:ascii="Times New Roman" w:hAnsi="Times New Roman" w:cs="Times New Roman"/>
          <w:noProof/>
          <w:sz w:val="24"/>
          <w:szCs w:val="24"/>
        </w:rPr>
        <w:tab/>
        <w:t xml:space="preserve">M. J. Abbass, R. Lis, M. Awais, and T. X. Nguyen, “Convolutional Long Short-Term Memory (ConvLSTM)-Based Prediction of Voltage Stability in a Microgrid,” </w:t>
      </w:r>
      <w:r w:rsidRPr="00AE3A49">
        <w:rPr>
          <w:rFonts w:ascii="Times New Roman" w:hAnsi="Times New Roman" w:cs="Times New Roman"/>
          <w:i/>
          <w:iCs/>
          <w:noProof/>
          <w:sz w:val="24"/>
          <w:szCs w:val="24"/>
        </w:rPr>
        <w:t>Energies</w:t>
      </w:r>
      <w:r w:rsidRPr="00AE3A49">
        <w:rPr>
          <w:rFonts w:ascii="Times New Roman" w:hAnsi="Times New Roman" w:cs="Times New Roman"/>
          <w:noProof/>
          <w:sz w:val="24"/>
          <w:szCs w:val="24"/>
        </w:rPr>
        <w:t>, vol. 17, no. 9, 2024, doi: 10.3390/en17091999.</w:t>
      </w:r>
    </w:p>
    <w:p w14:paraId="641F6302"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[3]</w:t>
      </w:r>
      <w:r w:rsidRPr="00AE3A49">
        <w:rPr>
          <w:rFonts w:ascii="Times New Roman" w:hAnsi="Times New Roman" w:cs="Times New Roman"/>
          <w:noProof/>
          <w:sz w:val="24"/>
          <w:szCs w:val="24"/>
        </w:rPr>
        <w:tab/>
        <w:t xml:space="preserve">M. A. E. Mohamed, S. A. Ward, M. F. El-Gohary, and M. A. Mohamed, “Hybrid fuzzy logic–PI control with metaheuristic optimization for enhanced performance of high-penetration grid-connected PV systems,” </w:t>
      </w:r>
      <w:r w:rsidRPr="00AE3A49">
        <w:rPr>
          <w:rFonts w:ascii="Times New Roman" w:hAnsi="Times New Roman" w:cs="Times New Roman"/>
          <w:i/>
          <w:iCs/>
          <w:noProof/>
          <w:sz w:val="24"/>
          <w:szCs w:val="24"/>
        </w:rPr>
        <w:t>Sci. Rep.</w:t>
      </w:r>
      <w:r w:rsidRPr="00AE3A49">
        <w:rPr>
          <w:rFonts w:ascii="Times New Roman" w:hAnsi="Times New Roman" w:cs="Times New Roman"/>
          <w:noProof/>
          <w:sz w:val="24"/>
          <w:szCs w:val="24"/>
        </w:rPr>
        <w:t>, vol. 15, no. 1, pp. 1–24, 2025, doi: 10.1038/s41598-025-09336-w.</w:t>
      </w:r>
    </w:p>
    <w:p w14:paraId="2326212A"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[4]</w:t>
      </w:r>
      <w:r w:rsidRPr="00AE3A49">
        <w:rPr>
          <w:rFonts w:ascii="Times New Roman" w:hAnsi="Times New Roman" w:cs="Times New Roman"/>
          <w:noProof/>
          <w:sz w:val="24"/>
          <w:szCs w:val="24"/>
        </w:rPr>
        <w:tab/>
        <w:t xml:space="preserve">G. Dudek, P. Piotrowski, and D. Baczyński, “Intelligent Forecasting and Optimization in Electrical Power Systems: Advances in Models and Applications,” </w:t>
      </w:r>
      <w:r w:rsidRPr="00AE3A49">
        <w:rPr>
          <w:rFonts w:ascii="Times New Roman" w:hAnsi="Times New Roman" w:cs="Times New Roman"/>
          <w:i/>
          <w:iCs/>
          <w:noProof/>
          <w:sz w:val="24"/>
          <w:szCs w:val="24"/>
        </w:rPr>
        <w:t>Energies</w:t>
      </w:r>
      <w:r w:rsidRPr="00AE3A49">
        <w:rPr>
          <w:rFonts w:ascii="Times New Roman" w:hAnsi="Times New Roman" w:cs="Times New Roman"/>
          <w:noProof/>
          <w:sz w:val="24"/>
          <w:szCs w:val="24"/>
        </w:rPr>
        <w:t>, vol. 16, no. 7, pp. 1–11, 2023, doi: 10.3390/en16073024.</w:t>
      </w:r>
    </w:p>
    <w:p w14:paraId="08D30F25"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lastRenderedPageBreak/>
        <w:t>[5]</w:t>
      </w:r>
      <w:r w:rsidRPr="00AE3A49">
        <w:rPr>
          <w:rFonts w:ascii="Times New Roman" w:hAnsi="Times New Roman" w:cs="Times New Roman"/>
          <w:noProof/>
          <w:sz w:val="24"/>
          <w:szCs w:val="24"/>
        </w:rPr>
        <w:tab/>
        <w:t>U. Mohamed Khider de Biskra, H. Yacine, S. Ahmed, and N. Djemai, “</w:t>
      </w:r>
      <w:dir w:val="rtl">
        <w:r w:rsidRPr="00AE3A49">
          <w:rPr>
            <w:rFonts w:ascii="Times New Roman" w:hAnsi="Times New Roman" w:cs="Times New Roman"/>
            <w:noProof/>
            <w:sz w:val="24"/>
            <w:szCs w:val="24"/>
          </w:rPr>
          <w:t>الجمهورية</w:t>
        </w:r>
        <w:r w:rsidRPr="00AE3A49">
          <w:rPr>
            <w:rFonts w:ascii="Times New Roman" w:hAnsi="Times New Roman" w:cs="Times New Roman"/>
            <w:noProof/>
            <w:sz w:val="24"/>
            <w:szCs w:val="24"/>
          </w:rPr>
          <w:t xml:space="preserve">‬ </w:t>
        </w:r>
        <w:dir w:val="rtl">
          <w:r w:rsidRPr="00AE3A49">
            <w:rPr>
              <w:rFonts w:ascii="Times New Roman" w:hAnsi="Times New Roman" w:cs="Times New Roman"/>
              <w:noProof/>
              <w:sz w:val="24"/>
              <w:szCs w:val="24"/>
            </w:rPr>
            <w:t>الشعبية</w:t>
          </w:r>
          <w:r w:rsidRPr="00AE3A49">
            <w:rPr>
              <w:rFonts w:ascii="Times New Roman" w:hAnsi="Times New Roman" w:cs="Times New Roman"/>
              <w:noProof/>
              <w:sz w:val="24"/>
              <w:szCs w:val="24"/>
            </w:rPr>
            <w:t xml:space="preserve">‬ </w:t>
          </w:r>
          <w:dir w:val="rtl">
            <w:r w:rsidRPr="00AE3A49">
              <w:rPr>
                <w:rFonts w:ascii="Times New Roman" w:hAnsi="Times New Roman" w:cs="Times New Roman"/>
                <w:noProof/>
                <w:sz w:val="24"/>
                <w:szCs w:val="24"/>
              </w:rPr>
              <w:t>الديمقراطية</w:t>
            </w:r>
            <w:r w:rsidRPr="00AE3A49">
              <w:rPr>
                <w:rFonts w:ascii="Times New Roman" w:hAnsi="Times New Roman" w:cs="Times New Roman"/>
                <w:noProof/>
                <w:sz w:val="24"/>
                <w:szCs w:val="24"/>
              </w:rPr>
              <w:t xml:space="preserve">‬ </w:t>
            </w:r>
            <w:dir w:val="rtl">
              <w:r w:rsidRPr="00AE3A49">
                <w:rPr>
                  <w:rFonts w:ascii="Times New Roman" w:hAnsi="Times New Roman" w:cs="Times New Roman"/>
                  <w:noProof/>
                  <w:sz w:val="24"/>
                  <w:szCs w:val="24"/>
                </w:rPr>
                <w:t>الجزائرية</w:t>
              </w:r>
              <w:r w:rsidRPr="00AE3A49">
                <w:rPr>
                  <w:rFonts w:ascii="Times New Roman" w:hAnsi="Times New Roman" w:cs="Times New Roman"/>
                  <w:noProof/>
                  <w:sz w:val="24"/>
                  <w:szCs w:val="24"/>
                </w:rPr>
                <w:t xml:space="preserve">‬ République Algérienne Démocratique et Populaire </w:t>
              </w:r>
              <w:dir w:val="rtl">
                <w:r w:rsidRPr="00AE3A49">
                  <w:rPr>
                    <w:rFonts w:ascii="Times New Roman" w:hAnsi="Times New Roman" w:cs="Times New Roman"/>
                    <w:noProof/>
                    <w:sz w:val="24"/>
                    <w:szCs w:val="24"/>
                  </w:rPr>
                  <w:t>العالي</w:t>
                </w:r>
                <w:r w:rsidRPr="00AE3A49">
                  <w:rPr>
                    <w:rFonts w:ascii="Times New Roman" w:hAnsi="Times New Roman" w:cs="Times New Roman"/>
                    <w:noProof/>
                    <w:sz w:val="24"/>
                    <w:szCs w:val="24"/>
                  </w:rPr>
                  <w:t xml:space="preserve">‬ </w:t>
                </w:r>
                <w:dir w:val="rtl">
                  <w:r w:rsidRPr="00AE3A49">
                    <w:rPr>
                      <w:rFonts w:ascii="Times New Roman" w:hAnsi="Times New Roman" w:cs="Times New Roman"/>
                      <w:noProof/>
                      <w:sz w:val="24"/>
                      <w:szCs w:val="24"/>
                    </w:rPr>
                    <w:t>التعليم</w:t>
                  </w:r>
                  <w:r w:rsidRPr="00AE3A49">
                    <w:rPr>
                      <w:rFonts w:ascii="Times New Roman" w:hAnsi="Times New Roman" w:cs="Times New Roman"/>
                      <w:noProof/>
                      <w:sz w:val="24"/>
                      <w:szCs w:val="24"/>
                    </w:rPr>
                    <w:t xml:space="preserve">‬ </w:t>
                  </w:r>
                  <w:dir w:val="rtl">
                    <w:r w:rsidRPr="00AE3A49">
                      <w:rPr>
                        <w:rFonts w:ascii="Times New Roman" w:hAnsi="Times New Roman" w:cs="Times New Roman"/>
                        <w:noProof/>
                        <w:sz w:val="24"/>
                        <w:szCs w:val="24"/>
                      </w:rPr>
                      <w:t>وزارة</w:t>
                    </w:r>
                    <w:r w:rsidRPr="00AE3A49">
                      <w:rPr>
                        <w:rFonts w:ascii="Times New Roman" w:hAnsi="Times New Roman" w:cs="Times New Roman"/>
                        <w:noProof/>
                        <w:sz w:val="24"/>
                        <w:szCs w:val="24"/>
                      </w:rPr>
                      <w:t xml:space="preserve">‬ </w:t>
                    </w:r>
                    <w:dir w:val="rtl">
                      <w:r w:rsidRPr="00AE3A49">
                        <w:rPr>
                          <w:rFonts w:ascii="Times New Roman" w:hAnsi="Times New Roman" w:cs="Times New Roman"/>
                          <w:noProof/>
                          <w:sz w:val="24"/>
                          <w:szCs w:val="24"/>
                        </w:rPr>
                        <w:t>والبحث</w:t>
                      </w:r>
                      <w:r w:rsidRPr="00AE3A49">
                        <w:rPr>
                          <w:rFonts w:ascii="Times New Roman" w:hAnsi="Times New Roman" w:cs="Times New Roman"/>
                          <w:noProof/>
                          <w:sz w:val="24"/>
                          <w:szCs w:val="24"/>
                        </w:rPr>
                        <w:t xml:space="preserve">‬ </w:t>
                      </w:r>
                      <w:dir w:val="rtl">
                        <w:r w:rsidRPr="00AE3A49">
                          <w:rPr>
                            <w:rFonts w:ascii="Times New Roman" w:hAnsi="Times New Roman" w:cs="Times New Roman"/>
                            <w:noProof/>
                            <w:sz w:val="24"/>
                            <w:szCs w:val="24"/>
                          </w:rPr>
                          <w:t>العلمي</w:t>
                        </w:r>
                        <w:r w:rsidRPr="00AE3A49">
                          <w:rPr>
                            <w:rFonts w:ascii="Times New Roman" w:hAnsi="Times New Roman" w:cs="Times New Roman"/>
                            <w:noProof/>
                            <w:sz w:val="24"/>
                            <w:szCs w:val="24"/>
                          </w:rPr>
                          <w:t>‬ Ministère de l’enseignement supérieur et de la recherche scientifique Option : Réseaux Electriques Anes Bouhanik D”.</w:t>
                        </w:r>
                        <w:r w:rsidR="00DC140D" w:rsidRPr="00AE3A49">
                          <w:t>‬</w:t>
                        </w:r>
                        <w:r w:rsidR="00DC140D" w:rsidRPr="00AE3A49">
                          <w:t>‬</w:t>
                        </w:r>
                        <w:r w:rsidR="00DC140D" w:rsidRPr="00AE3A49">
                          <w:t>‬</w:t>
                        </w:r>
                        <w:r w:rsidR="00DC140D" w:rsidRPr="00AE3A49">
                          <w:t>‬</w:t>
                        </w:r>
                        <w:r w:rsidR="00DC140D" w:rsidRPr="00AE3A49">
                          <w:t>‬</w:t>
                        </w:r>
                        <w:r w:rsidR="00DC140D" w:rsidRPr="00AE3A49">
                          <w:t>‬</w:t>
                        </w:r>
                        <w:r w:rsidR="00DC140D" w:rsidRPr="00AE3A49">
                          <w:t>‬</w:t>
                        </w:r>
                        <w:r w:rsidR="00DC140D" w:rsidRPr="00AE3A49">
                          <w:t>‬</w:t>
                        </w:r>
                        <w:r w:rsidR="00DC140D" w:rsidRPr="00AE3A49">
                          <w:t>‬</w:t>
                        </w:r>
                        <w:r w:rsidR="002A282E">
                          <w:t>‬</w:t>
                        </w:r>
                        <w:r w:rsidR="002A282E">
                          <w:t>‬</w:t>
                        </w:r>
                        <w:r w:rsidR="002A282E">
                          <w:t>‬</w:t>
                        </w:r>
                        <w:r w:rsidR="002A282E">
                          <w:t>‬</w:t>
                        </w:r>
                        <w:r w:rsidR="002A282E">
                          <w:t>‬</w:t>
                        </w:r>
                        <w:r w:rsidR="002A282E">
                          <w:t>‬</w:t>
                        </w:r>
                        <w:r w:rsidR="002A282E">
                          <w:t>‬</w:t>
                        </w:r>
                        <w:r w:rsidR="002A282E">
                          <w:t>‬</w:t>
                        </w:r>
                        <w:r w:rsidR="002A282E">
                          <w:t>‬</w:t>
                        </w:r>
                        <w:r w:rsidR="00000000">
                          <w:t>‬</w:t>
                        </w:r>
                        <w:r w:rsidR="00000000">
                          <w:t>‬</w:t>
                        </w:r>
                        <w:r w:rsidR="00000000">
                          <w:t>‬</w:t>
                        </w:r>
                        <w:r w:rsidR="00000000">
                          <w:t>‬</w:t>
                        </w:r>
                        <w:r w:rsidR="00000000">
                          <w:t>‬</w:t>
                        </w:r>
                        <w:r w:rsidR="00000000">
                          <w:t>‬</w:t>
                        </w:r>
                        <w:r w:rsidR="00000000">
                          <w:t>‬</w:t>
                        </w:r>
                        <w:r w:rsidR="00000000">
                          <w:t>‬</w:t>
                        </w:r>
                        <w:r w:rsidR="00000000">
                          <w:t>‬</w:t>
                        </w:r>
                      </w:dir>
                    </w:dir>
                  </w:dir>
                </w:dir>
              </w:dir>
            </w:dir>
          </w:dir>
        </w:dir>
      </w:dir>
    </w:p>
    <w:p w14:paraId="23F8AB7A"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[6]</w:t>
      </w:r>
      <w:r w:rsidRPr="00AE3A49">
        <w:rPr>
          <w:rFonts w:ascii="Times New Roman" w:hAnsi="Times New Roman" w:cs="Times New Roman"/>
          <w:noProof/>
          <w:sz w:val="24"/>
          <w:szCs w:val="24"/>
        </w:rPr>
        <w:tab/>
        <w:t xml:space="preserve">D. Singh, N. Elgeberi, M. Aljaidi, R. Kumar, R. E. Al Mamlook, and M. K. Singla, “Optimal Location of Renewable Energy Generators in Transmission and Distribution System of Deregulated Power Sector: A Review,” </w:t>
      </w:r>
      <w:r w:rsidRPr="00AE3A49">
        <w:rPr>
          <w:rFonts w:ascii="Times New Roman" w:hAnsi="Times New Roman" w:cs="Times New Roman"/>
          <w:i/>
          <w:iCs/>
          <w:noProof/>
          <w:sz w:val="24"/>
          <w:szCs w:val="24"/>
        </w:rPr>
        <w:t>Energy Eng. J. Assoc. Energy Eng.</w:t>
      </w:r>
      <w:r w:rsidRPr="00AE3A49">
        <w:rPr>
          <w:rFonts w:ascii="Times New Roman" w:hAnsi="Times New Roman" w:cs="Times New Roman"/>
          <w:noProof/>
          <w:sz w:val="24"/>
          <w:szCs w:val="24"/>
        </w:rPr>
        <w:t>, vol. 122, no. 3, pp. 823–859, 2025, doi: 10.32604/ee.2025.059309.</w:t>
      </w:r>
    </w:p>
    <w:p w14:paraId="15D7212B"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[7]</w:t>
      </w:r>
      <w:r w:rsidRPr="00AE3A49">
        <w:rPr>
          <w:rFonts w:ascii="Times New Roman" w:hAnsi="Times New Roman" w:cs="Times New Roman"/>
          <w:noProof/>
          <w:sz w:val="24"/>
          <w:szCs w:val="24"/>
        </w:rPr>
        <w:tab/>
        <w:t>P. Pijarski, P. Kacejko, and P. Miller, “Advanced Optimisation and Forecasti</w:t>
      </w:r>
      <w:r w:rsidR="00AE3A49">
        <w:rPr>
          <w:rFonts w:ascii="Times New Roman" w:hAnsi="Times New Roman" w:cs="Times New Roman"/>
          <w:noProof/>
          <w:sz w:val="24"/>
          <w:szCs w:val="24"/>
        </w:rPr>
        <w:t xml:space="preserve">ng Methods in Power Engineering </w:t>
      </w:r>
      <w:r w:rsidRPr="00AE3A49">
        <w:rPr>
          <w:rFonts w:ascii="Times New Roman" w:hAnsi="Times New Roman" w:cs="Times New Roman"/>
          <w:noProof/>
          <w:sz w:val="24"/>
          <w:szCs w:val="24"/>
        </w:rPr>
        <w:t xml:space="preserve">Introduction to the Special Issue,” </w:t>
      </w:r>
      <w:r w:rsidRPr="00AE3A49">
        <w:rPr>
          <w:rFonts w:ascii="Times New Roman" w:hAnsi="Times New Roman" w:cs="Times New Roman"/>
          <w:i/>
          <w:iCs/>
          <w:noProof/>
          <w:sz w:val="24"/>
          <w:szCs w:val="24"/>
        </w:rPr>
        <w:t>Energies</w:t>
      </w:r>
      <w:r w:rsidRPr="00AE3A49">
        <w:rPr>
          <w:rFonts w:ascii="Times New Roman" w:hAnsi="Times New Roman" w:cs="Times New Roman"/>
          <w:noProof/>
          <w:sz w:val="24"/>
          <w:szCs w:val="24"/>
        </w:rPr>
        <w:t>, vol. 16, no. 6, 2023, doi: 10.3390/en16062804.</w:t>
      </w:r>
    </w:p>
    <w:p w14:paraId="79202AC9"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[8]</w:t>
      </w:r>
      <w:r w:rsidRPr="00AE3A49">
        <w:rPr>
          <w:rFonts w:ascii="Times New Roman" w:hAnsi="Times New Roman" w:cs="Times New Roman"/>
          <w:noProof/>
          <w:sz w:val="24"/>
          <w:szCs w:val="24"/>
        </w:rPr>
        <w:tab/>
        <w:t xml:space="preserve">B. D. Dimd, S. Voller, U. Cali, and O. M. Midtgard, “A Review of Machine Learning-Based Photovoltaic Output Power Forecasting: Nordic Context,” </w:t>
      </w:r>
      <w:r w:rsidRPr="00AE3A49">
        <w:rPr>
          <w:rFonts w:ascii="Times New Roman" w:hAnsi="Times New Roman" w:cs="Times New Roman"/>
          <w:i/>
          <w:iCs/>
          <w:noProof/>
          <w:sz w:val="24"/>
          <w:szCs w:val="24"/>
        </w:rPr>
        <w:t>IEEE Access</w:t>
      </w:r>
      <w:r w:rsidRPr="00AE3A49">
        <w:rPr>
          <w:rFonts w:ascii="Times New Roman" w:hAnsi="Times New Roman" w:cs="Times New Roman"/>
          <w:noProof/>
          <w:sz w:val="24"/>
          <w:szCs w:val="24"/>
        </w:rPr>
        <w:t>, vol. 10, pp. 26404–26425, 2022, doi: 10.1109/ACCESS.2022.3156942.</w:t>
      </w:r>
    </w:p>
    <w:p w14:paraId="62165BC0"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[9]</w:t>
      </w:r>
      <w:r w:rsidRPr="00AE3A49">
        <w:rPr>
          <w:rFonts w:ascii="Times New Roman" w:hAnsi="Times New Roman" w:cs="Times New Roman"/>
          <w:noProof/>
          <w:sz w:val="24"/>
          <w:szCs w:val="24"/>
        </w:rPr>
        <w:tab/>
        <w:t xml:space="preserve">T. Berghout, M. Benbouzid, T. Bentrcia, X. Ma, S. Djurović, and L. H. Mouss, “Machine learning-based condition monitoring for pv systems: State of the art and future prospects,” </w:t>
      </w:r>
      <w:r w:rsidRPr="00AE3A49">
        <w:rPr>
          <w:rFonts w:ascii="Times New Roman" w:hAnsi="Times New Roman" w:cs="Times New Roman"/>
          <w:i/>
          <w:iCs/>
          <w:noProof/>
          <w:sz w:val="24"/>
          <w:szCs w:val="24"/>
        </w:rPr>
        <w:t>Energies</w:t>
      </w:r>
      <w:r w:rsidRPr="00AE3A49">
        <w:rPr>
          <w:rFonts w:ascii="Times New Roman" w:hAnsi="Times New Roman" w:cs="Times New Roman"/>
          <w:noProof/>
          <w:sz w:val="24"/>
          <w:szCs w:val="24"/>
        </w:rPr>
        <w:t>, vol. 14, no. 19, pp. 1–24, 2021, doi: 10.3390/en14196316.</w:t>
      </w:r>
    </w:p>
    <w:p w14:paraId="0ECAC2F9"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[10]</w:t>
      </w:r>
      <w:r w:rsidRPr="00AE3A49">
        <w:rPr>
          <w:rFonts w:ascii="Times New Roman" w:hAnsi="Times New Roman" w:cs="Times New Roman"/>
          <w:noProof/>
          <w:sz w:val="24"/>
          <w:szCs w:val="24"/>
        </w:rPr>
        <w:tab/>
        <w:t xml:space="preserve">M. N. Dehaghani, T. Korotko, and A. Rosin, “AI Applications for Power Quality Issues in Distribution Systems: A Systematic Review,” </w:t>
      </w:r>
      <w:r w:rsidRPr="00AE3A49">
        <w:rPr>
          <w:rFonts w:ascii="Times New Roman" w:hAnsi="Times New Roman" w:cs="Times New Roman"/>
          <w:i/>
          <w:iCs/>
          <w:noProof/>
          <w:sz w:val="24"/>
          <w:szCs w:val="24"/>
        </w:rPr>
        <w:t>IEEE Access</w:t>
      </w:r>
      <w:r w:rsidRPr="00AE3A49">
        <w:rPr>
          <w:rFonts w:ascii="Times New Roman" w:hAnsi="Times New Roman" w:cs="Times New Roman"/>
          <w:noProof/>
          <w:sz w:val="24"/>
          <w:szCs w:val="24"/>
        </w:rPr>
        <w:t>, vol. 13, no. January, pp. 18346–18365, 2025, doi: 10.1109/ACCESS.2025.3533702.</w:t>
      </w:r>
    </w:p>
    <w:p w14:paraId="13A6855B"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[11]</w:t>
      </w:r>
      <w:r w:rsidRPr="00AE3A49">
        <w:rPr>
          <w:rFonts w:ascii="Times New Roman" w:hAnsi="Times New Roman" w:cs="Times New Roman"/>
          <w:noProof/>
          <w:sz w:val="24"/>
          <w:szCs w:val="24"/>
        </w:rPr>
        <w:tab/>
        <w:t xml:space="preserve">F. P. de Albuquerque, E. C. M. da Costa, and L. H. B. Liboni, “Generative AI applied for synthetic data in PMU,” </w:t>
      </w:r>
      <w:r w:rsidRPr="00AE3A49">
        <w:rPr>
          <w:rFonts w:ascii="Times New Roman" w:hAnsi="Times New Roman" w:cs="Times New Roman"/>
          <w:i/>
          <w:iCs/>
          <w:noProof/>
          <w:sz w:val="24"/>
          <w:szCs w:val="24"/>
        </w:rPr>
        <w:t>Energy Reports</w:t>
      </w:r>
      <w:r w:rsidRPr="00AE3A49">
        <w:rPr>
          <w:rFonts w:ascii="Times New Roman" w:hAnsi="Times New Roman" w:cs="Times New Roman"/>
          <w:noProof/>
          <w:sz w:val="24"/>
          <w:szCs w:val="24"/>
        </w:rPr>
        <w:t>, vol. 14, no. February, pp. 103–115, 2025, doi: 10.1016/j.egyr.2025.05.062.</w:t>
      </w:r>
    </w:p>
    <w:p w14:paraId="76569EB1"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[12]</w:t>
      </w:r>
      <w:r w:rsidRPr="00AE3A49">
        <w:rPr>
          <w:rFonts w:ascii="Times New Roman" w:hAnsi="Times New Roman" w:cs="Times New Roman"/>
          <w:noProof/>
          <w:sz w:val="24"/>
          <w:szCs w:val="24"/>
        </w:rPr>
        <w:tab/>
        <w:t xml:space="preserve">S. Qiu </w:t>
      </w:r>
      <w:r w:rsidRPr="00AE3A49">
        <w:rPr>
          <w:rFonts w:ascii="Times New Roman" w:hAnsi="Times New Roman" w:cs="Times New Roman"/>
          <w:i/>
          <w:iCs/>
          <w:noProof/>
          <w:sz w:val="24"/>
          <w:szCs w:val="24"/>
        </w:rPr>
        <w:t>et al.</w:t>
      </w:r>
      <w:r w:rsidRPr="00AE3A49">
        <w:rPr>
          <w:rFonts w:ascii="Times New Roman" w:hAnsi="Times New Roman" w:cs="Times New Roman"/>
          <w:noProof/>
          <w:sz w:val="24"/>
          <w:szCs w:val="24"/>
        </w:rPr>
        <w:t xml:space="preserve">, “Deep Learning Techniques in Intelligent Fault Diagnosis and Prognosis for Industrial Systems: A Review,” </w:t>
      </w:r>
      <w:r w:rsidRPr="00AE3A49">
        <w:rPr>
          <w:rFonts w:ascii="Times New Roman" w:hAnsi="Times New Roman" w:cs="Times New Roman"/>
          <w:i/>
          <w:iCs/>
          <w:noProof/>
          <w:sz w:val="24"/>
          <w:szCs w:val="24"/>
        </w:rPr>
        <w:t>Sensors</w:t>
      </w:r>
      <w:r w:rsidRPr="00AE3A49">
        <w:rPr>
          <w:rFonts w:ascii="Times New Roman" w:hAnsi="Times New Roman" w:cs="Times New Roman"/>
          <w:noProof/>
          <w:sz w:val="24"/>
          <w:szCs w:val="24"/>
        </w:rPr>
        <w:t>, vol. 23, no. 3, 2023, doi: 10.3390/s23031305.</w:t>
      </w:r>
    </w:p>
    <w:p w14:paraId="7412D3B3"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[13]</w:t>
      </w:r>
      <w:r w:rsidRPr="00AE3A49">
        <w:rPr>
          <w:rFonts w:ascii="Times New Roman" w:hAnsi="Times New Roman" w:cs="Times New Roman"/>
          <w:noProof/>
          <w:sz w:val="24"/>
          <w:szCs w:val="24"/>
        </w:rPr>
        <w:tab/>
        <w:t xml:space="preserve">Y. Zahraoui </w:t>
      </w:r>
      <w:r w:rsidRPr="00AE3A49">
        <w:rPr>
          <w:rFonts w:ascii="Times New Roman" w:hAnsi="Times New Roman" w:cs="Times New Roman"/>
          <w:i/>
          <w:iCs/>
          <w:noProof/>
          <w:sz w:val="24"/>
          <w:szCs w:val="24"/>
        </w:rPr>
        <w:t>et al.</w:t>
      </w:r>
      <w:r w:rsidRPr="00AE3A49">
        <w:rPr>
          <w:rFonts w:ascii="Times New Roman" w:hAnsi="Times New Roman" w:cs="Times New Roman"/>
          <w:noProof/>
          <w:sz w:val="24"/>
          <w:szCs w:val="24"/>
        </w:rPr>
        <w:t xml:space="preserve">, “AI Applications to Enhance Resilience </w:t>
      </w:r>
      <w:r w:rsidR="00AE3A49">
        <w:rPr>
          <w:rFonts w:ascii="Times New Roman" w:hAnsi="Times New Roman" w:cs="Times New Roman"/>
          <w:noProof/>
          <w:sz w:val="24"/>
          <w:szCs w:val="24"/>
        </w:rPr>
        <w:t xml:space="preserve">in Power Systems and Microgrids </w:t>
      </w:r>
      <w:r w:rsidRPr="00AE3A49">
        <w:rPr>
          <w:rFonts w:ascii="Times New Roman" w:hAnsi="Times New Roman" w:cs="Times New Roman"/>
          <w:noProof/>
          <w:sz w:val="24"/>
          <w:szCs w:val="24"/>
        </w:rPr>
        <w:t xml:space="preserve">A Review,” </w:t>
      </w:r>
      <w:r w:rsidRPr="00AE3A49">
        <w:rPr>
          <w:rFonts w:ascii="Times New Roman" w:hAnsi="Times New Roman" w:cs="Times New Roman"/>
          <w:i/>
          <w:iCs/>
          <w:noProof/>
          <w:sz w:val="24"/>
          <w:szCs w:val="24"/>
        </w:rPr>
        <w:t xml:space="preserve">Sustain. </w:t>
      </w:r>
      <w:r w:rsidRPr="00AE3A49">
        <w:rPr>
          <w:rFonts w:ascii="Times New Roman" w:hAnsi="Times New Roman" w:cs="Times New Roman"/>
          <w:noProof/>
          <w:sz w:val="24"/>
          <w:szCs w:val="24"/>
        </w:rPr>
        <w:t>, vol. 16, no. 12, 2024, doi: 10.3390/su16124959.</w:t>
      </w:r>
    </w:p>
    <w:p w14:paraId="11506D58"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[14]</w:t>
      </w:r>
      <w:r w:rsidRPr="00AE3A49">
        <w:rPr>
          <w:rFonts w:ascii="Times New Roman" w:hAnsi="Times New Roman" w:cs="Times New Roman"/>
          <w:noProof/>
          <w:sz w:val="24"/>
          <w:szCs w:val="24"/>
        </w:rPr>
        <w:tab/>
        <w:t xml:space="preserve">M. Amroune, I. Musirin, T. Bouktir, and M. M. Othman, “The amalgamation of SVR and ANFIS models with synchronized phasor measurements for on-line voltage stability assessment,” </w:t>
      </w:r>
      <w:r w:rsidRPr="00AE3A49">
        <w:rPr>
          <w:rFonts w:ascii="Times New Roman" w:hAnsi="Times New Roman" w:cs="Times New Roman"/>
          <w:i/>
          <w:iCs/>
          <w:noProof/>
          <w:sz w:val="24"/>
          <w:szCs w:val="24"/>
        </w:rPr>
        <w:t>Energies</w:t>
      </w:r>
      <w:r w:rsidRPr="00AE3A49">
        <w:rPr>
          <w:rFonts w:ascii="Times New Roman" w:hAnsi="Times New Roman" w:cs="Times New Roman"/>
          <w:noProof/>
          <w:sz w:val="24"/>
          <w:szCs w:val="24"/>
        </w:rPr>
        <w:t>, vol. 10, no. 11, 2017, doi: 10.3390/en10111693.</w:t>
      </w:r>
    </w:p>
    <w:p w14:paraId="557F916C"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[15]</w:t>
      </w:r>
      <w:r w:rsidRPr="00AE3A49">
        <w:rPr>
          <w:rFonts w:ascii="Times New Roman" w:hAnsi="Times New Roman" w:cs="Times New Roman"/>
          <w:noProof/>
          <w:sz w:val="24"/>
          <w:szCs w:val="24"/>
        </w:rPr>
        <w:tab/>
        <w:t xml:space="preserve">A. Dineva, “Evaluation of Advances in Battery Health Prediction for Electric Vehicles from Traditional Linear Filters to Latest Machine Learning Approaches,” </w:t>
      </w:r>
      <w:r w:rsidRPr="00AE3A49">
        <w:rPr>
          <w:rFonts w:ascii="Times New Roman" w:hAnsi="Times New Roman" w:cs="Times New Roman"/>
          <w:i/>
          <w:iCs/>
          <w:noProof/>
          <w:sz w:val="24"/>
          <w:szCs w:val="24"/>
        </w:rPr>
        <w:t>Batteries</w:t>
      </w:r>
      <w:r w:rsidRPr="00AE3A49">
        <w:rPr>
          <w:rFonts w:ascii="Times New Roman" w:hAnsi="Times New Roman" w:cs="Times New Roman"/>
          <w:noProof/>
          <w:sz w:val="24"/>
          <w:szCs w:val="24"/>
        </w:rPr>
        <w:t>, vol. 10, no. 10, 2024, doi: 10.3390/batteries10100356.</w:t>
      </w:r>
    </w:p>
    <w:p w14:paraId="19FACEE1"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[16]</w:t>
      </w:r>
      <w:r w:rsidRPr="00AE3A49">
        <w:rPr>
          <w:rFonts w:ascii="Times New Roman" w:hAnsi="Times New Roman" w:cs="Times New Roman"/>
          <w:noProof/>
          <w:sz w:val="24"/>
          <w:szCs w:val="24"/>
        </w:rPr>
        <w:tab/>
        <w:t xml:space="preserve">A. R. Singh, R. S. Kumar, M. Bajaj, C. B. Khadse, and I. Zaitsev, “Machine learning-based energy management and power forecasting in grid-connected microgrids with multiple distributed energy sources,” </w:t>
      </w:r>
      <w:r w:rsidRPr="00AE3A49">
        <w:rPr>
          <w:rFonts w:ascii="Times New Roman" w:hAnsi="Times New Roman" w:cs="Times New Roman"/>
          <w:i/>
          <w:iCs/>
          <w:noProof/>
          <w:sz w:val="24"/>
          <w:szCs w:val="24"/>
        </w:rPr>
        <w:t>Sci. Rep.</w:t>
      </w:r>
      <w:r w:rsidRPr="00AE3A49">
        <w:rPr>
          <w:rFonts w:ascii="Times New Roman" w:hAnsi="Times New Roman" w:cs="Times New Roman"/>
          <w:noProof/>
          <w:sz w:val="24"/>
          <w:szCs w:val="24"/>
        </w:rPr>
        <w:t>, vol. 14, no. 1, pp. 1–23, 2024, doi: 10.1038/s41598-024-70336-3.</w:t>
      </w:r>
    </w:p>
    <w:p w14:paraId="45DF3DC4"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[17]</w:t>
      </w:r>
      <w:r w:rsidRPr="00AE3A49">
        <w:rPr>
          <w:rFonts w:ascii="Times New Roman" w:hAnsi="Times New Roman" w:cs="Times New Roman"/>
          <w:noProof/>
          <w:sz w:val="24"/>
          <w:szCs w:val="24"/>
        </w:rPr>
        <w:tab/>
        <w:t xml:space="preserve">N. Khosravi, D. Çelik, H. Bevrani, and S. Echalih, “Microgrid stability: A comprehensive review of challenges, trends, and emerging solutions,” </w:t>
      </w:r>
      <w:r w:rsidRPr="00AE3A49">
        <w:rPr>
          <w:rFonts w:ascii="Times New Roman" w:hAnsi="Times New Roman" w:cs="Times New Roman"/>
          <w:i/>
          <w:iCs/>
          <w:noProof/>
          <w:sz w:val="24"/>
          <w:szCs w:val="24"/>
        </w:rPr>
        <w:t>Int. J. Electr. Power Energy Syst.</w:t>
      </w:r>
      <w:r w:rsidRPr="00AE3A49">
        <w:rPr>
          <w:rFonts w:ascii="Times New Roman" w:hAnsi="Times New Roman" w:cs="Times New Roman"/>
          <w:noProof/>
          <w:sz w:val="24"/>
          <w:szCs w:val="24"/>
        </w:rPr>
        <w:t>, vol. 170, no. May, 2025, doi: 10.1016/j.ijepes.2025.110829.</w:t>
      </w:r>
    </w:p>
    <w:p w14:paraId="2051729B"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lastRenderedPageBreak/>
        <w:t>[18]</w:t>
      </w:r>
      <w:r w:rsidRPr="00AE3A49">
        <w:rPr>
          <w:rFonts w:ascii="Times New Roman" w:hAnsi="Times New Roman" w:cs="Times New Roman"/>
          <w:noProof/>
          <w:sz w:val="24"/>
          <w:szCs w:val="24"/>
        </w:rPr>
        <w:tab/>
        <w:t xml:space="preserve">H. Yang, R. C. Qiu, and H. Tong, “Reconstruction Residuals Based Long-term Voltage Stability Assessment Using Autoencoders,” </w:t>
      </w:r>
      <w:r w:rsidRPr="00AE3A49">
        <w:rPr>
          <w:rFonts w:ascii="Times New Roman" w:hAnsi="Times New Roman" w:cs="Times New Roman"/>
          <w:i/>
          <w:iCs/>
          <w:noProof/>
          <w:sz w:val="24"/>
          <w:szCs w:val="24"/>
        </w:rPr>
        <w:t>J. Mod. Power Syst. Clean Energy</w:t>
      </w:r>
      <w:r w:rsidRPr="00AE3A49">
        <w:rPr>
          <w:rFonts w:ascii="Times New Roman" w:hAnsi="Times New Roman" w:cs="Times New Roman"/>
          <w:noProof/>
          <w:sz w:val="24"/>
          <w:szCs w:val="24"/>
        </w:rPr>
        <w:t>, vol. 8, no. 6, pp. 1092–1103, 2020, doi: 10.35833/MPCE.2020.000526.</w:t>
      </w:r>
    </w:p>
    <w:p w14:paraId="6FA65516"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[19]</w:t>
      </w:r>
      <w:r w:rsidRPr="00AE3A49">
        <w:rPr>
          <w:rFonts w:ascii="Times New Roman" w:hAnsi="Times New Roman" w:cs="Times New Roman"/>
          <w:noProof/>
          <w:sz w:val="24"/>
          <w:szCs w:val="24"/>
        </w:rPr>
        <w:tab/>
        <w:t xml:space="preserve">M. A. M. Khan, “Ai and Machine Learning in Transformer Fault Diagnosis: a Systematic Review,” </w:t>
      </w:r>
      <w:r w:rsidRPr="00AE3A49">
        <w:rPr>
          <w:rFonts w:ascii="Times New Roman" w:hAnsi="Times New Roman" w:cs="Times New Roman"/>
          <w:i/>
          <w:iCs/>
          <w:noProof/>
          <w:sz w:val="24"/>
          <w:szCs w:val="24"/>
        </w:rPr>
        <w:t>Am. J. Adv. Technol. Eng. Solut.</w:t>
      </w:r>
      <w:r w:rsidRPr="00AE3A49">
        <w:rPr>
          <w:rFonts w:ascii="Times New Roman" w:hAnsi="Times New Roman" w:cs="Times New Roman"/>
          <w:noProof/>
          <w:sz w:val="24"/>
          <w:szCs w:val="24"/>
        </w:rPr>
        <w:t>, vol. 1, no. 01, pp. 290–318, 2025, doi: 10.63125/sxb17553.</w:t>
      </w:r>
    </w:p>
    <w:p w14:paraId="5B1B1059"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[20]</w:t>
      </w:r>
      <w:r w:rsidRPr="00AE3A49">
        <w:rPr>
          <w:rFonts w:ascii="Times New Roman" w:hAnsi="Times New Roman" w:cs="Times New Roman"/>
          <w:noProof/>
          <w:sz w:val="24"/>
          <w:szCs w:val="24"/>
        </w:rPr>
        <w:tab/>
        <w:t xml:space="preserve">A. A. Elsaeidy, N. Jagannath, A. Garrido Sanchis, A. Jamalipour, and K. S. Munasinghe, “Replay Attack Detection in Smart Cities Using Deep Learning,” </w:t>
      </w:r>
      <w:r w:rsidRPr="00AE3A49">
        <w:rPr>
          <w:rFonts w:ascii="Times New Roman" w:hAnsi="Times New Roman" w:cs="Times New Roman"/>
          <w:i/>
          <w:iCs/>
          <w:noProof/>
          <w:sz w:val="24"/>
          <w:szCs w:val="24"/>
        </w:rPr>
        <w:t>IEEE Access</w:t>
      </w:r>
      <w:r w:rsidRPr="00AE3A49">
        <w:rPr>
          <w:rFonts w:ascii="Times New Roman" w:hAnsi="Times New Roman" w:cs="Times New Roman"/>
          <w:noProof/>
          <w:sz w:val="24"/>
          <w:szCs w:val="24"/>
        </w:rPr>
        <w:t>, vol. 8, pp. 137825–137837, 2020, doi: 10.1109/ACCESS.2020.3012411.</w:t>
      </w:r>
    </w:p>
    <w:p w14:paraId="384EFAC7"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[21]</w:t>
      </w:r>
      <w:r w:rsidRPr="00AE3A49">
        <w:rPr>
          <w:rFonts w:ascii="Times New Roman" w:hAnsi="Times New Roman" w:cs="Times New Roman"/>
          <w:noProof/>
          <w:sz w:val="24"/>
          <w:szCs w:val="24"/>
        </w:rPr>
        <w:tab/>
        <w:t xml:space="preserve">S. Isaac, S. Adebola, A. Ayokunle, K. James, and A. Claudius, “Voltage collapse prediction using artificial neural network,” </w:t>
      </w:r>
      <w:r w:rsidRPr="00AE3A49">
        <w:rPr>
          <w:rFonts w:ascii="Times New Roman" w:hAnsi="Times New Roman" w:cs="Times New Roman"/>
          <w:i/>
          <w:iCs/>
          <w:noProof/>
          <w:sz w:val="24"/>
          <w:szCs w:val="24"/>
        </w:rPr>
        <w:t>Int. J. Electr. Comput. Eng.</w:t>
      </w:r>
      <w:r w:rsidRPr="00AE3A49">
        <w:rPr>
          <w:rFonts w:ascii="Times New Roman" w:hAnsi="Times New Roman" w:cs="Times New Roman"/>
          <w:noProof/>
          <w:sz w:val="24"/>
          <w:szCs w:val="24"/>
        </w:rPr>
        <w:t>, vol. 11, no. 1, pp. 124–132, 2021, doi: 10.11591/ijece.v11i1.pp124-132.</w:t>
      </w:r>
    </w:p>
    <w:p w14:paraId="48F772F8"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[22]</w:t>
      </w:r>
      <w:r w:rsidRPr="00AE3A49">
        <w:rPr>
          <w:rFonts w:ascii="Times New Roman" w:hAnsi="Times New Roman" w:cs="Times New Roman"/>
          <w:noProof/>
          <w:sz w:val="24"/>
          <w:szCs w:val="24"/>
        </w:rPr>
        <w:tab/>
        <w:t xml:space="preserve">M. Karthikeyan, D. Manimegalai, and K. Rajagopal, “Enhancing voltage control and regulation in smart micro-grids through deep learning - optimized EV reactive power management,” </w:t>
      </w:r>
      <w:r w:rsidRPr="00AE3A49">
        <w:rPr>
          <w:rFonts w:ascii="Times New Roman" w:hAnsi="Times New Roman" w:cs="Times New Roman"/>
          <w:i/>
          <w:iCs/>
          <w:noProof/>
          <w:sz w:val="24"/>
          <w:szCs w:val="24"/>
        </w:rPr>
        <w:t>Energy Reports</w:t>
      </w:r>
      <w:r w:rsidRPr="00AE3A49">
        <w:rPr>
          <w:rFonts w:ascii="Times New Roman" w:hAnsi="Times New Roman" w:cs="Times New Roman"/>
          <w:noProof/>
          <w:sz w:val="24"/>
          <w:szCs w:val="24"/>
        </w:rPr>
        <w:t>, vol. 13, no. January, pp. 1095–1107, 2025, doi: 10.1016/j.egyr.2024.12.072.</w:t>
      </w:r>
    </w:p>
    <w:p w14:paraId="5802634B"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AE3A49">
        <w:rPr>
          <w:rFonts w:ascii="Times New Roman" w:hAnsi="Times New Roman" w:cs="Times New Roman"/>
          <w:noProof/>
          <w:sz w:val="24"/>
          <w:szCs w:val="24"/>
        </w:rPr>
        <w:t>[23]</w:t>
      </w:r>
      <w:r w:rsidRPr="00AE3A49">
        <w:rPr>
          <w:rFonts w:ascii="Times New Roman" w:hAnsi="Times New Roman" w:cs="Times New Roman"/>
          <w:noProof/>
          <w:sz w:val="24"/>
          <w:szCs w:val="24"/>
        </w:rPr>
        <w:tab/>
        <w:t xml:space="preserve">N. Sahani, R. Zhu, J. H. Cho, and C. C. Liu, “Machine Learning-based Intrusion Detection for Smart Grid Computing: A Survey,” </w:t>
      </w:r>
      <w:r w:rsidRPr="00AE3A49">
        <w:rPr>
          <w:rFonts w:ascii="Times New Roman" w:hAnsi="Times New Roman" w:cs="Times New Roman"/>
          <w:i/>
          <w:iCs/>
          <w:noProof/>
          <w:sz w:val="24"/>
          <w:szCs w:val="24"/>
        </w:rPr>
        <w:t>ACM Trans. Cyber-Physical Syst.</w:t>
      </w:r>
      <w:r w:rsidRPr="00AE3A49">
        <w:rPr>
          <w:rFonts w:ascii="Times New Roman" w:hAnsi="Times New Roman" w:cs="Times New Roman"/>
          <w:noProof/>
          <w:sz w:val="24"/>
          <w:szCs w:val="24"/>
        </w:rPr>
        <w:t>, vol. 7, no. 2, 2023, doi: 10.1145/3578366.</w:t>
      </w:r>
    </w:p>
    <w:p w14:paraId="6EA80DDC" w14:textId="77777777" w:rsidR="009E30D6" w:rsidRPr="00AE3A49" w:rsidRDefault="009E30D6" w:rsidP="00AE3A49">
      <w:pPr>
        <w:widowControl w:val="0"/>
        <w:autoSpaceDE w:val="0"/>
        <w:autoSpaceDN w:val="0"/>
        <w:adjustRightInd w:val="0"/>
        <w:spacing w:line="240" w:lineRule="auto"/>
        <w:ind w:left="640" w:hanging="640"/>
        <w:jc w:val="both"/>
        <w:rPr>
          <w:rFonts w:ascii="Times New Roman" w:hAnsi="Times New Roman" w:cs="Times New Roman"/>
          <w:noProof/>
          <w:sz w:val="24"/>
        </w:rPr>
      </w:pPr>
      <w:r w:rsidRPr="00AE3A49">
        <w:rPr>
          <w:rFonts w:ascii="Times New Roman" w:hAnsi="Times New Roman" w:cs="Times New Roman"/>
          <w:noProof/>
          <w:sz w:val="24"/>
          <w:szCs w:val="24"/>
        </w:rPr>
        <w:t>[24]</w:t>
      </w:r>
      <w:r w:rsidRPr="00AE3A49">
        <w:rPr>
          <w:rFonts w:ascii="Times New Roman" w:hAnsi="Times New Roman" w:cs="Times New Roman"/>
          <w:noProof/>
          <w:sz w:val="24"/>
          <w:szCs w:val="24"/>
        </w:rPr>
        <w:tab/>
        <w:t xml:space="preserve">P. O. Ezepue, T. C. Urama, and M. A. T. Omar, “Systematic Stock Market Characterisation and Development: Perspectives from Random Matrix Theory, Option Pricing, Genetics, and Global Economics,” </w:t>
      </w:r>
      <w:r w:rsidRPr="00AE3A49">
        <w:rPr>
          <w:rFonts w:ascii="Times New Roman" w:hAnsi="Times New Roman" w:cs="Times New Roman"/>
          <w:i/>
          <w:iCs/>
          <w:noProof/>
          <w:sz w:val="24"/>
          <w:szCs w:val="24"/>
        </w:rPr>
        <w:t>J. Math. Financ.</w:t>
      </w:r>
      <w:r w:rsidRPr="00AE3A49">
        <w:rPr>
          <w:rFonts w:ascii="Times New Roman" w:hAnsi="Times New Roman" w:cs="Times New Roman"/>
          <w:noProof/>
          <w:sz w:val="24"/>
          <w:szCs w:val="24"/>
        </w:rPr>
        <w:t>, vol. 09, no. 02, pp. 105–151, 2019, doi: 10.4236/jmf.2019.92007.</w:t>
      </w:r>
    </w:p>
    <w:p w14:paraId="4028940D" w14:textId="77777777" w:rsidR="009D1922" w:rsidRPr="00AE3A49" w:rsidRDefault="006A3801" w:rsidP="00AE3A49">
      <w:pPr>
        <w:jc w:val="both"/>
        <w:rPr>
          <w:rFonts w:ascii="Times New Roman" w:hAnsi="Times New Roman" w:cs="Times New Roman"/>
          <w:sz w:val="24"/>
          <w:szCs w:val="24"/>
        </w:rPr>
      </w:pPr>
      <w:r w:rsidRPr="00AE3A49">
        <w:rPr>
          <w:rFonts w:ascii="Times New Roman" w:hAnsi="Times New Roman" w:cs="Times New Roman"/>
          <w:sz w:val="24"/>
          <w:szCs w:val="24"/>
        </w:rPr>
        <w:fldChar w:fldCharType="end"/>
      </w:r>
    </w:p>
    <w:sectPr w:rsidR="009D1922" w:rsidRPr="00AE3A49" w:rsidSect="00DE4D58">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B0877"/>
    <w:multiLevelType w:val="multilevel"/>
    <w:tmpl w:val="FB58F1C8"/>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B21C4"/>
    <w:multiLevelType w:val="multilevel"/>
    <w:tmpl w:val="8A22DAD0"/>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7401C0"/>
    <w:multiLevelType w:val="multilevel"/>
    <w:tmpl w:val="F2262404"/>
    <w:lvl w:ilvl="0">
      <w:start w:val="1"/>
      <w:numFmt w:val="lowerLetter"/>
      <w:lvlText w:val="%1."/>
      <w:lvlJc w:val="left"/>
      <w:pPr>
        <w:tabs>
          <w:tab w:val="num" w:pos="720"/>
        </w:tabs>
        <w:ind w:left="720" w:hanging="360"/>
      </w:pPr>
      <w:rPr>
        <w:rFonts w:hint="default"/>
        <w:sz w:val="20"/>
      </w:rPr>
    </w:lvl>
    <w:lvl w:ilvl="1">
      <w:start w:val="1"/>
      <w:numFmt w:val="lowerRoman"/>
      <w:lvlText w:val="%2."/>
      <w:lvlJc w:val="right"/>
      <w:pPr>
        <w:tabs>
          <w:tab w:val="num" w:pos="1440"/>
        </w:tabs>
        <w:ind w:left="1440" w:hanging="360"/>
      </w:pPr>
      <w:rPr>
        <w:rFont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CA530E"/>
    <w:multiLevelType w:val="multilevel"/>
    <w:tmpl w:val="711A705C"/>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A624B1"/>
    <w:multiLevelType w:val="multilevel"/>
    <w:tmpl w:val="2168068E"/>
    <w:lvl w:ilvl="0">
      <w:start w:val="1"/>
      <w:numFmt w:val="lowerLetter"/>
      <w:lvlText w:val="%1."/>
      <w:lvlJc w:val="left"/>
      <w:pPr>
        <w:tabs>
          <w:tab w:val="num" w:pos="720"/>
        </w:tabs>
        <w:ind w:left="720" w:hanging="360"/>
      </w:pPr>
      <w:rPr>
        <w:rFonts w:hint="default"/>
        <w:sz w:val="20"/>
      </w:rPr>
    </w:lvl>
    <w:lvl w:ilvl="1">
      <w:start w:val="1"/>
      <w:numFmt w:val="lowerRoman"/>
      <w:lvlText w:val="%2."/>
      <w:lvlJc w:val="right"/>
      <w:pPr>
        <w:tabs>
          <w:tab w:val="num" w:pos="1440"/>
        </w:tabs>
        <w:ind w:left="1440" w:hanging="360"/>
      </w:pPr>
      <w:rPr>
        <w:rFont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D75425"/>
    <w:multiLevelType w:val="multilevel"/>
    <w:tmpl w:val="007CF734"/>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4E0D3C"/>
    <w:multiLevelType w:val="multilevel"/>
    <w:tmpl w:val="48265690"/>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9F310B"/>
    <w:multiLevelType w:val="multilevel"/>
    <w:tmpl w:val="48265690"/>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FD6967"/>
    <w:multiLevelType w:val="multilevel"/>
    <w:tmpl w:val="DF3A3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8430518"/>
    <w:multiLevelType w:val="multilevel"/>
    <w:tmpl w:val="FF52AF62"/>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8826440">
    <w:abstractNumId w:val="3"/>
  </w:num>
  <w:num w:numId="2" w16cid:durableId="830561586">
    <w:abstractNumId w:val="1"/>
  </w:num>
  <w:num w:numId="3" w16cid:durableId="324821511">
    <w:abstractNumId w:val="2"/>
  </w:num>
  <w:num w:numId="4" w16cid:durableId="1510174037">
    <w:abstractNumId w:val="4"/>
  </w:num>
  <w:num w:numId="5" w16cid:durableId="2146386209">
    <w:abstractNumId w:val="5"/>
  </w:num>
  <w:num w:numId="6" w16cid:durableId="21785257">
    <w:abstractNumId w:val="0"/>
  </w:num>
  <w:num w:numId="7" w16cid:durableId="933127067">
    <w:abstractNumId w:val="8"/>
  </w:num>
  <w:num w:numId="8" w16cid:durableId="626938434">
    <w:abstractNumId w:val="6"/>
  </w:num>
  <w:num w:numId="9" w16cid:durableId="360403916">
    <w:abstractNumId w:val="7"/>
  </w:num>
  <w:num w:numId="10" w16cid:durableId="48497448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922"/>
    <w:rsid w:val="00145638"/>
    <w:rsid w:val="001821C7"/>
    <w:rsid w:val="001D22AE"/>
    <w:rsid w:val="001E2049"/>
    <w:rsid w:val="002276EA"/>
    <w:rsid w:val="002A282E"/>
    <w:rsid w:val="002D3DB6"/>
    <w:rsid w:val="003A3E1A"/>
    <w:rsid w:val="0055444E"/>
    <w:rsid w:val="0057765A"/>
    <w:rsid w:val="006A3801"/>
    <w:rsid w:val="00840479"/>
    <w:rsid w:val="00842BC9"/>
    <w:rsid w:val="009D1922"/>
    <w:rsid w:val="009E23A4"/>
    <w:rsid w:val="009E30D6"/>
    <w:rsid w:val="009F4A40"/>
    <w:rsid w:val="00AE3A49"/>
    <w:rsid w:val="00C86CC7"/>
    <w:rsid w:val="00CE7AAD"/>
    <w:rsid w:val="00DA240A"/>
    <w:rsid w:val="00DC140D"/>
    <w:rsid w:val="00DE09BA"/>
    <w:rsid w:val="00DE4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B6A14A"/>
  <w15:chartTrackingRefBased/>
  <w15:docId w15:val="{B7F5B790-B29C-4F03-81E2-06F7A4AAD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D192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D192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192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D192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D192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D1922"/>
    <w:rPr>
      <w:b/>
      <w:bCs/>
    </w:rPr>
  </w:style>
  <w:style w:type="character" w:styleId="Emphasis">
    <w:name w:val="Emphasis"/>
    <w:basedOn w:val="DefaultParagraphFont"/>
    <w:uiPriority w:val="20"/>
    <w:qFormat/>
    <w:rsid w:val="009D1922"/>
    <w:rPr>
      <w:i/>
      <w:iCs/>
    </w:rPr>
  </w:style>
  <w:style w:type="character" w:customStyle="1" w:styleId="katex">
    <w:name w:val="katex"/>
    <w:basedOn w:val="DefaultParagraphFont"/>
    <w:rsid w:val="001821C7"/>
  </w:style>
  <w:style w:type="character" w:styleId="Hyperlink">
    <w:name w:val="Hyperlink"/>
    <w:basedOn w:val="DefaultParagraphFont"/>
    <w:uiPriority w:val="99"/>
    <w:unhideWhenUsed/>
    <w:rsid w:val="002A282E"/>
    <w:rPr>
      <w:color w:val="0000FF"/>
      <w:u w:val="single"/>
    </w:rPr>
  </w:style>
  <w:style w:type="character" w:styleId="UnresolvedMention">
    <w:name w:val="Unresolved Mention"/>
    <w:basedOn w:val="DefaultParagraphFont"/>
    <w:uiPriority w:val="99"/>
    <w:semiHidden/>
    <w:unhideWhenUsed/>
    <w:rsid w:val="00DE4D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051525">
      <w:bodyDiv w:val="1"/>
      <w:marLeft w:val="0"/>
      <w:marRight w:val="0"/>
      <w:marTop w:val="0"/>
      <w:marBottom w:val="0"/>
      <w:divBdr>
        <w:top w:val="none" w:sz="0" w:space="0" w:color="auto"/>
        <w:left w:val="none" w:sz="0" w:space="0" w:color="auto"/>
        <w:bottom w:val="none" w:sz="0" w:space="0" w:color="auto"/>
        <w:right w:val="none" w:sz="0" w:space="0" w:color="auto"/>
      </w:divBdr>
    </w:div>
    <w:div w:id="707296093">
      <w:bodyDiv w:val="1"/>
      <w:marLeft w:val="0"/>
      <w:marRight w:val="0"/>
      <w:marTop w:val="0"/>
      <w:marBottom w:val="0"/>
      <w:divBdr>
        <w:top w:val="none" w:sz="0" w:space="0" w:color="auto"/>
        <w:left w:val="none" w:sz="0" w:space="0" w:color="auto"/>
        <w:bottom w:val="none" w:sz="0" w:space="0" w:color="auto"/>
        <w:right w:val="none" w:sz="0" w:space="0" w:color="auto"/>
      </w:divBdr>
    </w:div>
    <w:div w:id="732974297">
      <w:bodyDiv w:val="1"/>
      <w:marLeft w:val="0"/>
      <w:marRight w:val="0"/>
      <w:marTop w:val="0"/>
      <w:marBottom w:val="0"/>
      <w:divBdr>
        <w:top w:val="none" w:sz="0" w:space="0" w:color="auto"/>
        <w:left w:val="none" w:sz="0" w:space="0" w:color="auto"/>
        <w:bottom w:val="none" w:sz="0" w:space="0" w:color="auto"/>
        <w:right w:val="none" w:sz="0" w:space="0" w:color="auto"/>
      </w:divBdr>
    </w:div>
    <w:div w:id="1350370167">
      <w:bodyDiv w:val="1"/>
      <w:marLeft w:val="0"/>
      <w:marRight w:val="0"/>
      <w:marTop w:val="0"/>
      <w:marBottom w:val="0"/>
      <w:divBdr>
        <w:top w:val="none" w:sz="0" w:space="0" w:color="auto"/>
        <w:left w:val="none" w:sz="0" w:space="0" w:color="auto"/>
        <w:bottom w:val="none" w:sz="0" w:space="0" w:color="auto"/>
        <w:right w:val="none" w:sz="0" w:space="0" w:color="auto"/>
      </w:divBdr>
    </w:div>
    <w:div w:id="199468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orcid.org/0009-0006-0525-404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yabani.galadima@ksusta.edu.n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73D1F1-447F-47A9-A597-BA905728C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9</Pages>
  <Words>7185</Words>
  <Characters>40957</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DELL</cp:lastModifiedBy>
  <cp:revision>3</cp:revision>
  <dcterms:created xsi:type="dcterms:W3CDTF">2025-09-15T00:29:00Z</dcterms:created>
  <dcterms:modified xsi:type="dcterms:W3CDTF">2025-10-06T18:33:00Z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02010bde-b597-47f7-ae9a-14865b15ad30</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6th/7th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18th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12th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9th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002b8e1b-af24-397a-b695-a0aa95e27a3d</vt:lpwstr>
  </property>
  <property fmtid="{D5CDD505-2E9C-101B-9397-08002B2CF9AE}" pid="25" name="Mendeley Citation Style_1">
    <vt:lpwstr>http://www.zotero.org/styles/ieee</vt:lpwstr>
  </property>
</Properties>
</file>