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70D4A" w14:textId="3EBA0CC3" w:rsidR="00252B46" w:rsidRDefault="008C6BF4" w:rsidP="00232287">
      <w:pPr>
        <w:spacing w:before="100" w:beforeAutospacing="1" w:after="100" w:afterAutospacing="1" w:line="240" w:lineRule="auto"/>
        <w:jc w:val="center"/>
        <w:outlineLvl w:val="0"/>
        <w:rPr>
          <w:rFonts w:ascii="Times New Roman" w:eastAsia="Times New Roman" w:hAnsi="Times New Roman" w:cs="Times New Roman"/>
          <w:b/>
          <w:color w:val="5B9BD5" w:themeColor="accent1"/>
          <w:kern w:val="36"/>
          <w:sz w:val="28"/>
          <w:szCs w:val="28"/>
        </w:rPr>
      </w:pPr>
      <w:r w:rsidRPr="008C6BF4">
        <w:rPr>
          <w:rFonts w:ascii="Times New Roman" w:eastAsia="Times New Roman" w:hAnsi="Times New Roman" w:cs="Times New Roman"/>
          <w:b/>
          <w:color w:val="5B9BD5" w:themeColor="accent1"/>
          <w:kern w:val="36"/>
          <w:sz w:val="28"/>
          <w:szCs w:val="28"/>
        </w:rPr>
        <w:t>SMART GRID OPTIMIZATION FOR TELECOMMUTING USING MACHINE LEARNING AND STATISTICAL METHODS: A POWER SYSTEMS ENGINEERING PERSPECTIVE</w:t>
      </w:r>
    </w:p>
    <w:p w14:paraId="02887A5F" w14:textId="2BF7F5EE" w:rsidR="008C6BF4" w:rsidRPr="008C6BF4" w:rsidRDefault="008C6BF4" w:rsidP="008C6BF4">
      <w:pPr>
        <w:spacing w:before="100" w:beforeAutospacing="1" w:after="100" w:afterAutospacing="1" w:line="240" w:lineRule="auto"/>
        <w:jc w:val="center"/>
        <w:outlineLvl w:val="0"/>
        <w:rPr>
          <w:rFonts w:ascii="Times New Roman" w:eastAsia="Times New Roman" w:hAnsi="Times New Roman" w:cs="Times New Roman"/>
          <w:b/>
          <w:color w:val="5B9BD5" w:themeColor="accent1"/>
          <w:kern w:val="36"/>
          <w:sz w:val="28"/>
          <w:szCs w:val="28"/>
        </w:rPr>
      </w:pPr>
      <w:r>
        <w:rPr>
          <w:rFonts w:ascii="Times New Roman" w:eastAsia="Times New Roman" w:hAnsi="Times New Roman" w:cs="Times New Roman"/>
          <w:b/>
          <w:color w:val="5B9BD5" w:themeColor="accent1"/>
          <w:kern w:val="36"/>
          <w:sz w:val="28"/>
          <w:szCs w:val="28"/>
        </w:rPr>
        <w:t xml:space="preserve">By </w:t>
      </w:r>
    </w:p>
    <w:p w14:paraId="46658C80" w14:textId="77777777" w:rsidR="009A732B" w:rsidRDefault="009A732B" w:rsidP="009A732B">
      <w:pPr>
        <w:spacing w:after="0" w:line="240" w:lineRule="auto"/>
        <w:rPr>
          <w:rFonts w:ascii="Times New Roman" w:hAnsi="Times New Roman" w:cs="Times New Roman"/>
          <w:sz w:val="18"/>
          <w:szCs w:val="18"/>
        </w:rPr>
        <w:sectPr w:rsidR="009A732B" w:rsidSect="008C6BF4">
          <w:pgSz w:w="12240" w:h="15840"/>
          <w:pgMar w:top="1440" w:right="1440" w:bottom="1440" w:left="1440" w:header="720" w:footer="720" w:gutter="0"/>
          <w:cols w:space="720"/>
          <w:docGrid w:linePitch="360"/>
        </w:sectPr>
      </w:pPr>
    </w:p>
    <w:p w14:paraId="1AB32B21" w14:textId="7AF7E755" w:rsidR="008C6BF4" w:rsidRPr="008C6BF4" w:rsidRDefault="008C6BF4" w:rsidP="008C6BF4">
      <w:pPr>
        <w:spacing w:after="0" w:line="240" w:lineRule="auto"/>
        <w:jc w:val="center"/>
        <w:rPr>
          <w:rStyle w:val="Hyperlink"/>
          <w:rFonts w:ascii="Times New Roman" w:hAnsi="Times New Roman" w:cs="Times New Roman"/>
          <w:color w:val="auto"/>
          <w:sz w:val="24"/>
          <w:szCs w:val="24"/>
          <w:u w:val="none"/>
        </w:rPr>
      </w:pPr>
      <w:r w:rsidRPr="008C6BF4">
        <w:rPr>
          <w:rFonts w:ascii="Times New Roman" w:hAnsi="Times New Roman" w:cs="Times New Roman"/>
          <w:sz w:val="24"/>
          <w:szCs w:val="24"/>
        </w:rPr>
        <w:t>YABANI GELWASA GALADIM</w:t>
      </w:r>
      <w:r w:rsidRPr="008C6BF4">
        <w:rPr>
          <w:rFonts w:ascii="Times New Roman" w:hAnsi="Times New Roman" w:cs="Times New Roman"/>
          <w:sz w:val="24"/>
          <w:szCs w:val="24"/>
          <w:vertAlign w:val="superscript"/>
        </w:rPr>
        <w:t xml:space="preserve">1   </w:t>
      </w:r>
      <w:r w:rsidR="00232287">
        <w:rPr>
          <w:rFonts w:ascii="Times New Roman" w:hAnsi="Times New Roman" w:cs="Times New Roman"/>
          <w:sz w:val="24"/>
          <w:szCs w:val="24"/>
        </w:rPr>
        <w:t>and</w:t>
      </w:r>
      <w:r w:rsidRPr="008C6BF4">
        <w:rPr>
          <w:rFonts w:ascii="Times New Roman" w:hAnsi="Times New Roman" w:cs="Times New Roman"/>
          <w:sz w:val="24"/>
          <w:szCs w:val="24"/>
        </w:rPr>
        <w:t xml:space="preserve"> </w:t>
      </w:r>
      <w:r w:rsidRPr="008C6BF4">
        <w:rPr>
          <w:rStyle w:val="Hyperlink"/>
          <w:rFonts w:ascii="Times New Roman" w:hAnsi="Times New Roman" w:cs="Times New Roman"/>
          <w:color w:val="auto"/>
          <w:sz w:val="24"/>
          <w:szCs w:val="24"/>
          <w:u w:val="none"/>
        </w:rPr>
        <w:t>PEACE IFEOLUWA IKUFORIJ</w:t>
      </w:r>
      <w:r w:rsidRPr="008C6BF4">
        <w:rPr>
          <w:rStyle w:val="Hyperlink"/>
          <w:rFonts w:ascii="Times New Roman" w:hAnsi="Times New Roman" w:cs="Times New Roman"/>
          <w:color w:val="auto"/>
          <w:sz w:val="24"/>
          <w:szCs w:val="24"/>
          <w:u w:val="none"/>
          <w:vertAlign w:val="superscript"/>
        </w:rPr>
        <w:t>2</w:t>
      </w:r>
    </w:p>
    <w:p w14:paraId="533533D3" w14:textId="238EF6DE" w:rsidR="009A732B" w:rsidRPr="00014C00" w:rsidRDefault="008C6BF4" w:rsidP="008C6BF4">
      <w:pPr>
        <w:spacing w:after="0" w:line="240" w:lineRule="auto"/>
        <w:rPr>
          <w:rFonts w:ascii="Times New Roman" w:hAnsi="Times New Roman" w:cs="Times New Roman"/>
          <w:sz w:val="20"/>
          <w:szCs w:val="20"/>
        </w:rPr>
      </w:pPr>
      <w:r w:rsidRPr="00014C00">
        <w:rPr>
          <w:rFonts w:ascii="Times New Roman" w:hAnsi="Times New Roman" w:cs="Times New Roman"/>
          <w:sz w:val="20"/>
          <w:szCs w:val="20"/>
          <w:vertAlign w:val="superscript"/>
        </w:rPr>
        <w:t>1</w:t>
      </w:r>
      <w:r w:rsidR="009A732B" w:rsidRPr="00014C00">
        <w:rPr>
          <w:rFonts w:ascii="Times New Roman" w:hAnsi="Times New Roman" w:cs="Times New Roman"/>
          <w:sz w:val="20"/>
          <w:szCs w:val="20"/>
        </w:rPr>
        <w:t>Department of Elect/Elect Engineering</w:t>
      </w:r>
      <w:r w:rsidRPr="00014C00">
        <w:rPr>
          <w:rFonts w:ascii="Times New Roman" w:hAnsi="Times New Roman" w:cs="Times New Roman"/>
          <w:sz w:val="20"/>
          <w:szCs w:val="20"/>
        </w:rPr>
        <w:t xml:space="preserve"> </w:t>
      </w:r>
      <w:r w:rsidR="009A732B" w:rsidRPr="00014C00">
        <w:rPr>
          <w:rFonts w:ascii="Times New Roman" w:hAnsi="Times New Roman" w:cs="Times New Roman"/>
          <w:sz w:val="20"/>
          <w:szCs w:val="20"/>
        </w:rPr>
        <w:t>Abdullahi Fodio University of Science and Technology,</w:t>
      </w:r>
      <w:r w:rsidRPr="00014C00">
        <w:rPr>
          <w:rFonts w:ascii="Times New Roman" w:hAnsi="Times New Roman" w:cs="Times New Roman"/>
          <w:sz w:val="20"/>
          <w:szCs w:val="20"/>
        </w:rPr>
        <w:t xml:space="preserve"> </w:t>
      </w:r>
      <w:proofErr w:type="spellStart"/>
      <w:r w:rsidR="009A732B" w:rsidRPr="00014C00">
        <w:rPr>
          <w:rFonts w:ascii="Times New Roman" w:hAnsi="Times New Roman" w:cs="Times New Roman"/>
          <w:sz w:val="20"/>
          <w:szCs w:val="20"/>
        </w:rPr>
        <w:t>Aliero</w:t>
      </w:r>
      <w:proofErr w:type="spellEnd"/>
      <w:r w:rsidR="009A732B" w:rsidRPr="00014C00">
        <w:rPr>
          <w:rFonts w:ascii="Times New Roman" w:hAnsi="Times New Roman" w:cs="Times New Roman"/>
          <w:sz w:val="20"/>
          <w:szCs w:val="20"/>
        </w:rPr>
        <w:t>, Nigeria.</w:t>
      </w:r>
    </w:p>
    <w:p w14:paraId="25D8A208" w14:textId="3EA16C9A" w:rsidR="008C6BF4" w:rsidRPr="00014C00" w:rsidRDefault="008C6BF4" w:rsidP="008C6BF4">
      <w:pPr>
        <w:spacing w:after="0" w:line="240" w:lineRule="auto"/>
        <w:rPr>
          <w:rFonts w:ascii="Times New Roman" w:hAnsi="Times New Roman" w:cs="Times New Roman"/>
          <w:sz w:val="20"/>
          <w:szCs w:val="20"/>
        </w:rPr>
      </w:pPr>
      <w:r w:rsidRPr="00014C00">
        <w:rPr>
          <w:rFonts w:ascii="Times New Roman" w:hAnsi="Times New Roman" w:cs="Times New Roman"/>
          <w:sz w:val="20"/>
          <w:szCs w:val="20"/>
          <w:vertAlign w:val="superscript"/>
        </w:rPr>
        <w:t>2</w:t>
      </w:r>
      <w:r w:rsidRPr="00014C00">
        <w:rPr>
          <w:rFonts w:ascii="Times New Roman" w:hAnsi="Times New Roman" w:cs="Times New Roman"/>
          <w:sz w:val="20"/>
          <w:szCs w:val="20"/>
        </w:rPr>
        <w:t>Department of Mathematics</w:t>
      </w:r>
      <w:r w:rsidRPr="00014C00">
        <w:rPr>
          <w:rFonts w:ascii="Times New Roman" w:hAnsi="Times New Roman" w:cs="Times New Roman"/>
          <w:sz w:val="20"/>
          <w:szCs w:val="20"/>
        </w:rPr>
        <w:t xml:space="preserve">, </w:t>
      </w:r>
      <w:r w:rsidRPr="00014C00">
        <w:rPr>
          <w:rFonts w:ascii="Times New Roman" w:hAnsi="Times New Roman" w:cs="Times New Roman"/>
          <w:sz w:val="20"/>
          <w:szCs w:val="20"/>
        </w:rPr>
        <w:t>Abdullahi Fodio University of Science and Technology,</w:t>
      </w:r>
      <w:r w:rsidRPr="00014C00">
        <w:rPr>
          <w:rFonts w:ascii="Times New Roman" w:hAnsi="Times New Roman" w:cs="Times New Roman"/>
          <w:sz w:val="20"/>
          <w:szCs w:val="20"/>
        </w:rPr>
        <w:t xml:space="preserve"> </w:t>
      </w:r>
      <w:proofErr w:type="spellStart"/>
      <w:r w:rsidRPr="00014C00">
        <w:rPr>
          <w:rFonts w:ascii="Times New Roman" w:hAnsi="Times New Roman" w:cs="Times New Roman"/>
          <w:sz w:val="20"/>
          <w:szCs w:val="20"/>
        </w:rPr>
        <w:t>Aliero</w:t>
      </w:r>
      <w:proofErr w:type="spellEnd"/>
      <w:r w:rsidRPr="00014C00">
        <w:rPr>
          <w:rFonts w:ascii="Times New Roman" w:hAnsi="Times New Roman" w:cs="Times New Roman"/>
          <w:sz w:val="20"/>
          <w:szCs w:val="20"/>
        </w:rPr>
        <w:t>, Nigeria.</w:t>
      </w:r>
    </w:p>
    <w:p w14:paraId="22C7A23B" w14:textId="77777777" w:rsidR="008C6BF4" w:rsidRDefault="008C6BF4" w:rsidP="008C6BF4">
      <w:pPr>
        <w:spacing w:after="0" w:line="240" w:lineRule="auto"/>
      </w:pPr>
    </w:p>
    <w:p w14:paraId="2B597DC5" w14:textId="77777777" w:rsidR="00014C00" w:rsidRPr="00DE4D58" w:rsidRDefault="00014C00" w:rsidP="00014C00">
      <w:pPr>
        <w:spacing w:after="0" w:line="240" w:lineRule="auto"/>
        <w:jc w:val="center"/>
        <w:rPr>
          <w:rFonts w:ascii="Times New Roman" w:hAnsi="Times New Roman" w:cs="Times New Roman"/>
          <w:b/>
          <w:bCs/>
          <w:color w:val="5B9BD5" w:themeColor="accent1"/>
          <w:sz w:val="24"/>
          <w:szCs w:val="24"/>
        </w:rPr>
      </w:pPr>
      <w:r w:rsidRPr="00DE4D58">
        <w:rPr>
          <w:rFonts w:ascii="Times New Roman" w:hAnsi="Times New Roman" w:cs="Times New Roman"/>
          <w:b/>
          <w:bCs/>
          <w:color w:val="5B9BD5" w:themeColor="accent1"/>
          <w:sz w:val="24"/>
          <w:szCs w:val="24"/>
        </w:rPr>
        <w:t>CORRESSPONDING AUTHOR</w:t>
      </w:r>
    </w:p>
    <w:p w14:paraId="233AC58F" w14:textId="77777777" w:rsidR="00014C00" w:rsidRPr="00DE4D58" w:rsidRDefault="00014C00" w:rsidP="00014C00">
      <w:pPr>
        <w:spacing w:after="0" w:line="240" w:lineRule="auto"/>
        <w:jc w:val="center"/>
        <w:rPr>
          <w:rFonts w:ascii="Times New Roman" w:hAnsi="Times New Roman" w:cs="Times New Roman"/>
          <w:sz w:val="24"/>
          <w:szCs w:val="24"/>
        </w:rPr>
      </w:pPr>
      <w:proofErr w:type="spellStart"/>
      <w:r w:rsidRPr="00DE4D58">
        <w:rPr>
          <w:rFonts w:ascii="Times New Roman" w:hAnsi="Times New Roman" w:cs="Times New Roman"/>
          <w:sz w:val="24"/>
          <w:szCs w:val="24"/>
        </w:rPr>
        <w:t>Yabani</w:t>
      </w:r>
      <w:proofErr w:type="spellEnd"/>
      <w:r w:rsidRPr="00DE4D58">
        <w:rPr>
          <w:rFonts w:ascii="Times New Roman" w:hAnsi="Times New Roman" w:cs="Times New Roman"/>
          <w:sz w:val="24"/>
          <w:szCs w:val="24"/>
        </w:rPr>
        <w:t xml:space="preserve"> </w:t>
      </w:r>
      <w:proofErr w:type="spellStart"/>
      <w:r w:rsidRPr="00DE4D58">
        <w:rPr>
          <w:rFonts w:ascii="Times New Roman" w:hAnsi="Times New Roman" w:cs="Times New Roman"/>
          <w:sz w:val="24"/>
          <w:szCs w:val="24"/>
        </w:rPr>
        <w:t>Gelwasa</w:t>
      </w:r>
      <w:proofErr w:type="spellEnd"/>
      <w:r w:rsidRPr="00DE4D58">
        <w:rPr>
          <w:rFonts w:ascii="Times New Roman" w:hAnsi="Times New Roman" w:cs="Times New Roman"/>
          <w:sz w:val="24"/>
          <w:szCs w:val="24"/>
        </w:rPr>
        <w:t xml:space="preserve"> Galadim</w:t>
      </w:r>
      <w:r w:rsidRPr="00DE4D58">
        <w:rPr>
          <w:rFonts w:ascii="Times New Roman" w:hAnsi="Times New Roman" w:cs="Times New Roman"/>
          <w:sz w:val="24"/>
          <w:szCs w:val="24"/>
          <w:vertAlign w:val="superscript"/>
        </w:rPr>
        <w:t>1</w:t>
      </w:r>
    </w:p>
    <w:p w14:paraId="20B9D45F" w14:textId="77777777" w:rsidR="00014C00" w:rsidRPr="00DE4D58" w:rsidRDefault="00014C00" w:rsidP="00014C00">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Department of Elect/Elect Engineering</w:t>
      </w:r>
    </w:p>
    <w:p w14:paraId="1414F6B0" w14:textId="77777777" w:rsidR="00014C00" w:rsidRPr="00DE4D58" w:rsidRDefault="00014C00" w:rsidP="00014C00">
      <w:pPr>
        <w:spacing w:after="0" w:line="240" w:lineRule="auto"/>
        <w:jc w:val="center"/>
        <w:rPr>
          <w:rFonts w:ascii="Times New Roman" w:hAnsi="Times New Roman" w:cs="Times New Roman"/>
          <w:sz w:val="24"/>
          <w:szCs w:val="24"/>
        </w:rPr>
      </w:pPr>
      <w:r w:rsidRPr="00DE4D58">
        <w:rPr>
          <w:rFonts w:ascii="Times New Roman" w:hAnsi="Times New Roman" w:cs="Times New Roman"/>
          <w:sz w:val="24"/>
          <w:szCs w:val="24"/>
        </w:rPr>
        <w:t>Abdullahi Fodio University of Science and Technology,</w:t>
      </w:r>
    </w:p>
    <w:p w14:paraId="03487DEE" w14:textId="77777777" w:rsidR="00014C00" w:rsidRPr="00DE4D58" w:rsidRDefault="00014C00" w:rsidP="00014C00">
      <w:pPr>
        <w:spacing w:after="0" w:line="240" w:lineRule="auto"/>
        <w:jc w:val="center"/>
        <w:rPr>
          <w:rFonts w:ascii="Times New Roman" w:hAnsi="Times New Roman" w:cs="Times New Roman"/>
          <w:sz w:val="24"/>
          <w:szCs w:val="24"/>
        </w:rPr>
      </w:pPr>
      <w:proofErr w:type="spellStart"/>
      <w:r w:rsidRPr="00DE4D58">
        <w:rPr>
          <w:rFonts w:ascii="Times New Roman" w:hAnsi="Times New Roman" w:cs="Times New Roman"/>
          <w:sz w:val="24"/>
          <w:szCs w:val="24"/>
        </w:rPr>
        <w:t>Aliero</w:t>
      </w:r>
      <w:proofErr w:type="spellEnd"/>
      <w:r w:rsidRPr="00DE4D58">
        <w:rPr>
          <w:rFonts w:ascii="Times New Roman" w:hAnsi="Times New Roman" w:cs="Times New Roman"/>
          <w:sz w:val="24"/>
          <w:szCs w:val="24"/>
        </w:rPr>
        <w:t>, Nigeria.</w:t>
      </w:r>
    </w:p>
    <w:p w14:paraId="0F13CB96" w14:textId="77777777" w:rsidR="00014C00" w:rsidRPr="00DE4D58" w:rsidRDefault="00014C00" w:rsidP="00014C00">
      <w:pPr>
        <w:spacing w:after="0" w:line="240" w:lineRule="auto"/>
        <w:jc w:val="center"/>
        <w:rPr>
          <w:rStyle w:val="Hyperlink"/>
          <w:rFonts w:ascii="Times New Roman" w:hAnsi="Times New Roman" w:cs="Times New Roman"/>
          <w:sz w:val="24"/>
          <w:szCs w:val="24"/>
        </w:rPr>
      </w:pPr>
      <w:hyperlink r:id="rId6" w:history="1">
        <w:r w:rsidRPr="00DE4D58">
          <w:rPr>
            <w:rStyle w:val="Hyperlink"/>
            <w:rFonts w:ascii="Times New Roman" w:hAnsi="Times New Roman" w:cs="Times New Roman"/>
            <w:sz w:val="24"/>
            <w:szCs w:val="24"/>
          </w:rPr>
          <w:t>yabani.galadima@ksusta.edu.ng</w:t>
        </w:r>
      </w:hyperlink>
    </w:p>
    <w:p w14:paraId="0575EED9" w14:textId="77777777" w:rsidR="00014C00" w:rsidRDefault="00014C00" w:rsidP="00014C00">
      <w:pPr>
        <w:spacing w:after="0" w:line="240" w:lineRule="auto"/>
        <w:jc w:val="center"/>
        <w:rPr>
          <w:rStyle w:val="Hyperlink"/>
          <w:rFonts w:ascii="Times New Roman" w:hAnsi="Times New Roman" w:cs="Times New Roman"/>
          <w:sz w:val="18"/>
          <w:szCs w:val="18"/>
        </w:rPr>
      </w:pPr>
      <w:hyperlink r:id="rId7" w:history="1">
        <w:r w:rsidRPr="00DE4D58">
          <w:rPr>
            <w:rStyle w:val="Hyperlink"/>
            <w:rFonts w:ascii="Times New Roman" w:hAnsi="Times New Roman" w:cs="Times New Roman"/>
            <w:sz w:val="24"/>
            <w:szCs w:val="24"/>
          </w:rPr>
          <w:t>https://orcid.org/0009-0006-0525-4044</w:t>
        </w:r>
      </w:hyperlink>
    </w:p>
    <w:p w14:paraId="1858AB8A" w14:textId="77777777" w:rsidR="00014C00" w:rsidRDefault="00014C00" w:rsidP="00014C00">
      <w:pPr>
        <w:spacing w:after="0" w:line="240" w:lineRule="auto"/>
        <w:jc w:val="center"/>
        <w:rPr>
          <w:rStyle w:val="Hyperlink"/>
          <w:rFonts w:ascii="Times New Roman" w:hAnsi="Times New Roman" w:cs="Times New Roman"/>
          <w:sz w:val="18"/>
          <w:szCs w:val="18"/>
        </w:rPr>
      </w:pPr>
    </w:p>
    <w:p w14:paraId="62DD6817" w14:textId="77777777" w:rsidR="00014C00" w:rsidRDefault="00014C00" w:rsidP="008F17C0">
      <w:pPr>
        <w:spacing w:after="0" w:line="240" w:lineRule="auto"/>
        <w:jc w:val="center"/>
        <w:rPr>
          <w:rFonts w:ascii="Times New Roman" w:hAnsi="Times New Roman" w:cs="Times New Roman"/>
          <w:sz w:val="18"/>
          <w:szCs w:val="18"/>
        </w:rPr>
      </w:pPr>
    </w:p>
    <w:p w14:paraId="2BC880DE" w14:textId="77777777" w:rsidR="008F17C0" w:rsidRDefault="008F17C0" w:rsidP="009A732B">
      <w:pPr>
        <w:spacing w:after="0" w:line="240" w:lineRule="auto"/>
        <w:rPr>
          <w:rFonts w:ascii="Times New Roman" w:hAnsi="Times New Roman" w:cs="Times New Roman"/>
          <w:color w:val="0000FF"/>
          <w:sz w:val="18"/>
          <w:szCs w:val="18"/>
          <w:u w:val="single"/>
        </w:rPr>
        <w:sectPr w:rsidR="008F17C0" w:rsidSect="008C6BF4">
          <w:type w:val="continuous"/>
          <w:pgSz w:w="12240" w:h="15840"/>
          <w:pgMar w:top="1440" w:right="1440" w:bottom="1440" w:left="1440" w:header="720" w:footer="720" w:gutter="0"/>
          <w:cols w:space="720"/>
          <w:docGrid w:linePitch="360"/>
        </w:sectPr>
      </w:pPr>
    </w:p>
    <w:p w14:paraId="75A54D9E" w14:textId="0BB8A4D4" w:rsidR="00014C00" w:rsidRPr="00014C00" w:rsidRDefault="00014C00" w:rsidP="00252B46">
      <w:pPr>
        <w:spacing w:before="100" w:beforeAutospacing="1" w:after="100" w:afterAutospacing="1" w:line="240" w:lineRule="auto"/>
        <w:jc w:val="both"/>
        <w:outlineLvl w:val="1"/>
        <w:rPr>
          <w:rFonts w:ascii="Times New Roman" w:eastAsia="Times New Roman" w:hAnsi="Times New Roman" w:cs="Times New Roman"/>
          <w:b/>
          <w:iCs/>
          <w:sz w:val="24"/>
          <w:szCs w:val="24"/>
        </w:rPr>
      </w:pPr>
      <w:r w:rsidRPr="00014C00">
        <w:rPr>
          <w:rFonts w:ascii="Times New Roman" w:eastAsia="Times New Roman" w:hAnsi="Times New Roman" w:cs="Times New Roman"/>
          <w:b/>
          <w:iCs/>
          <w:sz w:val="24"/>
          <w:szCs w:val="24"/>
        </w:rPr>
        <w:t>ABSTRACT</w:t>
      </w:r>
    </w:p>
    <w:p w14:paraId="144576EC" w14:textId="36910CD0" w:rsidR="00252B46" w:rsidRPr="00014C00" w:rsidRDefault="00252B46" w:rsidP="00252B46">
      <w:pPr>
        <w:spacing w:before="100" w:beforeAutospacing="1" w:after="100" w:afterAutospacing="1" w:line="240" w:lineRule="auto"/>
        <w:jc w:val="both"/>
        <w:outlineLvl w:val="1"/>
        <w:rPr>
          <w:rFonts w:ascii="Times New Roman" w:eastAsia="Times New Roman" w:hAnsi="Times New Roman" w:cs="Times New Roman"/>
          <w:bCs/>
          <w:i/>
          <w:iCs/>
          <w:sz w:val="20"/>
          <w:szCs w:val="20"/>
        </w:rPr>
      </w:pPr>
      <w:r w:rsidRPr="00014C00">
        <w:rPr>
          <w:rFonts w:ascii="Times New Roman" w:eastAsia="Times New Roman" w:hAnsi="Times New Roman" w:cs="Times New Roman"/>
          <w:i/>
          <w:iCs/>
          <w:sz w:val="20"/>
          <w:szCs w:val="20"/>
        </w:rPr>
        <w:t xml:space="preserve">The emergence of telecommuting has redefined global work dynamics, demanding resilient, reliable, and efficient energy infrastructures. Smart grid technologies, enhanced by machine learning (ML) and statistical methods, provide transformative solutions for optimizing power delivery, demand response, and sustainability in the context of remote work. This paper presents a comprehensive engineering perspective on smart grid optimization for telecommuting, using Abdullahi Fodio University of Science and Technology, </w:t>
      </w:r>
      <w:proofErr w:type="spellStart"/>
      <w:r w:rsidRPr="00014C00">
        <w:rPr>
          <w:rFonts w:ascii="Times New Roman" w:eastAsia="Times New Roman" w:hAnsi="Times New Roman" w:cs="Times New Roman"/>
          <w:i/>
          <w:iCs/>
          <w:sz w:val="20"/>
          <w:szCs w:val="20"/>
        </w:rPr>
        <w:t>Aliero</w:t>
      </w:r>
      <w:proofErr w:type="spellEnd"/>
      <w:r w:rsidRPr="00014C00">
        <w:rPr>
          <w:rFonts w:ascii="Times New Roman" w:eastAsia="Times New Roman" w:hAnsi="Times New Roman" w:cs="Times New Roman"/>
          <w:i/>
          <w:iCs/>
          <w:sz w:val="20"/>
          <w:szCs w:val="20"/>
        </w:rPr>
        <w:t>, as a reference case. The study explores load forecasting, renewable energy integration, voltage stability, and demand-side management through hybrid ML-statistical models. Limited mathematical formulations are used to illustrate optimization frameworks. Results indicate that integrating ML and statistical approaches enhances forecasting accuracy, reduces energy wastage, and ensures sustainable power for telecommuting environments. Contributions to knowledge include a hybrid optimization model for smart grid resilience, a statistical-ML synergy framework for demand-side response, and context-specific applications to Nigerian power networks.</w:t>
      </w:r>
    </w:p>
    <w:p w14:paraId="47F0041D" w14:textId="77777777" w:rsidR="00252B46" w:rsidRPr="00014C00" w:rsidRDefault="005D60C6" w:rsidP="00252B46">
      <w:pPr>
        <w:spacing w:before="100" w:beforeAutospacing="1" w:after="100" w:afterAutospacing="1" w:line="240" w:lineRule="auto"/>
        <w:jc w:val="both"/>
        <w:rPr>
          <w:rFonts w:ascii="Times New Roman" w:eastAsia="Times New Roman" w:hAnsi="Times New Roman" w:cs="Times New Roman"/>
          <w:b/>
          <w:i/>
          <w:sz w:val="24"/>
          <w:szCs w:val="24"/>
        </w:rPr>
      </w:pPr>
      <w:r w:rsidRPr="00014C00">
        <w:rPr>
          <w:rFonts w:ascii="Times New Roman" w:eastAsia="Times New Roman" w:hAnsi="Times New Roman" w:cs="Times New Roman"/>
          <w:b/>
          <w:sz w:val="24"/>
          <w:szCs w:val="24"/>
        </w:rPr>
        <w:t>Keywords</w:t>
      </w:r>
      <w:r w:rsidR="00252B46" w:rsidRPr="00014C00">
        <w:rPr>
          <w:rFonts w:ascii="Times New Roman" w:eastAsia="Times New Roman" w:hAnsi="Times New Roman" w:cs="Times New Roman"/>
          <w:b/>
          <w:sz w:val="24"/>
          <w:szCs w:val="24"/>
        </w:rPr>
        <w:t xml:space="preserve">: </w:t>
      </w:r>
      <w:r w:rsidR="00252B46" w:rsidRPr="00014C00">
        <w:rPr>
          <w:rFonts w:ascii="Times New Roman" w:eastAsia="Times New Roman" w:hAnsi="Times New Roman" w:cs="Times New Roman"/>
          <w:b/>
          <w:i/>
          <w:sz w:val="24"/>
          <w:szCs w:val="24"/>
        </w:rPr>
        <w:t>Smart Grid, Telecommuting, Machine Learning, Statistical Methods, Power Systems Optimization, Demand Response.</w:t>
      </w:r>
    </w:p>
    <w:p w14:paraId="5DDAB835" w14:textId="77777777" w:rsidR="008F17C0" w:rsidRDefault="008F17C0" w:rsidP="00252B46">
      <w:pPr>
        <w:spacing w:before="100" w:beforeAutospacing="1" w:after="100" w:afterAutospacing="1" w:line="240" w:lineRule="auto"/>
        <w:jc w:val="both"/>
        <w:outlineLvl w:val="1"/>
        <w:rPr>
          <w:rFonts w:ascii="Times New Roman" w:eastAsia="Times New Roman" w:hAnsi="Times New Roman" w:cs="Times New Roman"/>
          <w:b/>
          <w:bCs/>
          <w:sz w:val="24"/>
          <w:szCs w:val="24"/>
        </w:rPr>
        <w:sectPr w:rsidR="008F17C0" w:rsidSect="008C6BF4">
          <w:type w:val="continuous"/>
          <w:pgSz w:w="12240" w:h="15840"/>
          <w:pgMar w:top="1440" w:right="1440" w:bottom="1440" w:left="1440" w:header="720" w:footer="720" w:gutter="0"/>
          <w:cols w:space="720"/>
          <w:docGrid w:linePitch="360"/>
        </w:sectPr>
      </w:pPr>
    </w:p>
    <w:p w14:paraId="7A6C8039" w14:textId="0FA9B8ED" w:rsidR="00252B46" w:rsidRPr="00252B46" w:rsidRDefault="00252B46" w:rsidP="00252B46">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252B46">
        <w:rPr>
          <w:rFonts w:ascii="Times New Roman" w:eastAsia="Times New Roman" w:hAnsi="Times New Roman" w:cs="Times New Roman"/>
          <w:b/>
          <w:bCs/>
          <w:sz w:val="24"/>
          <w:szCs w:val="24"/>
        </w:rPr>
        <w:t>I. Introduction</w:t>
      </w:r>
    </w:p>
    <w:p w14:paraId="2F800BBC" w14:textId="77777777" w:rsidR="00252B46" w:rsidRPr="00252B46" w:rsidRDefault="00252B46" w:rsidP="004C4EC4">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The COVID-19 pandemic accelerated the adoption of telecommuting globally, reshaping electricity consumption patterns and intensifying the demand for resilient smart grids</w:t>
      </w:r>
      <w:r w:rsidR="00C63379">
        <w:rPr>
          <w:rFonts w:ascii="Times New Roman" w:eastAsia="Times New Roman" w:hAnsi="Times New Roman" w:cs="Times New Roman"/>
          <w:sz w:val="24"/>
          <w:szCs w:val="24"/>
        </w:rPr>
        <w:fldChar w:fldCharType="begin" w:fldLock="1"/>
      </w:r>
      <w:r w:rsidR="00C63379">
        <w:rPr>
          <w:rFonts w:ascii="Times New Roman" w:eastAsia="Times New Roman" w:hAnsi="Times New Roman" w:cs="Times New Roman"/>
          <w:sz w:val="24"/>
          <w:szCs w:val="24"/>
        </w:rPr>
        <w:instrText>ADDIN CSL_CITATION {"citationItems":[{"id":"ITEM-1","itemData":{"DOI":"10.1016/j.enbuild.2023.112996","ISSN":"03787788","abstract":"Despite decades of research on the environmental impacts of teleworking, most studies have neglected building-related energy use and emissions. Even fewer studies have explored the relative influence of different variables on those emissions. This study therefore explores the building-related emissions from teleworking in England using data from the UK Energy Performance Certificate (EPC) database over the period 2008 to 2022. We use a building energy model to estimate the additional emissions associated with different patterns of teleworking, including variations in heated area and internal temperature. We combine our results with a separate set of estimates of the transport-related emissions. We also employ global sensitivity analysis to identify the relative importance of different variables. We find that English teleworkers have significantly higher emissions than non-teleworkers. Considering both transport and domestic building emissions, working from home 3–5 days/week leads to 3% less to 17% more carbon emissions than conventional work patterns depending on the heating area, heating system heating time and required temperature. We find that heating area has the biggest influence on building emissions, followed by the number of heating hours, wall insulation and the efficiency performance and carbon intensity of the heating system.","author":[{"dropping-particle":"","family":"Shi","given":"Yao","non-dropping-particle":"","parse-names":false,"suffix":""},{"dropping-particle":"","family":"Sorrell","given":"Steve","non-dropping-particle":"","parse-names":false,"suffix":""},{"dropping-particle":"","family":"Foxon","given":"Timothy","non-dropping-particle":"","parse-names":false,"suffix":""}],"container-title":"Energy and Buildings","id":"ITEM-1","issued":{"date-parts":[["2023"]]},"page":"112996","publisher":"The Authors","title":"The impact of teleworking on domestic energy use and carbon emissions: An assessment for England","type":"article-journal","volume":"287"},"uris":["http://www.mendeley.com/documents/?uuid=bea85812-c9db-4c8a-8b0b-35b3c57f3fb9"]},{"id":"ITEM-2","itemData":{"author":[{"dropping-particle":"","family":"Nowshin","given":"Tanzida","non-dropping-particle":"","parse-names":false,"suffix":""},{"dropping-particle":"","family":"Hossain","given":"Farhana","non-dropping-particle":"","parse-names":false,"suffix":""}],"id":"ITEM-2","issued":{"date-parts":[["0"]]},"title":"Assessing the Economic and Environmental Impacts of Remote Work : A Comprehensive Study of Energy Consumption , Carbon Emissions , and Future Trends in Sustainability","type":"article-journal"},"uris":["http://www.mendeley.com/documents/?uuid=739cf754-e8b4-45ab-919a-7faab2443ccf"]}],"mendeley":{"formattedCitation":"[1], [2]","plainTextFormattedCitation":"[1], [2]","previouslyFormattedCitation":"[1], [2]"},"properties":{"noteIndex":0},"schema":"https://github.com/citation-style-language/schema/raw/master/csl-citation.json"}</w:instrText>
      </w:r>
      <w:r w:rsidR="00C63379">
        <w:rPr>
          <w:rFonts w:ascii="Times New Roman" w:eastAsia="Times New Roman" w:hAnsi="Times New Roman" w:cs="Times New Roman"/>
          <w:sz w:val="24"/>
          <w:szCs w:val="24"/>
        </w:rPr>
        <w:fldChar w:fldCharType="separate"/>
      </w:r>
      <w:r w:rsidR="00C63379" w:rsidRPr="00C63379">
        <w:rPr>
          <w:rFonts w:ascii="Times New Roman" w:eastAsia="Times New Roman" w:hAnsi="Times New Roman" w:cs="Times New Roman"/>
          <w:noProof/>
          <w:sz w:val="24"/>
          <w:szCs w:val="24"/>
        </w:rPr>
        <w:t>[1], [2]</w:t>
      </w:r>
      <w:r w:rsidR="00C63379">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As </w:t>
      </w:r>
      <w:r w:rsidR="00C63379">
        <w:rPr>
          <w:rFonts w:ascii="Times New Roman" w:eastAsia="Times New Roman" w:hAnsi="Times New Roman" w:cs="Times New Roman"/>
          <w:sz w:val="24"/>
          <w:szCs w:val="24"/>
        </w:rPr>
        <w:t>employee’s</w:t>
      </w:r>
      <w:r w:rsidRPr="00252B46">
        <w:rPr>
          <w:rFonts w:ascii="Times New Roman" w:eastAsia="Times New Roman" w:hAnsi="Times New Roman" w:cs="Times New Roman"/>
          <w:sz w:val="24"/>
          <w:szCs w:val="24"/>
        </w:rPr>
        <w:t xml:space="preserve"> transition from centralized offices to distributed home-based workspaces, energy consumption becomes more unpredictable, placing new chal</w:t>
      </w:r>
      <w:r w:rsidR="00C63379">
        <w:rPr>
          <w:rFonts w:ascii="Times New Roman" w:eastAsia="Times New Roman" w:hAnsi="Times New Roman" w:cs="Times New Roman"/>
          <w:sz w:val="24"/>
          <w:szCs w:val="24"/>
        </w:rPr>
        <w:t xml:space="preserve">lenges on conventional grids </w:t>
      </w:r>
      <w:r w:rsidR="00C63379">
        <w:rPr>
          <w:rFonts w:ascii="Times New Roman" w:eastAsia="Times New Roman" w:hAnsi="Times New Roman" w:cs="Times New Roman"/>
          <w:sz w:val="24"/>
          <w:szCs w:val="24"/>
        </w:rPr>
        <w:fldChar w:fldCharType="begin" w:fldLock="1"/>
      </w:r>
      <w:r w:rsidR="00C63379">
        <w:rPr>
          <w:rFonts w:ascii="Times New Roman" w:eastAsia="Times New Roman" w:hAnsi="Times New Roman" w:cs="Times New Roman"/>
          <w:sz w:val="24"/>
          <w:szCs w:val="24"/>
        </w:rPr>
        <w:instrText>ADDIN CSL_CITATION {"citationItems":[{"id":"ITEM-1","itemData":{"DOI":"10.3390/en16062804","ISSN":"19961073","abstract":"Modern power engineering is struggling with various problems that have not been observed before or have occurred very rarely. The main cause of these problems results from the increasing number of connected distributed electricity sources, mainly renewable energy sources (RESs). Therefore, energy generation is becoming more and more diverse, both in terms of technology and location. Grids that have so far worked as receiving networks change their original function and become generation networks. The directions of power flow have changed. In the case of distribution networks, this is manifested by power flows towards transformer stations and further to the network with a higher voltage level. As a result of a large number of RESs, their total share in the total generation increases. This has a significant impact on various aspects of the operation of the power system. Voltage profiles, branch loads, power flows and directions of power flows between areas change. As a result of the random nature of RES generation, there are problems with the quality of electricity, source stability issues, branch overloading, voltage exceedances and power balance. The occurrence of various types of problems requires the use of more and more advanced methods to solve them. This review paper, which is an introduction to the Special Issue Advanced Optimisation and Forecasting Methods in Power Engineering, describes and justifies the need to reach for effective and available mathematical and IT methods that are necessary to deal with the existing threats appearing in the operation of modern power systems. It indicates exemplary, current problems and advanced methods to solve them. This article is an introduction and justification for the use of advanced calculation methods and algorithms. Engineering intuition and experience are often not enough due to the size and complexity of power grid operation. Therefore, it becomes necessary to use methods based on artificial intelligence and other advanced solutions that will facilitate and support decision making in practice.","author":[{"dropping-particle":"","family":"Pijarski","given":"Paweł","non-dropping-particle":"","parse-names":false,"suffix":""},{"dropping-particle":"","family":"Kacejko","given":"Piotr","non-dropping-particle":"","parse-names":false,"suffix":""},{"dropping-particle":"","family":"Miller","given":"Piotr","non-dropping-particle":"","parse-names":false,"suffix":""}],"container-title":"Energies","id":"ITEM-1","issue":"6","issued":{"date-parts":[["2023"]]},"title":"Advanced Optimisation and Forecasting Methods in Power Engineering—Introduction to the Special Issue","type":"article-journal","volume":"16"},"uris":["http://www.mendeley.com/documents/?uuid=2138a6d9-e658-448b-996f-99605ca4ed90"]},{"id":"ITEM-2","itemData":{"DOI":"10.1109/TPWRS.2010.2051168","ISSN":"08858950","abstract":"Matpower is an open-source Matlab-based power system simulation package that provides a high-level set of power flow, optimal power flow (OPF), and other tools targeted toward researchers, educators, and students. The OPF architecture is designed to be extensible, making it easy to add user-defined variables, costs, and constraints to the standard OPF problem. This paper presents the details of the network modeling and problem formulations used by Matpower, including its extensible OPF architecture. This structure is used internally to implement several extensions to the standard OPF problem, including piece-wise linear cost functions, dispatchable loads, generator capability curves, and branch angle difference limits. Simulation results are presented for a number of test cases comparing the performance of several available OPF solvers and demonstrating Matpower's ability to solve large-scale AC and DC OPF problems. © 2010 IEEE.","author":[{"dropping-particle":"","family":"Zimmerman","given":"Ray Daniel","non-dropping-particle":"","parse-names":false,"suffix":""},{"dropping-particle":"","family":"Murillo-Sánchez","given":"Carlos Edmundo","non-dropping-particle":"","parse-names":false,"suffix":""},{"dropping-particle":"","family":"Thomas","given":"Robert John","non-dropping-particle":"","parse-names":false,"suffix":""}],"container-title":"IEEE Transactions on Power Systems","id":"ITEM-2","issue":"1","issued":{"date-parts":[["2011"]]},"page":"12-19","title":"MATPOWER: Steady-state operations, planning, and analysis tools for power systems research and education","type":"article-journal","volume":"26"},"uris":["http://www.mendeley.com/documents/?uuid=41aa7410-7777-40b9-b711-407348f0b730"]}],"mendeley":{"formattedCitation":"[3], [4]","plainTextFormattedCitation":"[3], [4]","previouslyFormattedCitation":"[3], [4]"},"properties":{"noteIndex":0},"schema":"https://github.com/citation-style-language/schema/raw/master/csl-citation.json"}</w:instrText>
      </w:r>
      <w:r w:rsidR="00C63379">
        <w:rPr>
          <w:rFonts w:ascii="Times New Roman" w:eastAsia="Times New Roman" w:hAnsi="Times New Roman" w:cs="Times New Roman"/>
          <w:sz w:val="24"/>
          <w:szCs w:val="24"/>
        </w:rPr>
        <w:fldChar w:fldCharType="separate"/>
      </w:r>
      <w:r w:rsidR="00C63379" w:rsidRPr="00C63379">
        <w:rPr>
          <w:rFonts w:ascii="Times New Roman" w:eastAsia="Times New Roman" w:hAnsi="Times New Roman" w:cs="Times New Roman"/>
          <w:noProof/>
          <w:sz w:val="24"/>
          <w:szCs w:val="24"/>
        </w:rPr>
        <w:t>[3], [4]</w:t>
      </w:r>
      <w:r w:rsidR="00C63379">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w:t>
      </w:r>
      <w:r w:rsidRPr="00252B46">
        <w:rPr>
          <w:rFonts w:ascii="Times New Roman" w:eastAsia="Times New Roman" w:hAnsi="Times New Roman" w:cs="Times New Roman"/>
          <w:sz w:val="24"/>
          <w:szCs w:val="24"/>
        </w:rPr>
        <w:t>Smart grids, characterized by bidirectional communication, advanced metering infrastructure (AMI), and intelligent control, have emerged as the backbone of modern t</w:t>
      </w:r>
      <w:r w:rsidR="00C63379">
        <w:rPr>
          <w:rFonts w:ascii="Times New Roman" w:eastAsia="Times New Roman" w:hAnsi="Times New Roman" w:cs="Times New Roman"/>
          <w:sz w:val="24"/>
          <w:szCs w:val="24"/>
        </w:rPr>
        <w:t xml:space="preserve">elecommuting-based societies </w:t>
      </w:r>
      <w:r w:rsidR="00C63379">
        <w:rPr>
          <w:rFonts w:ascii="Times New Roman" w:eastAsia="Times New Roman" w:hAnsi="Times New Roman" w:cs="Times New Roman"/>
          <w:sz w:val="24"/>
          <w:szCs w:val="24"/>
        </w:rPr>
        <w:fldChar w:fldCharType="begin" w:fldLock="1"/>
      </w:r>
      <w:r w:rsidR="007C39E3">
        <w:rPr>
          <w:rFonts w:ascii="Times New Roman" w:eastAsia="Times New Roman" w:hAnsi="Times New Roman" w:cs="Times New Roman"/>
          <w:sz w:val="24"/>
          <w:szCs w:val="24"/>
        </w:rPr>
        <w:instrText>ADDIN CSL_CITATION {"citationItems":[{"id":"ITEM-1","itemData":{"DOI":"10.1109/ACCESS.2021.3110947","ISSN":"21693536","abstract":"Photovoltaic (PV) systems are subject to failures during their operation due to the aging effects and external/environmental conditions. These faults may affect the different system components such as PV modules, connection lines, converters/inverters, which can lead to a decrease in the efficiency, performance, and further system collapse. Thus, a key factor to be taken into consideration in high-efficiency grid-connected PV systems is the fault detection and diagnosis (FDD). The performance of the FDD method depends mainly on the quality of the extracted features including real-time changes, phase changes, trend changes, and faulty modes. Thus, the data representation learning is the core stage of intelligent FDD techniques. Recently, due to the enhancement of computing capabilities, the increase of the big data use, and the development of effective algorithms, the deep learning (DL) tool has witnessed a great success in data science. Therefore, this paper proposes an extensive review on deep learning based FDD methods for PV systems. After a brief description of the DL-based strategies, techniques for diagnosing PV systems proposed in recent literature are overviewed and analyzed to point out their differences, advantages and limits. Future research directions towards the improvement of the performance of the DL-based FDD techniques are also discussed. This review paper aims to systematically present the development of DL-based FDD for PV systems and provide guidelines for future research in the field.","author":[{"dropping-particle":"","family":"Mansouri","given":"Majdi","non-dropping-particle":"","parse-names":false,"suffix":""},{"dropping-particle":"","family":"Trabelsi","given":"Mohamed","non-dropping-particle":"","parse-names":false,"suffix":""},{"dropping-particle":"","family":"Nounou","given":"Hazem","non-dropping-particle":"","parse-names":false,"suffix":""},{"dropping-particle":"","family":"Nounou","given":"Mohamed","non-dropping-particle":"","parse-names":false,"suffix":""}],"container-title":"IEEE Access","id":"ITEM-1","issued":{"date-parts":[["2021"]]},"page":"126286-126306","publisher":"IEEE","title":"Deep Learning-Based Fault Diagnosis of Photovoltaic Systems: A Comprehensive Review and Enhancement Prospects","type":"article-journal","volume":"9"},"uris":["http://www.mendeley.com/documents/?uuid=eafc497f-2c4b-4301-9519-4fa4dbe63f4d"]},{"id":"ITEM-2","itemData":{"DOI":"10.1016/j.rineng.2025.105355","ISSN":"25901230","abstract":"Applying machine Learning (ML) techniques to power system control and stability has become a game-changing strategy for dealing with the increasing complexity of contemporary electrical grids. This review paper demonstrates how machine learning approaches can stabilize and manage three different power system types —voltage, small signal, and transient —for the integration of renewable energy sources. Data-driven methods and artificial neural networks can utilize sensors and actuator activities in conjunction with machine learning technologies that enable vector machines.ML ensures consistent power input and output in power systems, maximizing system restoration and safeguarding the entire system. Additionally, when the voltage source is autonomously controlled, ML technology simultaneously diagnoses and detects defects. Although obstacles are identified due to the lack of sophisticated monitoring, operation, and control, researchers are developing additional usage features, such as federated learning and physics-informed neural networks. Not all the data is available for testing, but researchers are currently working to obtain 99 %.","author":[{"dropping-particle":"","family":"Islam","given":"Rakibul","non-dropping-particle":"","parse-names":false,"suffix":""},{"dropping-particle":"","family":"Rivin","given":"Mir Araf Hossain","non-dropping-particle":"","parse-names":false,"suffix":""},{"dropping-particle":"","family":"Sultana","given":"Sharmin","non-dropping-particle":"","parse-names":false,"suffix":""},{"dropping-particle":"","family":"Asif","given":"MD Amaddus Bepary","non-dropping-particle":"","parse-names":false,"suffix":""},{"dropping-particle":"","family":"Mohammad","given":"Mahathir","non-dropping-particle":"","parse-names":false,"suffix":""},{"dropping-particle":"","family":"Rahaman","given":"Mustafizur","non-dropping-particle":"","parse-names":false,"suffix":""}],"container-title":"Results in Engineering","id":"ITEM-2","issue":"April","issued":{"date-parts":[["2025"]]},"page":"105355","publisher":"Elsevier B.V.","title":"Machine learning for power system stability and control","type":"article-journal","volume":"26"},"uris":["http://www.mendeley.com/documents/?uuid=e5c413fc-372e-465e-a67f-c6ad456ba783"]}],"mendeley":{"formattedCitation":"[5], [6]","plainTextFormattedCitation":"[5], [6]","previouslyFormattedCitation":"[5], [6]"},"properties":{"noteIndex":0},"schema":"https://github.com/citation-style-language/schema/raw/master/csl-citation.json"}</w:instrText>
      </w:r>
      <w:r w:rsidR="00C63379">
        <w:rPr>
          <w:rFonts w:ascii="Times New Roman" w:eastAsia="Times New Roman" w:hAnsi="Times New Roman" w:cs="Times New Roman"/>
          <w:sz w:val="24"/>
          <w:szCs w:val="24"/>
        </w:rPr>
        <w:fldChar w:fldCharType="separate"/>
      </w:r>
      <w:r w:rsidR="00C63379" w:rsidRPr="00C63379">
        <w:rPr>
          <w:rFonts w:ascii="Times New Roman" w:eastAsia="Times New Roman" w:hAnsi="Times New Roman" w:cs="Times New Roman"/>
          <w:noProof/>
          <w:sz w:val="24"/>
          <w:szCs w:val="24"/>
        </w:rPr>
        <w:t>[5], [6]</w:t>
      </w:r>
      <w:r w:rsidR="00C63379">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w:t>
      </w:r>
    </w:p>
    <w:p w14:paraId="5E4EFD0B"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In Nigeria, telecommuting adoption is increasing among academic institutions, corporate organizati</w:t>
      </w:r>
      <w:r w:rsidR="007C39E3">
        <w:rPr>
          <w:rFonts w:ascii="Times New Roman" w:eastAsia="Times New Roman" w:hAnsi="Times New Roman" w:cs="Times New Roman"/>
          <w:sz w:val="24"/>
          <w:szCs w:val="24"/>
        </w:rPr>
        <w:t>ons, and government agencies</w:t>
      </w:r>
      <w:r w:rsidR="007C39E3">
        <w:rPr>
          <w:rFonts w:ascii="Times New Roman" w:eastAsia="Times New Roman" w:hAnsi="Times New Roman" w:cs="Times New Roman"/>
          <w:sz w:val="24"/>
          <w:szCs w:val="24"/>
        </w:rPr>
        <w:fldChar w:fldCharType="begin" w:fldLock="1"/>
      </w:r>
      <w:r w:rsidR="007C39E3">
        <w:rPr>
          <w:rFonts w:ascii="Times New Roman" w:eastAsia="Times New Roman" w:hAnsi="Times New Roman" w:cs="Times New Roman"/>
          <w:sz w:val="24"/>
          <w:szCs w:val="24"/>
        </w:rPr>
        <w:instrText>ADDIN CSL_CITATION {"citationItems":[{"id":"ITEM-1","itemData":{"DOI":"10.1109/ACCESS.2021.3110947","ISSN":"21693536","abstract":"Photovoltaic (PV) systems are subject to failures during their operation due to the aging effects and external/environmental conditions. These faults may affect the different system components such as PV modules, connection lines, converters/inverters, which can lead to a decrease in the efficiency, performance, and further system collapse. Thus, a key factor to be taken into consideration in high-efficiency grid-connected PV systems is the fault detection and diagnosis (FDD). The performance of the FDD method depends mainly on the quality of the extracted features including real-time changes, phase changes, trend changes, and faulty modes. Thus, the data representation learning is the core stage of intelligent FDD techniques. Recently, due to the enhancement of computing capabilities, the increase of the big data use, and the development of effective algorithms, the deep learning (DL) tool has witnessed a great success in data science. Therefore, this paper proposes an extensive review on deep learning based FDD methods for PV systems. After a brief description of the DL-based strategies, techniques for diagnosing PV systems proposed in recent literature are overviewed and analyzed to point out their differences, advantages and limits. Future research directions towards the improvement of the performance of the DL-based FDD techniques are also discussed. This review paper aims to systematically present the development of DL-based FDD for PV systems and provide guidelines for future research in the field.","author":[{"dropping-particle":"","family":"Mansouri","given":"Majdi","non-dropping-particle":"","parse-names":false,"suffix":""},{"dropping-particle":"","family":"Trabelsi","given":"Mohamed","non-dropping-particle":"","parse-names":false,"suffix":""},{"dropping-particle":"","family":"Nounou","given":"Hazem","non-dropping-particle":"","parse-names":false,"suffix":""},{"dropping-particle":"","family":"Nounou","given":"Mohamed","non-dropping-particle":"","parse-names":false,"suffix":""}],"container-title":"IEEE Access","id":"ITEM-1","issued":{"date-parts":[["2021"]]},"page":"126286-126306","publisher":"IEEE","title":"Deep Learning-Based Fault Diagnosis of Photovoltaic Systems: A Comprehensive Review and Enhancement Prospects","type":"article-journal","volume":"9"},"uris":["http://www.mendeley.com/documents/?uuid=eafc497f-2c4b-4301-9519-4fa4dbe63f4d"]},{"id":"ITEM-2","itemData":{"DOI":"10.1016/j.rineng.2025.105355","ISSN":"25901230","abstract":"Applying machine Learning (ML) techniques to power system control and stability has become a game-changing strategy for dealing with the increasing complexity of contemporary electrical grids. This review paper demonstrates how machine learning approaches can stabilize and manage three different power system types —voltage, small signal, and transient —for the integration of renewable energy sources. Data-driven methods and artificial neural networks can utilize sensors and actuator activities in conjunction with machine learning technologies that enable vector machines.ML ensures consistent power input and output in power systems, maximizing system restoration and safeguarding the entire system. Additionally, when the voltage source is autonomously controlled, ML technology simultaneously diagnoses and detects defects. Although obstacles are identified due to the lack of sophisticated monitoring, operation, and control, researchers are developing additional usage features, such as federated learning and physics-informed neural networks. Not all the data is available for testing, but researchers are currently working to obtain 99 %.","author":[{"dropping-particle":"","family":"Islam","given":"Rakibul","non-dropping-particle":"","parse-names":false,"suffix":""},{"dropping-particle":"","family":"Rivin","given":"Mir Araf Hossain","non-dropping-particle":"","parse-names":false,"suffix":""},{"dropping-particle":"","family":"Sultana","given":"Sharmin","non-dropping-particle":"","parse-names":false,"suffix":""},{"dropping-particle":"","family":"Asif","given":"MD Amaddus Bepary","non-dropping-particle":"","parse-names":false,"suffix":""},{"dropping-particle":"","family":"Mohammad","given":"Mahathir","non-dropping-particle":"","parse-names":false,"suffix":""},{"dropping-particle":"","family":"Rahaman","given":"Mustafizur","non-dropping-particle":"","parse-names":false,"suffix":""}],"container-title":"Results in Engineering","id":"ITEM-2","issue":"April","issued":{"date-parts":[["2025"]]},"page":"105355","publisher":"Elsevier B.V.","title":"Machine learning for power system stability and control","type":"article-journal","volume":"26"},"uris":["http://www.mendeley.com/documents/?uuid=e5c413fc-372e-465e-a67f-c6ad456ba783"]}],"mendeley":{"formattedCitation":"[5], [6]","plainTextFormattedCitation":"[5], [6]","previouslyFormattedCitation":"[5], [6]"},"properties":{"noteIndex":0},"schema":"https://github.com/citation-style-language/schema/raw/master/csl-citation.json"}</w:instrText>
      </w:r>
      <w:r w:rsidR="007C39E3">
        <w:rPr>
          <w:rFonts w:ascii="Times New Roman" w:eastAsia="Times New Roman" w:hAnsi="Times New Roman" w:cs="Times New Roman"/>
          <w:sz w:val="24"/>
          <w:szCs w:val="24"/>
        </w:rPr>
        <w:fldChar w:fldCharType="separate"/>
      </w:r>
      <w:r w:rsidR="007C39E3" w:rsidRPr="007C39E3">
        <w:rPr>
          <w:rFonts w:ascii="Times New Roman" w:eastAsia="Times New Roman" w:hAnsi="Times New Roman" w:cs="Times New Roman"/>
          <w:noProof/>
          <w:sz w:val="24"/>
          <w:szCs w:val="24"/>
        </w:rPr>
        <w:t>[5], [6]</w:t>
      </w:r>
      <w:r w:rsidR="007C39E3">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The Abdullahi Fodio University of Science and Technology </w:t>
      </w:r>
      <w:r w:rsidRPr="00252B46">
        <w:rPr>
          <w:rFonts w:ascii="Times New Roman" w:eastAsia="Times New Roman" w:hAnsi="Times New Roman" w:cs="Times New Roman"/>
          <w:sz w:val="24"/>
          <w:szCs w:val="24"/>
        </w:rPr>
        <w:lastRenderedPageBreak/>
        <w:t xml:space="preserve">(AFUSTA), </w:t>
      </w:r>
      <w:proofErr w:type="spellStart"/>
      <w:r w:rsidRPr="00252B46">
        <w:rPr>
          <w:rFonts w:ascii="Times New Roman" w:eastAsia="Times New Roman" w:hAnsi="Times New Roman" w:cs="Times New Roman"/>
          <w:sz w:val="24"/>
          <w:szCs w:val="24"/>
        </w:rPr>
        <w:t>Aliero</w:t>
      </w:r>
      <w:proofErr w:type="spellEnd"/>
      <w:r w:rsidRPr="00252B46">
        <w:rPr>
          <w:rFonts w:ascii="Times New Roman" w:eastAsia="Times New Roman" w:hAnsi="Times New Roman" w:cs="Times New Roman"/>
          <w:sz w:val="24"/>
          <w:szCs w:val="24"/>
        </w:rPr>
        <w:t xml:space="preserve">, serves as a representative case where digital learning, virtual administrative meetings, and remote research collaborations necessitate </w:t>
      </w:r>
      <w:r w:rsidR="001833B1">
        <w:rPr>
          <w:rFonts w:ascii="Times New Roman" w:eastAsia="Times New Roman" w:hAnsi="Times New Roman" w:cs="Times New Roman"/>
          <w:sz w:val="24"/>
          <w:szCs w:val="24"/>
        </w:rPr>
        <w:t xml:space="preserve">an </w:t>
      </w:r>
      <w:r w:rsidR="007C39E3">
        <w:rPr>
          <w:rFonts w:ascii="Times New Roman" w:eastAsia="Times New Roman" w:hAnsi="Times New Roman" w:cs="Times New Roman"/>
          <w:sz w:val="24"/>
          <w:szCs w:val="24"/>
        </w:rPr>
        <w:t>uninterrupted power supply</w:t>
      </w:r>
      <w:r w:rsidR="007C39E3">
        <w:rPr>
          <w:rFonts w:ascii="Times New Roman" w:eastAsia="Times New Roman" w:hAnsi="Times New Roman" w:cs="Times New Roman"/>
          <w:sz w:val="24"/>
          <w:szCs w:val="24"/>
        </w:rPr>
        <w:fldChar w:fldCharType="begin" w:fldLock="1"/>
      </w:r>
      <w:r w:rsidR="007C39E3">
        <w:rPr>
          <w:rFonts w:ascii="Times New Roman" w:eastAsia="Times New Roman" w:hAnsi="Times New Roman" w:cs="Times New Roman"/>
          <w:sz w:val="24"/>
          <w:szCs w:val="24"/>
        </w:rPr>
        <w:instrText>ADDIN CSL_CITATION {"citationItems":[{"id":"ITEM-1","itemData":{"DOI":"10.30574/gjeta.2021.7.1.0035","abstract":"In this paper, the structure of the Nigerian power sector is examined, the problems in the structure are identified and a new structure is proposed for effective power generation, transmission and distribution. Besides the problems usually canvassed, the current structure is defective from the perspective of the ownership of the power infrastructures, passive involvement of state governments and undue influence of the federal government. The reforms in the sector were driven by the Electric Power Sector Reform Act (EPSRA) of 2005, leading to the creation of Power Holding Company of Nigeria (PHCN) to take both the assets and the liabilities of the then National Electric Power Authority (NEPA), and the subsequent unbundling of PHCN to 18 successor companies – 6 power generating companies, one power transmission company and 11 power distribution companies. The new structure proposed in this work gives room for every state government to own power plants and distribute power in the various states. They can equally buy power from independent power producers. Power plants owned by the federal government in the present structure are to continue sending power to the national grid and made available to states with insufficient power generation in the new structure. Independent power producers can also send power to the national grid. The federal government will continue managing power transmission in the new structure. Each state government will own at least two power distribution companies in partnership with private organizations who will equally have a stake in the ownership of the power generating plants. The tariff of grid-connected power will be higher, encouraging states to go into active power generation. The new structure will enable the federal government to do away with rural electrification programme and other power generation options regulated by the Nigerian Electricity Regulatory Commission which should be under the control of various state governments. New laws are needed in the place of the EPSRA to achieve the new structure. The federal government will make money from the proposed structure instead of spending huge sums of money in the present structure.","author":[{"dropping-particle":"","family":"Ebigenibo Genuine Saturday","given":"","non-dropping-particle":"","parse-names":false,"suffix":""}],"container-title":"Global Journal of Engineering and Technology Advances","id":"ITEM-1","issue":"1","issued":{"date-parts":[["2021"]]},"page":"06-018","title":"Nigerian Power Sector: A new structure required for effective and adequate power generation, transmission and distribution","type":"article-journal","volume":"1"},"uris":["http://www.mendeley.com/documents/?uuid=a91e2b4d-a2bf-4152-ba1d-3154da42215a"]},{"id":"ITEM-2","itemData":{"abstract":"Voltage stability issues within Nigeria's 330 kV power grid pose significant risks to the reliability and efficiency of the power\nsupply, hence, there is the need for urgent investigation. This research aims to assess the voltage stability of Nigeria's 330 kV Power\ngrid with specific objectives viz; identifying critical buses and branches, assessing the effect of shunt faults on voltage stability and\nimplementing reactive power compensation to stabilize bus voltages. A fast decoupled load flow technique was utilized to analyze\nthe 330 kV Nigerian power system and obtain system losses alongside locating critical buses. With the aid of ETAP 12.0 software\nthe network was modelled and shunt faults were introduced for transient studies. This provided a base to evaluate voltage stability.\nVAr sources were integrated to determine their effects on bus voltages and transient stability. The findings indicated that the Jebba\nHydro, Shiroro Hydro, and Olorunsogo gas buses were overloaded, while the Yola and Maiduguri buses faced Undervoltage issues.\nThe transient stability analysis demonstrated that VAr compensation effectively restored voltage stability at the critical buses. This\nresearch offers proactive strategies to ensure voltage stability in Nigeria's 330 kV power grid, thereby enhancing the reliability and\nefficiency of power supply","author":[{"dropping-particle":"","family":"Onyegbadue","given":"Ikenna A","non-dropping-particle":"","parse-names":false,"suffix":""},{"dropping-particle":"","family":"Ukagu","given":"Stephen N","non-dropping-particle":"","parse-names":false,"suffix":""},{"dropping-particle":"","family":"Okonkwo","given":"Dennis O","non-dropping-particle":"","parse-names":false,"suffix":""}],"container-title":"UNIZIK Journal of Engineering and Applied Sciences","id":"ITEM-2","issue":"5","issued":{"date-parts":[["2024"]]},"page":"1382- 1401","title":"Voltage Stability Assessment of Nigeria 330 kV Power Grid: A Critical Bus Perspective","type":"article-journal","volume":"3"},"uris":["http://www.mendeley.com/documents/?uuid=a6be3e3e-7dc8-463e-87c7-f8ecad4edaab"]}],"mendeley":{"formattedCitation":"[7], [8]","plainTextFormattedCitation":"[7], [8]","previouslyFormattedCitation":"[7], [8]"},"properties":{"noteIndex":0},"schema":"https://github.com/citation-style-language/schema/raw/master/csl-citation.json"}</w:instrText>
      </w:r>
      <w:r w:rsidR="007C39E3">
        <w:rPr>
          <w:rFonts w:ascii="Times New Roman" w:eastAsia="Times New Roman" w:hAnsi="Times New Roman" w:cs="Times New Roman"/>
          <w:sz w:val="24"/>
          <w:szCs w:val="24"/>
        </w:rPr>
        <w:fldChar w:fldCharType="separate"/>
      </w:r>
      <w:r w:rsidR="007C39E3" w:rsidRPr="007C39E3">
        <w:rPr>
          <w:rFonts w:ascii="Times New Roman" w:eastAsia="Times New Roman" w:hAnsi="Times New Roman" w:cs="Times New Roman"/>
          <w:noProof/>
          <w:sz w:val="24"/>
          <w:szCs w:val="24"/>
        </w:rPr>
        <w:t>[7], [8]</w:t>
      </w:r>
      <w:r w:rsidR="007C39E3">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However, the country’s power system faces challenges such as voltage instability, high technical losses, and low renewable energy penetration</w:t>
      </w:r>
      <w:r w:rsidR="007C39E3">
        <w:rPr>
          <w:rFonts w:ascii="Times New Roman" w:eastAsia="Times New Roman" w:hAnsi="Times New Roman" w:cs="Times New Roman"/>
          <w:sz w:val="24"/>
          <w:szCs w:val="24"/>
        </w:rPr>
        <w:fldChar w:fldCharType="begin" w:fldLock="1"/>
      </w:r>
      <w:r w:rsidR="007C39E3">
        <w:rPr>
          <w:rFonts w:ascii="Times New Roman" w:eastAsia="Times New Roman" w:hAnsi="Times New Roman" w:cs="Times New Roman"/>
          <w:sz w:val="24"/>
          <w:szCs w:val="24"/>
        </w:rPr>
        <w:instrText>ADDIN CSL_CITATION {"citationItems":[{"id":"ITEM-1","itemData":{"author":[{"dropping-particle":"","family":"Onochie","given":"U P","non-dropping-particle":"","parse-names":false,"suffix":""},{"dropping-particle":"","family":"Egware","given":"H O","non-dropping-particle":"","parse-names":false,"suffix":""},{"dropping-particle":"","family":"Eyakwanor","given":"T O","non-dropping-particle":"","parse-names":false,"suffix":""}],"id":"ITEM-1","issue":"April 2015","issued":{"date-parts":[["2019"]]},"title":"The Nigeria Electric Power Sector ( Opportunities and Challenges )","type":"article-journal"},"uris":["http://www.mendeley.com/documents/?uuid=92acfe98-29ec-4932-99b3-1a4c9d676ca4"]}],"mendeley":{"formattedCitation":"[9]","plainTextFormattedCitation":"[9]","previouslyFormattedCitation":"[9]"},"properties":{"noteIndex":0},"schema":"https://github.com/citation-style-language/schema/raw/master/csl-citation.json"}</w:instrText>
      </w:r>
      <w:r w:rsidR="007C39E3">
        <w:rPr>
          <w:rFonts w:ascii="Times New Roman" w:eastAsia="Times New Roman" w:hAnsi="Times New Roman" w:cs="Times New Roman"/>
          <w:sz w:val="24"/>
          <w:szCs w:val="24"/>
        </w:rPr>
        <w:fldChar w:fldCharType="separate"/>
      </w:r>
      <w:r w:rsidR="007C39E3" w:rsidRPr="007C39E3">
        <w:rPr>
          <w:rFonts w:ascii="Times New Roman" w:eastAsia="Times New Roman" w:hAnsi="Times New Roman" w:cs="Times New Roman"/>
          <w:noProof/>
          <w:sz w:val="24"/>
          <w:szCs w:val="24"/>
        </w:rPr>
        <w:t>[9]</w:t>
      </w:r>
      <w:r w:rsidR="007C39E3">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Addressing these issues requires innovative strategies leveraging machine learning (ML) and statistical </w:t>
      </w:r>
      <w:r w:rsidR="001833B1">
        <w:rPr>
          <w:rFonts w:ascii="Times New Roman" w:eastAsia="Times New Roman" w:hAnsi="Times New Roman" w:cs="Times New Roman"/>
          <w:sz w:val="24"/>
          <w:szCs w:val="24"/>
        </w:rPr>
        <w:t>optimization methods</w:t>
      </w:r>
      <w:r w:rsidRPr="00252B46">
        <w:rPr>
          <w:rFonts w:ascii="Times New Roman" w:eastAsia="Times New Roman" w:hAnsi="Times New Roman" w:cs="Times New Roman"/>
          <w:sz w:val="24"/>
          <w:szCs w:val="24"/>
        </w:rPr>
        <w:t>.</w:t>
      </w:r>
    </w:p>
    <w:p w14:paraId="174E6F5B"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Machine learning has demonstrated effectiveness in predictive analytics, anomaly detection, and demand-side forecasting, while statistical models provide rigor for trend analysis, uncertainty quantification, and prob</w:t>
      </w:r>
      <w:r w:rsidR="007C39E3">
        <w:rPr>
          <w:rFonts w:ascii="Times New Roman" w:eastAsia="Times New Roman" w:hAnsi="Times New Roman" w:cs="Times New Roman"/>
          <w:sz w:val="24"/>
          <w:szCs w:val="24"/>
        </w:rPr>
        <w:t xml:space="preserve">abilistic optimization </w:t>
      </w:r>
      <w:r w:rsidR="007C39E3">
        <w:rPr>
          <w:rFonts w:ascii="Times New Roman" w:eastAsia="Times New Roman" w:hAnsi="Times New Roman" w:cs="Times New Roman"/>
          <w:sz w:val="24"/>
          <w:szCs w:val="24"/>
        </w:rPr>
        <w:fldChar w:fldCharType="begin" w:fldLock="1"/>
      </w:r>
      <w:r w:rsidR="007C39E3">
        <w:rPr>
          <w:rFonts w:ascii="Times New Roman" w:eastAsia="Times New Roman" w:hAnsi="Times New Roman" w:cs="Times New Roman"/>
          <w:sz w:val="24"/>
          <w:szCs w:val="24"/>
        </w:rPr>
        <w:instrText>ADDIN CSL_CITATION {"citationItems":[{"id":"ITEM-1","itemData":{"DOI":"10.1109/ACCESS.2025.3533702","ISSN":"21693536","abstract":"The integration of distributed generation (DG), renewable energy sources (RES), and power electronic converters into distribution systems (DSs) has introduced significant power quality (PQ) challenges, such as voltage fluctuations, harmonic distortions, and transients. These issues can undermine the reliability and stability of power systems, making it essential to address them to ensure a consistent and resilient power supply, especially as RES adoption continues to grow. While previous reviews have explored artificial intelligence (AI) applications for PQ management, most have been limited to specific AI techniques or targeted PQ problems, such as harmonics. This review, however, offers a comprehensive synthesis of AI-based approaches across a wide range of PQ applications, encompassing detection, classification, and improvement, while also considering the specific PQ issues addressed in each case. By adopting an integrated approach, this review identifies key research gaps, particularly the limited focus on leveraging AI to control power converters in RESs for PQ improvement, as most existing studies emphasize devices like active power filters, compensators, and conditioners. The review also evaluates the effectiveness of these AI methods in terms of accuracy and the extent of total harmonic distortion (THD) reduction. In addition, it provides novel insights that can help guide researchers, engineers, and industry professionals toward developing more adaptive, scalable, and robust PQ solutions. Finally, future research directions are proposed to advance AI-based PQ management, facilitating the integration of AI into diverse and evolving power systems.","author":[{"dropping-particle":"","family":"Dehaghani","given":"Mitra Nabian","non-dropping-particle":"","parse-names":false,"suffix":""},{"dropping-particle":"","family":"Korotko","given":"Tarmo","non-dropping-particle":"","parse-names":false,"suffix":""},{"dropping-particle":"","family":"Rosin","given":"Argo","non-dropping-particle":"","parse-names":false,"suffix":""}],"container-title":"IEEE Access","id":"ITEM-1","issue":"January","issued":{"date-parts":[["2025"]]},"page":"18346-18365","title":"AI Applications for Power Quality Issues in Distribution Systems: A Systematic Review","type":"article-journal","volume":"13"},"uris":["http://www.mendeley.com/documents/?uuid=28d89cab-8aea-48a6-9abf-9e98e93e9b67"]}],"mendeley":{"formattedCitation":"[10]","plainTextFormattedCitation":"[10]","previouslyFormattedCitation":"[10]"},"properties":{"noteIndex":0},"schema":"https://github.com/citation-style-language/schema/raw/master/csl-citation.json"}</w:instrText>
      </w:r>
      <w:r w:rsidR="007C39E3">
        <w:rPr>
          <w:rFonts w:ascii="Times New Roman" w:eastAsia="Times New Roman" w:hAnsi="Times New Roman" w:cs="Times New Roman"/>
          <w:sz w:val="24"/>
          <w:szCs w:val="24"/>
        </w:rPr>
        <w:fldChar w:fldCharType="separate"/>
      </w:r>
      <w:r w:rsidR="007C39E3" w:rsidRPr="007C39E3">
        <w:rPr>
          <w:rFonts w:ascii="Times New Roman" w:eastAsia="Times New Roman" w:hAnsi="Times New Roman" w:cs="Times New Roman"/>
          <w:noProof/>
          <w:sz w:val="24"/>
          <w:szCs w:val="24"/>
        </w:rPr>
        <w:t>[10]</w:t>
      </w:r>
      <w:r w:rsidR="007C39E3">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Their integration into smart grids creates a synergistic framework capable of addressing power reliability i</w:t>
      </w:r>
      <w:r w:rsidR="007C39E3">
        <w:rPr>
          <w:rFonts w:ascii="Times New Roman" w:eastAsia="Times New Roman" w:hAnsi="Times New Roman" w:cs="Times New Roman"/>
          <w:sz w:val="24"/>
          <w:szCs w:val="24"/>
        </w:rPr>
        <w:t>ssues in telecommuting contexts</w:t>
      </w:r>
      <w:r w:rsidR="007C39E3">
        <w:rPr>
          <w:rFonts w:ascii="Times New Roman" w:eastAsia="Times New Roman" w:hAnsi="Times New Roman" w:cs="Times New Roman"/>
          <w:sz w:val="24"/>
          <w:szCs w:val="24"/>
        </w:rPr>
        <w:fldChar w:fldCharType="begin" w:fldLock="1"/>
      </w:r>
      <w:r w:rsidR="00AF1D00">
        <w:rPr>
          <w:rFonts w:ascii="Times New Roman" w:eastAsia="Times New Roman" w:hAnsi="Times New Roman" w:cs="Times New Roman"/>
          <w:sz w:val="24"/>
          <w:szCs w:val="24"/>
        </w:rPr>
        <w:instrText>ADDIN CSL_CITATION {"citationItems":[{"id":"ITEM-1","itemData":{"DOI":"10.3390/su16124959","ISSN":"20711050","abstract":"This paper presents an in-depth exploration of the application of Artificial Intelligence (AI) in enhancing the resilience of microgrids. It begins with an overview of the impact of natural events on power systems and provides data and insights related to power outages and blackouts caused by natural events in Estonia, setting the context for the need for resilient power systems. Then, the paper delves into the concept of resilience and the role of microgrids in maintaining power stability. The paper reviews various AI techniques and methods, and their application in power systems and microgrids. It further investigates how AI can be leveraged to improve the resilience of microgrids, particularly during different phases of an event occurrence time (pre-event, during event, and post-event). A comparative analysis of the performance of various AI models is presented, highlighting their ability to maintain stability and ensure a reliable power supply. This comprehensive review contributes significantly to the existing body of knowledge and sets the stage for future research in this field. The paper concludes with a discussion of future work and directions, emphasizing the potential of AI in revolutionizing power system monitoring and control.","author":[{"dropping-particle":"","family":"Zahraoui","given":"Younes","non-dropping-particle":"","parse-names":false,"suffix":""},{"dropping-particle":"","family":"Korõtko","given":"Tarmo","non-dropping-particle":"","parse-names":false,"suffix":""},{"dropping-particle":"","family":"Rosin","given":"Argo","non-dropping-particle":"","parse-names":false,"suffix":""},{"dropping-particle":"","family":"Mekhilef","given":"Saad","non-dropping-particle":"","parse-names":false,"suffix":""},{"dropping-particle":"","family":"Seyedmahmoudian","given":"Mehdi","non-dropping-particle":"","parse-names":false,"suffix":""},{"dropping-particle":"","family":"Stojcevski","given":"Alex","non-dropping-particle":"","parse-names":false,"suffix":""},{"dropping-particle":"","family":"Alhamrouni","given":"Ibrahim","non-dropping-particle":"","parse-names":false,"suffix":""}],"container-title":"Sustainability (Switzerland) ","id":"ITEM-1","issue":"12","issued":{"date-parts":[["2024"]]},"title":"AI Applications to Enhance Resilience in Power Systems and Microgrids—A Review","type":"article-journal","volume":"16"},"uris":["http://www.mendeley.com/documents/?uuid=c5ef996d-6187-42e2-b660-42375576f24f"]}],"mendeley":{"formattedCitation":"[11]","plainTextFormattedCitation":"[11]","previouslyFormattedCitation":"[11]"},"properties":{"noteIndex":0},"schema":"https://github.com/citation-style-language/schema/raw/master/csl-citation.json"}</w:instrText>
      </w:r>
      <w:r w:rsidR="007C39E3">
        <w:rPr>
          <w:rFonts w:ascii="Times New Roman" w:eastAsia="Times New Roman" w:hAnsi="Times New Roman" w:cs="Times New Roman"/>
          <w:sz w:val="24"/>
          <w:szCs w:val="24"/>
        </w:rPr>
        <w:fldChar w:fldCharType="separate"/>
      </w:r>
      <w:r w:rsidR="007C39E3" w:rsidRPr="007C39E3">
        <w:rPr>
          <w:rFonts w:ascii="Times New Roman" w:eastAsia="Times New Roman" w:hAnsi="Times New Roman" w:cs="Times New Roman"/>
          <w:noProof/>
          <w:sz w:val="24"/>
          <w:szCs w:val="24"/>
        </w:rPr>
        <w:t>[11]</w:t>
      </w:r>
      <w:r w:rsidR="007C39E3">
        <w:rPr>
          <w:rFonts w:ascii="Times New Roman" w:eastAsia="Times New Roman" w:hAnsi="Times New Roman" w:cs="Times New Roman"/>
          <w:sz w:val="24"/>
          <w:szCs w:val="24"/>
        </w:rPr>
        <w:fldChar w:fldCharType="end"/>
      </w:r>
      <w:r w:rsidR="007C39E3">
        <w:rPr>
          <w:rFonts w:ascii="Times New Roman" w:eastAsia="Times New Roman" w:hAnsi="Times New Roman" w:cs="Times New Roman"/>
          <w:sz w:val="24"/>
          <w:szCs w:val="24"/>
        </w:rPr>
        <w:t>.</w:t>
      </w:r>
    </w:p>
    <w:p w14:paraId="3712C02A"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This study provides an engineering perspective, combining ML and statistical methods to optimize smart grids for telecommuting. Specific objectives include:</w:t>
      </w:r>
    </w:p>
    <w:p w14:paraId="6562D762" w14:textId="77777777" w:rsidR="00252B46" w:rsidRPr="00252B46" w:rsidRDefault="001833B1" w:rsidP="00252B4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Analyzing</w:t>
      </w:r>
      <w:r w:rsidR="00252B46" w:rsidRPr="00252B46">
        <w:rPr>
          <w:rFonts w:ascii="Times New Roman" w:eastAsia="Times New Roman" w:hAnsi="Times New Roman" w:cs="Times New Roman"/>
          <w:sz w:val="24"/>
          <w:szCs w:val="24"/>
        </w:rPr>
        <w:t xml:space="preserve"> power consumption dynamics induced by telecommuting.</w:t>
      </w:r>
    </w:p>
    <w:p w14:paraId="1BEDB96C" w14:textId="77777777" w:rsidR="00252B46" w:rsidRPr="00252B46" w:rsidRDefault="00252B46" w:rsidP="00252B4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Developing hybrid ML-statistical models for load forecasting.</w:t>
      </w:r>
    </w:p>
    <w:p w14:paraId="09EF3084" w14:textId="77777777" w:rsidR="00252B46" w:rsidRPr="00252B46" w:rsidRDefault="00252B46" w:rsidP="00252B4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Optimizing demand-side management and renewable integration.</w:t>
      </w:r>
    </w:p>
    <w:p w14:paraId="3824E7FC" w14:textId="77777777" w:rsidR="00252B46" w:rsidRPr="00252B46" w:rsidRDefault="00252B46" w:rsidP="00252B46">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Proposing a framework tailored for Nigeria’s energy context.</w:t>
      </w:r>
    </w:p>
    <w:p w14:paraId="7AE47294"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The novelty of this paper lies in contextualizing smart grid optimization within the telecommuting paradigm of Nigeria, using AFUSTA as a case study, while advancing hybrid computational frameworks to enhance grid reliability.</w:t>
      </w:r>
    </w:p>
    <w:p w14:paraId="62C75B7F" w14:textId="7D2825C0" w:rsidR="00252B46" w:rsidRPr="00252B46" w:rsidRDefault="00252B46" w:rsidP="00252B46">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252B46">
        <w:rPr>
          <w:rFonts w:ascii="Times New Roman" w:eastAsia="Times New Roman" w:hAnsi="Times New Roman" w:cs="Times New Roman"/>
          <w:b/>
          <w:bCs/>
          <w:sz w:val="24"/>
          <w:szCs w:val="24"/>
        </w:rPr>
        <w:t>II. Literature Review</w:t>
      </w:r>
    </w:p>
    <w:p w14:paraId="150DF267"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A. Smart Grids and Telecommuting</w:t>
      </w:r>
    </w:p>
    <w:p w14:paraId="53191609"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Smart grids integrate sensing, communication, and computation to improve</w:t>
      </w:r>
      <w:r w:rsidR="00AF1D00">
        <w:rPr>
          <w:rFonts w:ascii="Times New Roman" w:eastAsia="Times New Roman" w:hAnsi="Times New Roman" w:cs="Times New Roman"/>
          <w:sz w:val="24"/>
          <w:szCs w:val="24"/>
        </w:rPr>
        <w:t xml:space="preserve"> reliability and efficiency </w:t>
      </w:r>
      <w:r w:rsidR="00AF1D00">
        <w:rPr>
          <w:rFonts w:ascii="Times New Roman" w:eastAsia="Times New Roman" w:hAnsi="Times New Roman" w:cs="Times New Roman"/>
          <w:sz w:val="24"/>
          <w:szCs w:val="24"/>
        </w:rPr>
        <w:fldChar w:fldCharType="begin" w:fldLock="1"/>
      </w:r>
      <w:r w:rsidR="008D56C8">
        <w:rPr>
          <w:rFonts w:ascii="Times New Roman" w:eastAsia="Times New Roman" w:hAnsi="Times New Roman" w:cs="Times New Roman"/>
          <w:sz w:val="24"/>
          <w:szCs w:val="24"/>
        </w:rPr>
        <w:instrText>ADDIN CSL_CITATION {"citationItems":[{"id":"ITEM-1","itemData":{"abstract":"Graphical Abstract Description: The graphical abstract visually synthesizes the interaction between hybrid renewable energy system (HRES) architectures and artificial intelligence (AI) optimization strategies. It depicts the chronological progression of HRES configurations (2010-2025), highlighting key technological synergies-such as PV-wind-ESS integration-and overlays AI techniques including machine learning (ML), deep learning (DL), and reinforcement learning (RL) used for system sizing, forecasting, and real-time control. The schematic includes pathways for AI-enabled energy forecasting, energy management systems (EMS), and multi-objective optimization, culminating in outcomes such as enhanced reliability, cost reduction, and CO 2 mitigation. Arrows denote data flow and control feedback loops, illustrating the role of AI in transforming static energy systems into dynamic, intelligent infrastructures aligned with global sustainability goals. • A comprehensive synthesis of 250 peer-reviewed studies (2010-2025) reveals the evolution of hybrid renewable energy system configurations and their convergence with artificial intelligence-driven optimization. • The study categorizes and evaluates AI method-ologies-including metaheuristics, machine learning , deep learning, and reinforcement learning demonstrating their role in enhancing system sizing, forecasting, and real-time energy management. • Metaheuristic and hybrid optimization techniques deliver cost reductions up to 80%, while advanced forecasting models achieve near-perfect accuracy (R 2 &gt; 0.99), underscoring their impact on operational efficiency. • A critical analysis identifies existing challenges in empirical validation, algorithm scalability, cyber-physical integration, and socioeconomic inclusiv-ity, proposing a future roadmap for AI-enhanced, resilient, and equitable HRES deployment. • The review provides actionable insights for researchers , policymakers, and energy planners aiming to align intelligent energy systems with global decarbonization and energy access goals. Abstract Hybrid renewable energy systems (HRES), which integrate multiple generation sources such as solar photovoltaics, wind turbines, and energy storage systems, are increasingly recognized as foundational components in the transition toward low-carbon and resilient energy infrastructures. In this context, artificial intelligence (AI) has emerged as a critical enabler for managing the complexity and variability inherent in …","author":[{"dropping-particle":"","family":"Azad","given":"Abdus Samad","non-dropping-particle":"","parse-names":false,"suffix":""},{"dropping-particle":"","family":"Islam","given":"Nahina","non-dropping-particle":"","parse-names":false,"suffix":""},{"dropping-particle":"","family":"Nabi","given":"Nurun","non-dropping-particle":"","parse-names":false,"suffix":""},{"dropping-particle":"","family":"Silva","given":"Shameenda","non-dropping-particle":"De","parse-names":false,"suffix":""},{"dropping-particle":"","family":"Sokkalingam","given":"Rajalingam","non-dropping-particle":"","parse-names":false,"suffix":""}],"id":"ITEM-1","issued":{"date-parts":[["2025"]]},"title":"Artificial Intelligence Applications in Hybrid Renewable Energy Systems: A Comprehensive Review of Techniques, Applications, and Challenges","type":"article-journal"},"uris":["http://www.mendeley.com/documents/?uuid=71d19894-7934-41f5-bcc7-77867e4963c6"]}],"mendeley":{"formattedCitation":"[12]","plainTextFormattedCitation":"[12]","previouslyFormattedCitation":"[12]"},"properties":{"noteIndex":0},"schema":"https://github.com/citation-style-language/schema/raw/master/csl-citation.json"}</w:instrText>
      </w:r>
      <w:r w:rsidR="00AF1D00">
        <w:rPr>
          <w:rFonts w:ascii="Times New Roman" w:eastAsia="Times New Roman" w:hAnsi="Times New Roman" w:cs="Times New Roman"/>
          <w:sz w:val="24"/>
          <w:szCs w:val="24"/>
        </w:rPr>
        <w:fldChar w:fldCharType="separate"/>
      </w:r>
      <w:r w:rsidR="00AF1D00" w:rsidRPr="00AF1D00">
        <w:rPr>
          <w:rFonts w:ascii="Times New Roman" w:eastAsia="Times New Roman" w:hAnsi="Times New Roman" w:cs="Times New Roman"/>
          <w:noProof/>
          <w:sz w:val="24"/>
          <w:szCs w:val="24"/>
        </w:rPr>
        <w:t>[12]</w:t>
      </w:r>
      <w:r w:rsidR="00AF1D00">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In telecommuting environments, smart grids enable flexible demand response and real-time </w:t>
      </w:r>
      <w:r w:rsidR="008D56C8">
        <w:rPr>
          <w:rFonts w:ascii="Times New Roman" w:eastAsia="Times New Roman" w:hAnsi="Times New Roman" w:cs="Times New Roman"/>
          <w:sz w:val="24"/>
          <w:szCs w:val="24"/>
        </w:rPr>
        <w:t xml:space="preserve">power balancing </w:t>
      </w:r>
      <w:r w:rsidR="008D56C8">
        <w:rPr>
          <w:rFonts w:ascii="Times New Roman" w:eastAsia="Times New Roman" w:hAnsi="Times New Roman" w:cs="Times New Roman"/>
          <w:sz w:val="24"/>
          <w:szCs w:val="24"/>
        </w:rPr>
        <w:fldChar w:fldCharType="begin" w:fldLock="1"/>
      </w:r>
      <w:r w:rsidR="008D56C8">
        <w:rPr>
          <w:rFonts w:ascii="Times New Roman" w:eastAsia="Times New Roman" w:hAnsi="Times New Roman" w:cs="Times New Roman"/>
          <w:sz w:val="24"/>
          <w:szCs w:val="24"/>
        </w:rPr>
        <w:instrText>ADDIN CSL_CITATION {"citationItems":[{"id":"ITEM-1","itemData":{"DOI":"10.1080/23311975.2023.2242160","ISSN":"23311975","abstract":"The COVID-19 pandemic has forced employees to telecommute. Telecommuting has resulted in a work overload in secret places. This has eroded the line between personal and professional life, increasing the risk of conflict. This article reviews the existing research on work-life balance and examines the impact of telecommuting on work-life balance. The study found that work-life interaction and workplace factors influence employee engagement and exhaustion. Work-related expectations, such as emotional and time demands, must be addressed to decrease work-family conflict and create a good work-life balance. This review adds to the body of knowledge by establishing the importance of work-life balance for telecommuting. This review produced two scholarly contributions to work-life balance. Beginning with an overview of existing research topics and organized work-life balance concepts, second, it identified crucial study areas to understand distant work-life balance better. Implications for practice and future research directions are discussed as well.","author":[{"dropping-particle":"","family":"Bhat","given":"Zahid Hussain","non-dropping-particle":"","parse-names":false,"suffix":""},{"dropping-particle":"","family":"Yousuf","given":"Uqba","non-dropping-particle":"","parse-names":false,"suffix":""},{"dropping-particle":"","family":"Saba","given":"Nuzhat","non-dropping-particle":"","parse-names":false,"suffix":""}],"container-title":"Cogent Business and Management","id":"ITEM-1","issue":"2","issued":{"date-parts":[["2023"]]},"publisher":"Cogent","title":"Revolutionizing work-life balance: Unleashing the power of telecommuting on work engagement and exhaustion levels","type":"article-journal","volume":"10"},"uris":["http://www.mendeley.com/documents/?uuid=87ae130c-4ea7-4a42-a85f-ddadee5b1ac3"]}],"mendeley":{"formattedCitation":"[13]","plainTextFormattedCitation":"[13]","previouslyFormattedCitation":"[13]"},"properties":{"noteIndex":0},"schema":"https://github.com/citation-style-language/schema/raw/master/csl-citation.json"}</w:instrText>
      </w:r>
      <w:r w:rsidR="008D56C8">
        <w:rPr>
          <w:rFonts w:ascii="Times New Roman" w:eastAsia="Times New Roman" w:hAnsi="Times New Roman" w:cs="Times New Roman"/>
          <w:sz w:val="24"/>
          <w:szCs w:val="24"/>
        </w:rPr>
        <w:fldChar w:fldCharType="separate"/>
      </w:r>
      <w:r w:rsidR="008D56C8" w:rsidRPr="008D56C8">
        <w:rPr>
          <w:rFonts w:ascii="Times New Roman" w:eastAsia="Times New Roman" w:hAnsi="Times New Roman" w:cs="Times New Roman"/>
          <w:noProof/>
          <w:sz w:val="24"/>
          <w:szCs w:val="24"/>
        </w:rPr>
        <w:t>[13]</w:t>
      </w:r>
      <w:r w:rsidR="008D56C8">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Studies in Europe and Asia have shown that telecommuting increases residential peak loads during mid-day hours, requiring adaptive grid control</w:t>
      </w:r>
      <w:r w:rsidR="008D56C8">
        <w:rPr>
          <w:rFonts w:ascii="Times New Roman" w:eastAsia="Times New Roman" w:hAnsi="Times New Roman" w:cs="Times New Roman"/>
          <w:sz w:val="24"/>
          <w:szCs w:val="24"/>
        </w:rPr>
        <w:fldChar w:fldCharType="begin" w:fldLock="1"/>
      </w:r>
      <w:r w:rsidR="008D56C8">
        <w:rPr>
          <w:rFonts w:ascii="Times New Roman" w:eastAsia="Times New Roman" w:hAnsi="Times New Roman" w:cs="Times New Roman"/>
          <w:sz w:val="24"/>
          <w:szCs w:val="24"/>
        </w:rPr>
        <w:instrText>ADDIN CSL_CITATION {"citationItems":[{"id":"ITEM-1","itemData":{"DOI":"10.1016/j.enbuild.2023.112996","ISSN":"03787788","abstract":"Despite decades of research on the environmental impacts of teleworking, most studies have neglected building-related energy use and emissions. Even fewer studies have explored the relative influence of different variables on those emissions. This study therefore explores the building-related emissions from teleworking in England using data from the UK Energy Performance Certificate (EPC) database over the period 2008 to 2022. We use a building energy model to estimate the additional emissions associated with different patterns of teleworking, including variations in heated area and internal temperature. We combine our results with a separate set of estimates of the transport-related emissions. We also employ global sensitivity analysis to identify the relative importance of different variables. We find that English teleworkers have significantly higher emissions than non-teleworkers. Considering both transport and domestic building emissions, working from home 3–5 days/week leads to 3% less to 17% more carbon emissions than conventional work patterns depending on the heating area, heating system heating time and required temperature. We find that heating area has the biggest influence on building emissions, followed by the number of heating hours, wall insulation and the efficiency performance and carbon intensity of the heating system.","author":[{"dropping-particle":"","family":"Shi","given":"Yao","non-dropping-particle":"","parse-names":false,"suffix":""},{"dropping-particle":"","family":"Sorrell","given":"Steve","non-dropping-particle":"","parse-names":false,"suffix":""},{"dropping-particle":"","family":"Foxon","given":"Timothy","non-dropping-particle":"","parse-names":false,"suffix":""}],"container-title":"Energy and Buildings","id":"ITEM-1","issued":{"date-parts":[["2023"]]},"page":"112996","publisher":"The Authors","title":"The impact of teleworking on domestic energy use and carbon emissions: An assessment for England","type":"article-journal","volume":"287"},"uris":["http://www.mendeley.com/documents/?uuid=bea85812-c9db-4c8a-8b0b-35b3c57f3fb9"]},{"id":"ITEM-2","itemData":{"author":[{"dropping-particle":"","family":"Brien","given":"Prof William O","non-dropping-particle":"","parse-names":false,"suffix":""}],"id":"ITEM-2","issued":{"date-parts":[["2024"]]},"title":"Quantitative assessment of energy and emissions impacts of teleworking on the four domains of homes , offices , transportation , and the internet by Farzam Sepanta A thesis submitted to the Faculty of Graduate and Postdoctoral Affairs in partial fulfillment of the requirements for the degree of Doctor of Philosophy in Supervisor","type":"article-journal"},"uris":["http://www.mendeley.com/documents/?uuid=10f5c745-a5bc-49cf-9069-8dddd5871d2a"]}],"mendeley":{"formattedCitation":"[1], [14]","plainTextFormattedCitation":"[1], [14]","previouslyFormattedCitation":"[1], [14]"},"properties":{"noteIndex":0},"schema":"https://github.com/citation-style-language/schema/raw/master/csl-citation.json"}</w:instrText>
      </w:r>
      <w:r w:rsidR="008D56C8">
        <w:rPr>
          <w:rFonts w:ascii="Times New Roman" w:eastAsia="Times New Roman" w:hAnsi="Times New Roman" w:cs="Times New Roman"/>
          <w:sz w:val="24"/>
          <w:szCs w:val="24"/>
        </w:rPr>
        <w:fldChar w:fldCharType="separate"/>
      </w:r>
      <w:r w:rsidR="008D56C8" w:rsidRPr="008D56C8">
        <w:rPr>
          <w:rFonts w:ascii="Times New Roman" w:eastAsia="Times New Roman" w:hAnsi="Times New Roman" w:cs="Times New Roman"/>
          <w:noProof/>
          <w:sz w:val="24"/>
          <w:szCs w:val="24"/>
        </w:rPr>
        <w:t>[1], [14]</w:t>
      </w:r>
      <w:r w:rsidR="008D56C8">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w:t>
      </w:r>
    </w:p>
    <w:p w14:paraId="046F2F17"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B. Machine Learning in Smart Grids</w:t>
      </w:r>
    </w:p>
    <w:p w14:paraId="386E3456"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ML techniques such as Support Vector Machines (SVMs), Long Short-Term Memory (LSTM) networks, and Random Forests (RF) have been applied in load forecas</w:t>
      </w:r>
      <w:r w:rsidRPr="005D60C6">
        <w:rPr>
          <w:rFonts w:ascii="Times New Roman" w:eastAsia="Times New Roman" w:hAnsi="Times New Roman" w:cs="Times New Roman"/>
          <w:sz w:val="24"/>
          <w:szCs w:val="24"/>
        </w:rPr>
        <w:t>ting and anomaly detection</w:t>
      </w:r>
      <w:r w:rsidR="008D56C8">
        <w:rPr>
          <w:rFonts w:ascii="Times New Roman" w:eastAsia="Times New Roman" w:hAnsi="Times New Roman" w:cs="Times New Roman"/>
          <w:sz w:val="24"/>
          <w:szCs w:val="24"/>
        </w:rPr>
        <w:fldChar w:fldCharType="begin" w:fldLock="1"/>
      </w:r>
      <w:r w:rsidR="00FD7210">
        <w:rPr>
          <w:rFonts w:ascii="Times New Roman" w:eastAsia="Times New Roman" w:hAnsi="Times New Roman" w:cs="Times New Roman"/>
          <w:sz w:val="24"/>
          <w:szCs w:val="24"/>
        </w:rPr>
        <w:instrText>ADDIN CSL_CITATION {"citationItems":[{"id":"ITEM-1","itemData":{"DOI":"10.1016/j.egyr.2024.12.072","ISSN":"23524847","abstract":"This paper presents an innovative application of deep learning optimization techniques, combined with the Artificial Bee Colony (ABC) algorithm, to enhance voltage control and regulation in smart micro-grids integrated with electric vehicles (EVs). The study addresses the challenges posed by fluctuating reactive power demands due to EV charging, proposing a novel method that utilizes a Deep Learning Neural Network (DLNN) to optimize Voltage Source Converter (VSC) controllers. This approach enables EVs to actively participate as reactive power compensators, ensuring voltage stability while achieving desired state-of-charge (SoC) levels for EV batteries. Simulation results on a 33-bus radial distribution network demonstrate that the proposed DLNN-ABC framework significantly improves voltage regulation compared to traditional methods, even under varying grid conditions. The method achieves enhanced performance in metrics such as Root Mean Squared Error (RMSE) and Mean Absolute Error (MAE), with RMSE reduced by 50 % compared to conventional fuzzy logic control. Further, the framework minimizes Total Harmonic Distortion (THD) in voltage and current, achieving reductions of 77.8 % and 66.7 %, respectively. These improvements translate to superior power quality, enhanced battery life, and increased efficiency in grid operations. The findings highlight the transformative potential of integrating advanced AI optimization techniques in micro-grid management, particularly with the rising adoption of EVs. By dynamically adjusting reactive power and improving voltage profiles, the proposed solution supports both stable grid operations and cost-effective EV charging. This research sets a foundation for future advancements in smart grid technologies, emphasizing the synergy between deep learning and optimization algorithms for sustainable energy systems.","author":[{"dropping-particle":"","family":"Karthikeyan","given":"M.","non-dropping-particle":"","parse-names":false,"suffix":""},{"dropping-particle":"","family":"Manimegalai","given":"D.","non-dropping-particle":"","parse-names":false,"suffix":""},{"dropping-particle":"","family":"Rajagopal","given":"Karthikeyan","non-dropping-particle":"","parse-names":false,"suffix":""}],"container-title":"Energy Reports","id":"ITEM-1","issue":"January","issued":{"date-parts":[["2025"]]},"page":"1095-1107","publisher":"Elsevier Ltd","title":"Enhancing voltage control and regulation in smart micro-grids through deep learning - optimized EV reactive power management","type":"article-journal","volume":"13"},"uris":["http://www.mendeley.com/documents/?uuid=0dee6c9a-5f90-4559-846d-398e4baeb1ef"]},{"id":"ITEM-2","itemData":{"DOI":"10.1038/s41598-024-70336-3","ISBN":"0123456789","ISSN":"20452322","PMID":"39160194","abstract":"The growing integration of renewable energy sources into grid-connected microgrids has created new challenges in power generation forecasting and energy management. This paper explores the use of advanced machine learning algorithms, specifically Support Vector Regression (SVR), to enhance the efficiency and reliability of these systems. The proposed SVR algorithm leverages comprehensive historical energy production data, detailed weather patterns, and dynamic grid conditions to accurately forecast power generation. Our model demonstrated significantly lower error metrics compared to traditional linear regression models, achieving a Mean Squared Error of 2.002 for solar PV and 3.059 for wind power forecasting. The Mean Absolute Error was reduced to 0.547 for solar PV and 0.825 for wind scenarios, and the Root Mean Squared Error (RMSE) was 1.415 for solar PV and 1.749 for wind power, showcasing the model’s superior accuracy. Enhanced predictive accuracy directly contributes to optimized resource allocation, enabling more precise control of energy generation schedules and reducing the reliance on external power sources. The application of our SVR model resulted in an 8.4% reduction in overall operating costs, highlighting its effectiveness in improving energy management efficiency. Furthermore, the system’s ability to predict fluctuations in energy output allowed for adaptive real-time energy management, reducing grid stress and enhancing system stability. This approach led to a 10% improvement in the balance between supply and demand, a 15% reduction in peak load demand, and a 12% increase in the utilization of renewable energy sources. Our approach enhances grid stability by better balancing supply and demand, mitigating the variability and intermittency of renewable energy sources. These advancements promote a more sustainable integration of renewable energy into the microgrid, contributing to a cleaner, more resilient, and efficient energy infrastructure. The findings of this research provide valuable insights into the development of intelligent energy systems capable of adapting to changing conditions, paving the way for future innovations in energy management. Additionally, this work underscores the potential of machine learning to revolutionize energy management practices by providing more accurate, reliable, and cost-effective solutions for integrating renewable energy into existing grid infrastructures.","author":[{"dropping-particle":"","family":"R. Singh","given":"Arvind","non-dropping-particle":"","parse-names":false,"suffix":""},{"dropping-particle":"","family":"Kumar","given":"R. Seshu","non-dropping-particle":"","parse-names":false,"suffix":""},{"dropping-particle":"","family":"Bajaj","given":"Mohit","non-dropping-particle":"","parse-names":false,"suffix":""},{"dropping-particle":"","family":"Khadse","given":"Chetan B.","non-dropping-particle":"","parse-names":false,"suffix":""},{"dropping-particle":"","family":"Zaitsev","given":"Ievgen","non-dropping-particle":"","parse-names":false,"suffix":""}],"container-title":"Scientific Reports","id":"ITEM-2","issue":"1","issued":{"date-parts":[["2024"]]},"page":"1-23","publisher":"Nature Publishing Group UK","title":"Machine learning-based energy management and power forecasting in grid-connected microgrids with multiple distributed energy sources","type":"article-journal","volume":"14"},"uris":["http://www.mendeley.com/documents/?uuid=4295f119-f478-4e1b-a6ae-94faf32432ae"]}],"mendeley":{"formattedCitation":"[15], [16]","plainTextFormattedCitation":"[15], [16]","previouslyFormattedCitation":"[15], [16]"},"properties":{"noteIndex":0},"schema":"https://github.com/citation-style-language/schema/raw/master/csl-citation.json"}</w:instrText>
      </w:r>
      <w:r w:rsidR="008D56C8">
        <w:rPr>
          <w:rFonts w:ascii="Times New Roman" w:eastAsia="Times New Roman" w:hAnsi="Times New Roman" w:cs="Times New Roman"/>
          <w:sz w:val="24"/>
          <w:szCs w:val="24"/>
        </w:rPr>
        <w:fldChar w:fldCharType="separate"/>
      </w:r>
      <w:r w:rsidR="008D56C8" w:rsidRPr="008D56C8">
        <w:rPr>
          <w:rFonts w:ascii="Times New Roman" w:eastAsia="Times New Roman" w:hAnsi="Times New Roman" w:cs="Times New Roman"/>
          <w:noProof/>
          <w:sz w:val="24"/>
          <w:szCs w:val="24"/>
        </w:rPr>
        <w:t>[15], [16]</w:t>
      </w:r>
      <w:r w:rsidR="008D56C8">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LSTM, in particular, excels in capturing temporal dependencies, making it ideal for demand prediction in teleco</w:t>
      </w:r>
      <w:r w:rsidR="00FD7210">
        <w:rPr>
          <w:rFonts w:ascii="Times New Roman" w:eastAsia="Times New Roman" w:hAnsi="Times New Roman" w:cs="Times New Roman"/>
          <w:sz w:val="24"/>
          <w:szCs w:val="24"/>
        </w:rPr>
        <w:t xml:space="preserve">mmuting </w:t>
      </w:r>
      <w:r w:rsidR="00FD7210">
        <w:rPr>
          <w:rFonts w:ascii="Times New Roman" w:eastAsia="Times New Roman" w:hAnsi="Times New Roman" w:cs="Times New Roman"/>
          <w:sz w:val="24"/>
          <w:szCs w:val="24"/>
        </w:rPr>
        <w:fldChar w:fldCharType="begin" w:fldLock="1"/>
      </w:r>
      <w:r w:rsidR="001A72F3">
        <w:rPr>
          <w:rFonts w:ascii="Times New Roman" w:eastAsia="Times New Roman" w:hAnsi="Times New Roman" w:cs="Times New Roman"/>
          <w:sz w:val="24"/>
          <w:szCs w:val="24"/>
        </w:rPr>
        <w:instrText>ADDIN CSL_CITATION {"citationItems":[{"id":"ITEM-1","itemData":{"DOI":"10.1109/ACCESS.2024.3358182","ISSN":"21693536","abstract":"Load forecasting in Smart Grids (SG) is a major module of current energy management systems, that play a vital role in optimizing resource allocation, improving grid stability, and assisting the combination of renewable energy sources (RES). It contains the predictive of electricity consumption forms over certain time intervals. Load Forecasting remains a stimulating task as load data has exhibited changing patterns because of factors such as weather change and shifts in energy usage behaviour. The beginning of advanced data analytics and machine learning (ML) approaches; particularly deep learning (DL) has mostly enhanced load forecasting accuracy. Deep neural networks (DNNs) namely Long Short-Term Memory (LSTM) and Convolutional Neural Networks (CNN) have achieved popularity for their capability to capture difficult temporal dependencies in load data. This study designs a Short-Load Forecasting scheme using a Hybrid Deep Learning and Beluga Whale Optimization (LFS-HDLBWO) approach. The major intention of the LFS-HDLBWO technique is to predict the load in the SG environment. To accomplish this, the LFS-HDLBWO technique initially uses a Z-score normalization approach for scaling the input dataset. Besides, the LFS-HDLBWO technique makes use of convolutional bidirectional long short-term memory with an autoencoder (CBLSTM-AE) model for load prediction purposes. Finally, the BWO algorithm could be used for optimal hyperparameter selection of the CBLSTM-AE algorithm, which helps to enhance the overall prediction results. A wide-ranging experimental analysis was made to illustrate the better predictive results of the LFS-HDLBWO method. The obtained value demonstrates the outstanding performance of the LFS-HDLBWO system over other existing DL algorithms with a minimum average error rate of 3.43 and 2.26 under FE and Dayton grid datasets, respectively.","author":[{"dropping-particle":"","family":"Asiri","given":"Mashael M.","non-dropping-particle":"","parse-names":false,"suffix":""},{"dropping-particle":"","family":"Aldehim","given":"Ghadah","non-dropping-particle":"","parse-names":false,"suffix":""},{"dropping-particle":"","family":"Alotaibi","given":"Faiz Abdullah","non-dropping-particle":"","parse-names":false,"suffix":""},{"dropping-particle":"","family":"Alnfiai","given":"Mrim M.","non-dropping-particle":"","parse-names":false,"suffix":""},{"dropping-particle":"","family":"Assiri","given":"Mohammed","non-dropping-particle":"","parse-names":false,"suffix":""},{"dropping-particle":"","family":"Mahmud","given":"Ahmed","non-dropping-particle":"","parse-names":false,"suffix":""}],"container-title":"IEEE Access","id":"ITEM-1","issued":{"date-parts":[["2024"]]},"page":"23504-23513","publisher":"IEEE","title":"Short-Term Load Forecasting in Smart Grids Using Hybrid Deep Learning","type":"article-journal","volume":"12"},"uris":["http://www.mendeley.com/documents/?uuid=e46d7d94-6996-4c10-b578-2d99812f61dd"]}],"mendeley":{"formattedCitation":"[17]","plainTextFormattedCitation":"[17]","previouslyFormattedCitation":"[17]"},"properties":{"noteIndex":0},"schema":"https://github.com/citation-style-language/schema/raw/master/csl-citation.json"}</w:instrText>
      </w:r>
      <w:r w:rsidR="00FD7210">
        <w:rPr>
          <w:rFonts w:ascii="Times New Roman" w:eastAsia="Times New Roman" w:hAnsi="Times New Roman" w:cs="Times New Roman"/>
          <w:sz w:val="24"/>
          <w:szCs w:val="24"/>
        </w:rPr>
        <w:fldChar w:fldCharType="separate"/>
      </w:r>
      <w:r w:rsidR="00FD7210" w:rsidRPr="00FD7210">
        <w:rPr>
          <w:rFonts w:ascii="Times New Roman" w:eastAsia="Times New Roman" w:hAnsi="Times New Roman" w:cs="Times New Roman"/>
          <w:noProof/>
          <w:sz w:val="24"/>
          <w:szCs w:val="24"/>
        </w:rPr>
        <w:t>[17]</w:t>
      </w:r>
      <w:r w:rsidR="00FD7210">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w:t>
      </w:r>
    </w:p>
    <w:p w14:paraId="76DA9CCF"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C. Statistical Approaches</w:t>
      </w:r>
      <w:r w:rsidR="00FD7210" w:rsidRPr="00FD7210">
        <w:rPr>
          <w:rFonts w:ascii="Times New Roman" w:eastAsia="Times New Roman" w:hAnsi="Times New Roman" w:cs="Times New Roman"/>
          <w:bCs/>
          <w:sz w:val="24"/>
          <w:szCs w:val="24"/>
        </w:rPr>
        <w:t xml:space="preserve"> </w:t>
      </w:r>
    </w:p>
    <w:p w14:paraId="3BBE9BAC"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Classical statistical techniques such as ARIMA, regression models, and Bayesian inference provide robustness in time-series forecasting</w:t>
      </w:r>
      <w:r w:rsidR="001A72F3">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{"citationItems":[{"id":"ITEM-1","itemData":{"DOI":"10.3390/app14114442","ISSN":"20763417","abstract":"This review paper is a foundational resource for power distribution and management decisions, thoroughly examining short-term load forecasting (STLF) models within power systems. The study categorizes these models into three groups: statistical approaches, intelligent-computing-based methods, and hybrid models. Performance indicators are compared, revealing the superiority of heuristic search and population-based optimization learning algorithms integrated with artificial neural networks (ANNs) for STLF. However, challenges persist in ANN models, particularly in weight initialization and susceptibility to local minima. The investigation underscores the necessity for sophisticated predictive models to enhance forecasting accuracy, advocating for the efficacy of hybrid models incorporating multiple predictive approaches. Acknowledging the changing landscape, the focus shifts to STLF in smart grids, exploring the transformative potential of advanced power networks. Smart measurement devices and storage systems are pivotal in boosting STLF accuracy, enabling more efficient energy management and resource allocation in evolving smart grid technologies. In summary, this review provides a comprehensive analysis of contemporary predictive models and suggests that ANNs and hybrid models could be the most suitable methods to attain reliable and accurate STLF. However, further research is required, including considerations of network complexity, improved training techniques, convergence rates, and highly correlated inputs to enhance STLF model performance in modern power systems.","author":[{"dropping-particle":"","family":"Ali","given":"Salman","non-dropping-particle":"","parse-names":false,"suffix":""},{"dropping-particle":"","family":"Bogarra","given":"Santiago","non-dropping-particle":"","parse-names":false,"suffix":""},{"dropping-particle":"","family":"Riaz","given":"Muhammad Naveed","non-dropping-particle":"","parse-names":false,"suffix":""},{"dropping-particle":"","family":"Phyo","given":"Pyae Pyae","non-dropping-particle":"","parse-names":false,"suffix":""},{"dropping-particle":"","family":"Flynn","given":"David","non-dropping-particle":"","parse-names":false,"suffix":""},{"dropping-particle":"","family":"Taha","given":"Ahmad","non-dropping-particle":"","parse-names":false,"suffix":""}],"container-title":"Applied Sciences (Switzerland)","id":"ITEM-1","issue":"11","issued":{"date-parts":[["2024"]]},"title":"From Time-Series to Hybrid Models: Advancements in Short-Term Load Forecasting Embracing Smart Grid Paradigm","type":"article-journal","volume":"14"},"uris":["http://www.mendeley.com/documents/?uuid=57c87565-6dd0-489d-966c-5ffdf9644a27"]},{"id":"ITEM-2","itemData":{"DOI":"10.1049/gtd2.12603","ISSN":"17518695","abstract":"Energy forecasting plays a vital role in mitigating challenges in data rich smart grid (SG) systems involving various applications such as demand-side management, load shedding, and optimum dispatch. Managing efficient forecasting while ensuring the least possible prediction error is one of the main challenges posed in the grid today, considering the uncertainty in SG data. This paper presents a comprehensive and application-oriented review of state-of-the-art forecasting methods for SG systems along with recent developments in probabilistic deep learning (PDL). Traditional point forecasting methods including statistical, machine learning (ML), and deep learning (DL) are extensively investigated in terms of their applicability to energy forecasting. In addition, the significance of hybrid and data pre-processing techniques to support forecasting performance is also studied. A comparative case study using the Victorian electricity consumption in Australia and American electric power (AEP) datasets is conducted to analyze the performance of deterministic and probabilistic forecasting methods. The analysis demonstrates higher efficacy of DL methods with appropriate hyper-parameter tuning when sample sizes are larger and involve nonlinear patterns. Furthermore, PDL methods are found to achieve at least 60% lower prediction errors in comparison to other benchmark DL methods. However, the execution time increases significantly for PDL methods due to large sample space and a tradeoff between computational performance and forecasting accuracy needs to be maintained.","author":[{"dropping-particle":"","family":"Kaur","given":"Devinder","non-dropping-particle":"","parse-names":false,"suffix":""},{"dropping-particle":"","family":"Islam","given":"Shama Naz","non-dropping-particle":"","parse-names":false,"suffix":""},{"dropping-particle":"","family":"Mahmud","given":"Md Apel","non-dropping-particle":"","parse-names":false,"suffix":""},{"dropping-particle":"","family":"Haque","given":"Md Enamul","non-dropping-particle":"","parse-names":false,"suffix":""},{"dropping-particle":"","family":"Dong","given":"Zhao Yang","non-dropping-particle":"","parse-names":false,"suffix":""}],"container-title":"IET Generation, Transmission and Distribution","id":"ITEM-2","issue":"22","issued":{"date-parts":[["2022"]]},"page":"4461-4479","title":"Energy forecasting in smart grid systems: recent advancements in probabilistic deep learning","type":"article-journal","volume":"16"},"uris":["http://www.mendeley.com/documents/?uuid=198a8329-3222-444a-a8b2-7c1255e8b803"]},{"id":"ITEM-3","itemData":{"DOI":"10.3390/en12010055","ISSN":"19961073","abstract":"The increasing development of the smart grid demands reliable monitoring of the power quality at different levels, introducing more and more measurement points. In this framework, the advanced metering infrastructure must deal with this large amount of data, storage capabilities, improving visualization, and introducing customer-oriented interfaces. This work proposes a method that optimizes the smart grid data, monitoring the real voltage supplied based on higher order statistics. The method proposes monitoring the network from a scalable point of view and offers a two-fold perspective based on the duality utility-prosumer as a function of the measurement time. A global PQ index and 2D graphs are introduced in order to compress the time domain information and quantify the deviations of the waveform shape by means of three parameters. Time-scalability allows two extra features: long-term supply reliability and power quality in the short term. As a case study, the work illustrates a real-life monitoring in a building connection point, offering 2D diagrams, which show time and space compression capabilities, as well.","author":[{"dropping-particle":"","family":"Florencias-Oliveros","given":"Olivia","non-dropping-particle":"","parse-names":false,"suffix":""},{"dropping-particle":"","family":"González-De-La-Rosa","given":"Juan José","non-dropping-particle":"","parse-names":false,"suffix":""},{"dropping-particle":"","family":"Agüera-Pérez","given":"Agustín","non-dropping-particle":"","parse-names":false,"suffix":""},{"dropping-particle":"","family":"Palomares-Salas","given":"José Carlos","non-dropping-particle":"","parse-names":false,"suffix":""}],"container-title":"Energies","id":"ITEM-3","issue":"1","issued":{"date-parts":[["2019"]]},"title":"Reliability monitoring based on higher-order statistics: A scalable proposal for the smart grid","type":"article-journal","volume":"12"},"uris":["http://www.mendeley.com/documents/?uuid=12e0eda2-0311-4b51-bc86-a543d0f04d09"]}],"mendeley":{"formattedCitation":"[18], [19], [20]","plainTextFormattedCitation":"[18], [19], [20]","previouslyFormattedCitation":"[18], [19], [20]"},"properties":{"noteIndex":0},"schema":"https://github.com/citation-style-language/schema/raw/master/csl-citation.json"}</w:instrText>
      </w:r>
      <w:r w:rsidR="001A72F3">
        <w:rPr>
          <w:rFonts w:ascii="Times New Roman" w:eastAsia="Times New Roman" w:hAnsi="Times New Roman" w:cs="Times New Roman"/>
          <w:sz w:val="24"/>
          <w:szCs w:val="24"/>
        </w:rPr>
        <w:fldChar w:fldCharType="separate"/>
      </w:r>
      <w:r w:rsidR="001A72F3" w:rsidRPr="001A72F3">
        <w:rPr>
          <w:rFonts w:ascii="Times New Roman" w:eastAsia="Times New Roman" w:hAnsi="Times New Roman" w:cs="Times New Roman"/>
          <w:noProof/>
          <w:sz w:val="24"/>
          <w:szCs w:val="24"/>
        </w:rPr>
        <w:t>[18], [19], [20]</w:t>
      </w:r>
      <w:r w:rsidR="001A72F3">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While less flexible than ML, they offer interpretability and probabilistic confidence intervals </w:t>
      </w:r>
      <w:r w:rsidR="00B9656F">
        <w:rPr>
          <w:rFonts w:ascii="Times New Roman" w:eastAsia="Times New Roman" w:hAnsi="Times New Roman" w:cs="Times New Roman"/>
          <w:sz w:val="24"/>
          <w:szCs w:val="24"/>
        </w:rPr>
        <w:t>crucial for risk assessment</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{"citationItems":[{"id":"ITEM-1","itemData":{"DOI":"10.3390/su15118555","ISSN":"20711050","abstract":"The integration of renewable energy resources into smart grids has become increasingly important to address the challenges of managing and forecasting energy production in the fourth energy revolution. To this end, artificial intelligence (AI) has emerged as a powerful tool for improving energy production control and management. This study investigates the application of machine learning techniques, specifically ARIMA (auto-regressive integrated moving average) and Bi-LSTM (bidirectional long short-term memory) models, for predicting solar power production for the next year. Using one year of real-time solar power production data, this study trains and tests these models on performance measures such as mean absolute error (MAE) and root mean squared error (RMSE). The results demonstrate that the Bi-LSTM (bidirectional long short-term memory) model outperforms the ARIMA (auto-regressive integrated moving average) model in terms of accuracy and is able to successfully identify intricate patterns and long-term relationships in the real-time-series data. The findings suggest that machine learning techniques can optimize the integration of renewable energy resources into smart grids, leading to more efficient and sustainable power systems.","author":[{"dropping-particle":"","family":"Chen","given":"Yuanhua","non-dropping-particle":"","parse-names":false,"suffix":""},{"dropping-particle":"","family":"Bhutta","given":"Muhammad Shoaib","non-dropping-particle":"","parse-names":false,"suffix":""},{"dropping-particle":"","family":"Abubakar","given":"Muhammad","non-dropping-particle":"","parse-names":false,"suffix":""},{"dropping-particle":"","family":"Xiao","given":"Dingtian","non-dropping-particle":"","parse-names":false,"suffix":""},{"dropping-particle":"","family":"Almasoudi","given":"Fahad M.","non-dropping-particle":"","parse-names":false,"suffix":""},{"dropping-particle":"","family":"Naeem","given":"Hamad","non-dropping-particle":"","parse-names":false,"suffix":""},{"dropping-particle":"","family":"Faheem","given":"Muhammad","non-dropping-particle":"","parse-names":false,"suffix":""}],"container-title":"Sustainability (Switzerland)","id":"ITEM-1","issue":"11","issued":{"date-parts":[["2023"]]},"title":"Evaluation of Machine Learning Models for Smart Grid Parameters: Performance Analysis of ARIMA and Bi-LSTM","type":"article-journal","volume":"15"},"uris":["http://www.mendeley.com/documents/?uuid=6b95705b-c187-4cb5-b8da-15c6d1ad3f58"]}],"mendeley":{"formattedCitation":"[21]","plainTextFormattedCitation":"[21]","previouslyFormattedCitation":"[21]"},"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[21]</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w:t>
      </w:r>
    </w:p>
    <w:p w14:paraId="1A66F3AC"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D. Hybrid ML-Statistical Frameworks</w:t>
      </w:r>
    </w:p>
    <w:p w14:paraId="7A9ECD52"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Recent works suggest that combining ML with statistical methods yields superior acc</w:t>
      </w:r>
      <w:r w:rsidR="00B9656F">
        <w:rPr>
          <w:rFonts w:ascii="Times New Roman" w:eastAsia="Times New Roman" w:hAnsi="Times New Roman" w:cs="Times New Roman"/>
          <w:sz w:val="24"/>
          <w:szCs w:val="24"/>
        </w:rPr>
        <w:t xml:space="preserve">uracy and reliability </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{"citationItems":[{"id":"ITEM-1","itemData":{"DOI":"10.3390/app14114442","ISSN":"20763417","abstract":"This review paper is a foundational resource for power distribution and management decisions, thoroughly examining short-term load forecasting (STLF) models within power systems. The study categorizes these models into three groups: statistical approaches, intelligent-computing-based methods, and hybrid models. Performance indicators are compared, revealing the superiority of heuristic search and population-based optimization learning algorithms integrated with artificial neural networks (ANNs) for STLF. However, challenges persist in ANN models, particularly in weight initialization and susceptibility to local minima. The investigation underscores the necessity for sophisticated predictive models to enhance forecasting accuracy, advocating for the efficacy of hybrid models incorporating multiple predictive approaches. Acknowledging the changing landscape, the focus shifts to STLF in smart grids, exploring the transformative potential of advanced power networks. Smart measurement devices and storage systems are pivotal in boosting STLF accuracy, enabling more efficient energy management and resource allocation in evolving smart grid technologies. In summary, this review provides a comprehensive analysis of contemporary predictive models and suggests that ANNs and hybrid models could be the most suitable methods to attain reliable and accurate STLF. However, further research is required, including considerations of network complexity, improved training techniques, convergence rates, and highly correlated inputs to enhance STLF model performance in modern power systems.","author":[{"dropping-particle":"","family":"Ali","given":"Salman","non-dropping-particle":"","parse-names":false,"suffix":""},{"dropping-particle":"","family":"Bogarra","given":"Santiago","non-dropping-particle":"","parse-names":false,"suffix":""},{"dropping-particle":"","family":"Riaz","given":"Muhammad Naveed","non-dropping-particle":"","parse-names":false,"suffix":""},{"dropping-particle":"","family":"Phyo","given":"Pyae Pyae","non-dropping-particle":"","parse-names":false,"suffix":""},{"dropping-particle":"","family":"Flynn","given":"David","non-dropping-particle":"","parse-names":false,"suffix":""},{"dropping-particle":"","family":"Taha","given":"Ahmad","non-dropping-particle":"","parse-names":false,"suffix":""}],"container-title":"Applied Sciences (Switzerland)","id":"ITEM-1","issue":"11","issued":{"date-parts":[["2024"]]},"title":"From Time-Series to Hybrid Models: Advancements in Short-Term Load Forecasting Embracing Smart Grid Paradigm","type":"article-journal","volume":"14"},"uris":["http://www.mendeley.com/documents/?uuid=57c87565-6dd0-489d-966c-5ffdf9644a27"]}],"mendeley":{"formattedCitation":"[18]","plainTextFormattedCitation":"[18]","previouslyFormattedCitation":"[18]"},"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[18]</w:t>
      </w:r>
      <w:r w:rsidR="00B9656F">
        <w:rPr>
          <w:rFonts w:ascii="Times New Roman" w:eastAsia="Times New Roman" w:hAnsi="Times New Roman" w:cs="Times New Roman"/>
          <w:sz w:val="24"/>
          <w:szCs w:val="24"/>
        </w:rPr>
        <w:fldChar w:fldCharType="end"/>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{"citationItems":[{"id":"ITEM-1","itemData":{"DOI":"10.3390/en16031404","ISSN":"19961073","abstract":"The smart grid concept is introduced to accelerate the operational efficiency and enhance the reliability and sustainability of power supply by operating in self-control mode to find and resolve the problems developed in time. In smart grid, the use of digital technology facilitates the grid with an enhanced data transportation facility using smart sensors known as smart meters. Using these smart meters, various operational functionalities of smart grid can be enhanced, such as generation scheduling, real-time pricing, load management, power quality enhancement, security analysis and enhancement of the system, fault prediction, frequency and voltage monitoring, load forecasting, etc. From the bulk data generated in a smart grid architecture, precise load can be predicted before time to support the energy market. This supports the grid operation to maintain the balance between demand and generation, thus preventing system imbalance and power outages. This study presents a detailed review on load forecasting category, calculation of performance indicators, the data analyzing process for load forecasting, load forecasting using conventional meter information, and the technology used to conduct the task and its challenges. Next, the importance of smart meter-based load forecasting is discussed along with the available approaches. Additionally, the merits of load forecasting conducted using a smart meter over a conventional meter are articulated in this paper.","author":[{"dropping-particle":"","family":"Dewangan","given":"Fanidhar","non-dropping-particle":"","parse-names":false,"suffix":""},{"dropping-particle":"","family":"Abdelaziz","given":"Almoataz Y.","non-dropping-particle":"","parse-names":false,"suffix":""},{"dropping-particle":"","family":"Biswal","given":"Monalisa","non-dropping-particle":"","parse-names":false,"suffix":""}],"container-title":"Energies","id":"ITEM-1","issue":"3","issued":{"date-parts":[["2023"]]},"title":"Load Forecasting Models in Smart Grid Using Smart Meter Information: A Review","type":"article-journal","volume":"16"},"uris":["http://www.mendeley.com/documents/?uuid=e83b446b-e2f9-4957-bd72-94709855e15e"]}],"mendeley":{"formattedCitation":"[22]","plainTextFormattedCitation":"[22]","previouslyFormattedCitation":"[22]"},"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[22]</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For instance, ARIMA-LSTM hybrids outperform standalone models in r</w:t>
      </w:r>
      <w:r w:rsidR="00B9656F">
        <w:rPr>
          <w:rFonts w:ascii="Times New Roman" w:eastAsia="Times New Roman" w:hAnsi="Times New Roman" w:cs="Times New Roman"/>
          <w:sz w:val="24"/>
          <w:szCs w:val="24"/>
        </w:rPr>
        <w:t xml:space="preserve">enewable energy forecasting </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{"citationItems":[{"id":"ITEM-1","itemData":{"DOI":"10.3390/su15118555","ISSN":"20711050","abstract":"The integration of renewable energy resources into smart grids has become increasingly important to address the challenges of managing and forecasting energy production in the fourth energy revolution. To this end, artificial intelligence (AI) has emerged as a powerful tool for improving energy production control and management. This study investigates the application of machine learning techniques, specifically ARIMA (auto-regressive integrated moving average) and Bi-LSTM (bidirectional long short-term memory) models, for predicting solar power production for the next year. Using one year of real-time solar power production data, this study trains and tests these models on performance measures such as mean absolute error (MAE) and root mean squared error (RMSE). The results demonstrate that the Bi-LSTM (bidirectional long short-term memory) model outperforms the ARIMA (auto-regressive integrated moving average) model in terms of accuracy and is able to successfully identify intricate patterns and long-term relationships in the real-time-series data. The findings suggest that machine learning techniques can optimize the integration of renewable energy resources into smart grids, leading to more efficient and sustainable power systems.","author":[{"dropping-particle":"","family":"Chen","given":"Yuanhua","non-dropping-particle":"","parse-names":false,"suffix":""},{"dropping-particle":"","family":"Bhutta","given":"Muhammad Shoaib","non-dropping-particle":"","parse-names":false,"suffix":""},{"dropping-particle":"","family":"Abubakar","given":"Muhammad","non-dropping-particle":"","parse-names":false,"suffix":""},{"dropping-particle":"","family":"Xiao","given":"Dingtian","non-dropping-particle":"","parse-names":false,"suffix":""},{"dropping-particle":"","family":"Almasoudi","given":"Fahad M.","non-dropping-particle":"","parse-names":false,"suffix":""},{"dropping-particle":"","family":"Naeem","given":"Hamad","non-dropping-particle":"","parse-names":false,"suffix":""},{"dropping-particle":"","family":"Faheem","given":"Muhammad","non-dropping-particle":"","parse-names":false,"suffix":""}],"container-title":"Sustainability (Switzerland)","id":"ITEM-1","issue":"11","issued":{"date-parts":[["2023"]]},"title":"Evaluation of Machine Learning Models for Smart Grid Parameters: Performance Analysis of ARIMA and Bi-LSTM","type":"article-journal","volume":"15"},"uris":["http://www.mendeley.com/documents/?uuid=6b95705b-c187-4cb5-b8da-15c6d1ad3f58"]}],"mendeley":{"formattedCitation":"[21]","plainTextFormattedCitation":"[21]","previouslyFormattedCitation":"[21]"},"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[21]</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w:t>
      </w:r>
    </w:p>
    <w:p w14:paraId="3937B9B3"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E. Nigerian Context</w:t>
      </w:r>
    </w:p>
    <w:p w14:paraId="29DBEC0F"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Nigeria’s grid is plagued with outages, underinvestment, and ove</w:t>
      </w:r>
      <w:r w:rsidR="00B9656F">
        <w:rPr>
          <w:rFonts w:ascii="Times New Roman" w:eastAsia="Times New Roman" w:hAnsi="Times New Roman" w:cs="Times New Roman"/>
          <w:sz w:val="24"/>
          <w:szCs w:val="24"/>
        </w:rPr>
        <w:t xml:space="preserve">rdependence on </w:t>
      </w:r>
      <w:r w:rsidR="00B9656F">
        <w:rPr>
          <w:rFonts w:ascii="Times New Roman" w:eastAsia="Times New Roman" w:hAnsi="Times New Roman" w:cs="Times New Roman"/>
          <w:sz w:val="24"/>
          <w:szCs w:val="24"/>
        </w:rPr>
        <w:lastRenderedPageBreak/>
        <w:t xml:space="preserve">fossil fuels </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{"citationItems":[{"id":"ITEM-1","itemData":{"abstract":"This paper presents a critical review of the current national electricity grid in Nigeria, how voltage stability is maintained in the grid, find out the limitations of the transmission network and compare the different options for overcoming them in the available literature, learn from the previous studies about the use of renewable energy sources in Nigeria, understand the prospect of developing electricity grid in Nigeria by learning about the identified challenges from literary sources.","author":[{"dropping-particle":"","family":"Olajiga","given":"B O","non-dropping-particle":"","parse-names":false,"suffix":""},{"dropping-particle":"","family":"Olulope","given":"P K","non-dropping-particle":"","parse-names":false,"suffix":""}],"id":"ITEM-1","issued":{"date-parts":[["2018"]]},"page":"1-10","title":"International Journal of Applied Science and Research Voltage Stability in Nigeria Power Grid: a Detailed Literature Review","type":"article-journal"},"uris":["http://www.mendeley.com/documents/?uuid=7cd07336-0837-4e5f-b6ce-3f645705031a"]},{"id":"ITEM-2","itemData":{"abstract":"Voltage stability issues within Nigeria's 330 kV power grid pose significant risks to the reliability and efficiency of the power\nsupply, hence, there is the need for urgent investigation. This research aims to assess the voltage stability of Nigeria's 330 kV Power\ngrid with specific objectives viz; identifying critical buses and branches, assessing the effect of shunt faults on voltage stability and\nimplementing reactive power compensation to stabilize bus voltages. A fast decoupled load flow technique was utilized to analyze\nthe 330 kV Nigerian power system and obtain system losses alongside locating critical buses. With the aid of ETAP 12.0 software\nthe network was modelled and shunt faults were introduced for transient studies. This provided a base to evaluate voltage stability.\nVAr sources were integrated to determine their effects on bus voltages and transient stability. The findings indicated that the Jebba\nHydro, Shiroro Hydro, and Olorunsogo gas buses were overloaded, while the Yola and Maiduguri buses faced Undervoltage issues.\nThe transient stability analysis demonstrated that VAr compensation effectively restored voltage stability at the critical buses. This\nresearch offers proactive strategies to ensure voltage stability in Nigeria's 330 kV power grid, thereby enhancing the reliability and\nefficiency of power supply","author":[{"dropping-particle":"","family":"Onyegbadue","given":"Ikenna A","non-dropping-particle":"","parse-names":false,"suffix":""},{"dropping-particle":"","family":"Ukagu","given":"Stephen N","non-dropping-particle":"","parse-names":false,"suffix":""},{"dropping-particle":"","family":"Okonkwo","given":"Dennis O","non-dropping-particle":"","parse-names":false,"suffix":""}],"container-title":"UNIZIK Journal of Engineering and Applied Sciences","id":"ITEM-2","issue":"5","issued":{"date-parts":[["2024"]]},"page":"1382- 1401","title":"Voltage Stability Assessment of Nigeria 330 kV Power Grid: A Critical Bus Perspective","type":"article-journal","volume":"3"},"uris":["http://www.mendeley.com/documents/?uuid=a6be3e3e-7dc8-463e-87c7-f8ecad4edaab"]},{"id":"ITEM-3","itemData":{"DOI":"10.29294/IJASE.9.4.2023.3121-3133","ISSN":"23495359","abstract":"The article presents a conceptual overview of power generation systems. Electricity is probably the most versatile energy carrier in modern economies and is therefore fundamentally linked to human and economic development. Therefore, electricity deserves special attention due to its contribution to global greenhouse gas emissions, which is reflected in the continuous development of low-emission power generation technologies. The main objective of this overview of power generation technologies is to provide more technical information than usual in global assessments and to capture the latest insights from the literature. This work reports technologies such as: hydroelectric, nuclear, wind, photovoltaic, concentrated solar, geothermal, and biomass. This selection is quite representative of technologies that are important in terms of their potential contribution to a global carbon economy. In addition, the combination of conventional energy with other sources, in particular renewable energy sources, is examined. This report systematically examines the literature on the energy sources and renewable energy potential, resulting in an overview of the potentials.","author":[{"dropping-particle":"","family":"Princewill","given":"Nwadinobi Chibundo","non-dropping-particle":"","parse-names":false,"suffix":""},{"dropping-particle":"","family":"Chimaoge","given":"Nwakwuribe Victor","non-dropping-particle":"","parse-names":false,"suffix":""},{"dropping-particle":"","family":"Ubasom","given":"Kanu Allwell","non-dropping-particle":"","parse-names":false,"suffix":""},{"dropping-particle":"","family":"Kelechi","given":"Inyama","non-dropping-particle":"","parse-names":false,"suffix":""}],"container-title":"International Journal of Advanced Science and Engineering","id":"ITEM-3","issue":"4","issued":{"date-parts":[["2023"]]},"page":"3121-3133","title":"A Conceptual Review of Electrical Power Generation Processes","type":"article-journal","volume":"9"},"uris":["http://www.mendeley.com/documents/?uuid=410453bf-25b5-4967-9f57-6a2a1343a203"]}],"mendeley":{"formattedCitation":"[8], [23], [24]","plainTextFormattedCitation":"[8], [23], [24]","previouslyFormattedCitation":"[8], [23], [24]"},"properties":{"noteIndex":0},"schema":"https://github.com/citation-style-language/schema/raw/master/csl-citation.json"}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[8], [23], [24]</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Smart grid deployment remains nascent but necessary for enabling telecommuting a</w:t>
      </w:r>
      <w:r w:rsidR="00B9656F">
        <w:rPr>
          <w:rFonts w:ascii="Times New Roman" w:eastAsia="Times New Roman" w:hAnsi="Times New Roman" w:cs="Times New Roman"/>
          <w:sz w:val="24"/>
          <w:szCs w:val="24"/>
        </w:rPr>
        <w:t xml:space="preserve">nd digital transformation </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{"citationItems":[{"id":"ITEM-1","itemData":{"DOI":"10.3390/su14137707","ISSN":"20711050","abstract":"With the current transitioning and increasing complexity of power systems owing to the continuous integration of distributed generators (DGs) and Flexible AC Transmission Systems (FACTS), power system quality and security studies have extended to incorporate the impacts of these technologies. This paper presents a review of the operation and reliability impacts of FACTS technologies in improving power quality and security in modern Cyber-Physical Power Systems (CPPS). While introducing DG to the power system helps to decentralize the network for easy accessibility and enhances clean energy system, it creates new challenges such as harmonics, voltage instability, and frequency distortion. These challenges can be tackled with FACTS devices which are flexible and dynamic smart electronic controllers used to stabilize power system parameters to improve power quality and reliability. This paper examines the current state-of-the-art optimization techniques and artificial intelligence and/or computational techniques for optimal placement and operation of FACTS devices. This review highlights the generational advancement of FACTS technologies and the different objectives of optimal placement and operation of these devices. Moreover, the concept of CPPS is discussed with the potential utilization of distribution-FACTS (D-FACTS) devices for network security. Furthermore, a bibliometric analysis was carried out to show research trend of FACTS utilization. The result presents future trajectories for power utility industries and researchers interested in power system optimization and the application of FACTS technologies in smart power system networks. Some of the significant findings leads to proposed demand-side management for placement of DGs and FACTS technologies as a more strategic optimal system sizing to minimize cost. It was also concluded that future design of FACTS/D-FACTS devices must consider and appreciate interactions with the automated systems of CPPS to enhance effective integration. To this end, design modification of the operational configuration of these devices with sensors for real-time synchronized control and interaction with other CPPS technologies is an area that requires more research attention in the future.","author":[{"dropping-particle":"","family":"Okampo","given":"Ewaoche John","non-dropping-particle":"","parse-names":false,"suffix":""},{"dropping-particle":"","family":"Nwulu","given":"Nnamdi","non-dropping-particle":"","parse-names":false,"suffix":""},{"dropping-particle":"","family":"Bokoro","given":"Pitshou N.","non-dropping-particle":"","parse-names":false,"suffix":""}],"container-title":"Sustainability (Switzerland)","id":"ITEM-1","issue":"13","issued":{"date-parts":[["2022"]]},"title":"Optimal Placement and Operation of FACTS Technologies in a Cyber-Physical Power System: Critical Review and Future Outlook","type":"article-journal","volume":"14"},"uris":["http://www.mendeley.com/documents/?uuid=f6d42458-6fe0-402b-9c6f-538a60e22b12"]},{"id":"ITEM-2","itemData":{"DOI":"10.3390/s20020567","ISSN":"14248220","PMID":"31968637","abstract":"Internet of Things (IoT) can significantly enhance various aspects of today’s electric power grid infrastructures for making reliable, efficient, and safe next-generation Smart Grids (SGs). However, harsh and complex power grid infrastructures and environments reduce the accuracy of the information propagating through IoT platforms. In particularly, information is corrupted due to the measurement errors, quantization errors, and transmission errors. This leads to major system failures and instabilities in power grids. Redundant information measurements and retransmissions are traditionally used to eliminate the errors in noisy communication networks. However, these techniques consume excessive resources such as energy and channel capacity and increase network latency. Therefore, we propose a novel statistical information fusion method not only for structural chain and tree-based sensor networks, but also for unstructured bidirectional graph noisy wireless sensor networks in SG environments. We evaluate the accuracy, energy savings, fusion complexity, and latency of the proposed method by comparing the said parameters with several distributed estimation algorithms using extensive simulations proposing it for several SG applications. Results prove that the overall performance of the proposed method outperforms other fusion techniques for all considered networks. Under Smart Grid communication environments, the proposed method guarantees for best performance in all fusion accuracy, complexity and energy consumption. Analytical upper bounds for the variance of the final aggregated value at the sink node for structured networks are also derived by considering all major errors.","author":[{"dropping-particle":"","family":"Seneviratne","given":"Chatura","non-dropping-particle":"","parse-names":false,"suffix":""},{"dropping-particle":"","family":"Wijesekara","given":"Patikiri Arachchige Don Shehan Nilmantha","non-dropping-particle":"","parse-names":false,"suffix":""},{"dropping-particle":"","family":"Leung","given":"Henry","non-dropping-particle":"","parse-names":false,"suffix":""}],"container-title":"Sensors (Switzerland)","id":"ITEM-2","issue":"2","issued":{"date-parts":[["2020"]]},"page":"1-45","title":"Performance analysis of distributed estimation for data fusion using a statistical approach in smart grid noisy wireless sensor networks","type":"article-journal","volume":"20"},"uris":["http://www.mendeley.com/documents/?uuid=9be7f827-1584-4cb2-bb34-cec59063101a"]},{"id":"ITEM-3","itemData":{"DOI":"10.3390/app14114442","ISSN":"20763417","abstract":"This review paper is a foundational resource for power distribution and management decisions, thoroughly examining short-term load forecasting (STLF) models within power systems. The study categorizes these models into three groups: statistical approaches, intelligent-computing-based methods, and hybrid models. Performance indicators are compared, revealing the superiority of heuristic search and population-based optimization learning algorithms integrated with artificial neural networks (ANNs) for STLF. However, challenges persist in ANN models, particularly in weight initialization and susceptibility to local minima. The investigation underscores the necessity for sophisticated predictive models to enhance forecasting accuracy, advocating for the efficacy of hybrid models incorporating multiple predictive approaches. Acknowledging the changing landscape, the focus shifts to STLF in smart grids, exploring the transformative potential of advanced power networks. Smart measurement devices and storage systems are pivotal in boosting STLF accuracy, enabling more efficient energy management and resource allocation in evolving smart grid technologies. In summary, this review provides a comprehensive analysis of contemporary predictive models and suggests that ANNs and hybrid models could be the most suitable methods to attain reliable and accurate STLF. However, further research is required, including considerations of network complexity, improved training techniques, convergence rates, and highly correlated inputs to enhance STLF model performance in modern power systems.","author":[{"dropping-particle":"","family":"Ali","given":"Salman","non-dropping-particle":"","parse-names":false,"suffix":""},{"dropping-particle":"","family":"Bogarra","given":"Santiago","non-dropping-particle":"","parse-names":false,"suffix":""},{"dropping-particle":"","family":"Riaz","given":"Muhammad Naveed","non-dropping-particle":"","parse-names":false,"suffix":""},{"dropping-particle":"","family":"Phyo","given":"Pyae Pyae","non-dropping-particle":"","parse-names":false,"suffix":""},{"dropping-particle":"","family":"Flynn","given":"David","non-dropping-particle":"","parse-names":false,"suffix":""},{"dropping-particle":"","family":"Taha","given":"Ahmad","non-dropping-particle":"","parse-names":false,"suffix":""}],"container-title":"Applied Sciences (Switzerland)","id":"ITEM-3","issue":"11","issued":{"date-parts":[["2024"]]},"title":"From Time-Series to Hybrid Models: Advancements in Short-Term Load Forecasting Embracing Smart Grid Paradigm","type":"article-journal","volume":"14"},"uris":["http://www.mendeley.com/documents/?uuid=57c87565-6dd0-489d-966c-5ffdf9644a27"]}],"mendeley":{"formattedCitation":"[18], [25], [26]","plainTextFormattedCitation":"[18], [25], [26]","previouslyFormattedCitation":"[18], [25], [26]"},"properties":{"noteIndex":0},"schema":"https://github.com/citation-style-language/schema/raw/master/csl-citation.json"}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[18], [25], [26]</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Previous</w:t>
      </w:r>
      <w:r w:rsidR="00B9656F">
        <w:rPr>
          <w:rFonts w:ascii="Times New Roman" w:eastAsia="Times New Roman" w:hAnsi="Times New Roman" w:cs="Times New Roman"/>
          <w:sz w:val="24"/>
          <w:szCs w:val="24"/>
        </w:rPr>
        <w:t xml:space="preserve"> studies by </w:t>
      </w:r>
      <w:proofErr w:type="spellStart"/>
      <w:r w:rsidR="00B9656F">
        <w:rPr>
          <w:rFonts w:ascii="Times New Roman" w:eastAsia="Times New Roman" w:hAnsi="Times New Roman" w:cs="Times New Roman"/>
          <w:sz w:val="24"/>
          <w:szCs w:val="24"/>
        </w:rPr>
        <w:t>Gelwasa</w:t>
      </w:r>
      <w:proofErr w:type="spellEnd"/>
      <w:r w:rsidR="00B9656F">
        <w:rPr>
          <w:rFonts w:ascii="Times New Roman" w:eastAsia="Times New Roman" w:hAnsi="Times New Roman" w:cs="Times New Roman"/>
          <w:sz w:val="24"/>
          <w:szCs w:val="24"/>
        </w:rPr>
        <w:t xml:space="preserve"> </w:t>
      </w:r>
      <w:r w:rsidR="00B9656F">
        <w:rPr>
          <w:rFonts w:ascii="Times New Roman" w:eastAsia="Times New Roman" w:hAnsi="Times New Roman" w:cs="Times New Roman"/>
          <w:sz w:val="24"/>
          <w:szCs w:val="24"/>
        </w:rPr>
        <w:fldChar w:fldCharType="begin" w:fldLock="1"/>
      </w:r>
      <w:r w:rsidR="00B9656F">
        <w:rPr>
          <w:rFonts w:ascii="Times New Roman" w:eastAsia="Times New Roman" w:hAnsi="Times New Roman" w:cs="Times New Roman"/>
          <w:sz w:val="24"/>
          <w:szCs w:val="24"/>
        </w:rPr>
        <w:instrText>ADDIN CSL_CITATION {"citationItems":[{"id":"ITEM-1","itemData":{"author":[{"dropping-particle":"","family":"Ifeoluwa","given":"Peace","non-dropping-particle":"","parse-names":false,"suffix":""},{"dropping-particle":"","family":"Gummi","given":"Ahmad Muhammad","non-dropping-particle":"","parse-names":false,"suffix":""}],"id":"ITEM-1","issue":"8","issued":{"date-parts":[["2025"]]},"page":"168-179","title":"Voltage Stability in Power Systems using AI and Metaheuristic Algorithms : A Comprehensive Review","type":"article-journal"},"uris":["http://www.mendeley.com/documents/?uuid=bd267d97-1fc0-43a5-a76a-ff76fbc03c3f"]},{"id":"ITEM-2","itemData":{"author":[{"dropping-particle":"","family":"Galadima","given":"Yabani Gelwasa","non-dropping-particle":"","parse-names":false,"suffix":""}],"id":"ITEM-2","issue":"8","issued":{"date-parts":[["2025"]]},"page":"199-207","title":"The Future of Engineering Education : Mitigating AI ' s Negative Consequences","type":"article-journal"},"uris":["http://www.mendeley.com/documents/?uuid=dc3076e7-4e36-452c-af9e-e47da98ef212"]}],"mendeley":{"formattedCitation":"[27], [28]","plainTextFormattedCitation":"[27], [28]","previouslyFormattedCitation":"[27], [28]"},"properties":{"noteIndex":0},"schema":"https://github.com/citation-style-language/schema/raw/master/csl-citation.json"}</w:instrText>
      </w:r>
      <w:r w:rsidR="00B9656F">
        <w:rPr>
          <w:rFonts w:ascii="Times New Roman" w:eastAsia="Times New Roman" w:hAnsi="Times New Roman" w:cs="Times New Roman"/>
          <w:sz w:val="24"/>
          <w:szCs w:val="24"/>
        </w:rPr>
        <w:fldChar w:fldCharType="separate"/>
      </w:r>
      <w:r w:rsidR="00B9656F" w:rsidRPr="00B9656F">
        <w:rPr>
          <w:rFonts w:ascii="Times New Roman" w:eastAsia="Times New Roman" w:hAnsi="Times New Roman" w:cs="Times New Roman"/>
          <w:noProof/>
          <w:sz w:val="24"/>
          <w:szCs w:val="24"/>
        </w:rPr>
        <w:t>[27], [28]</w:t>
      </w:r>
      <w:r w:rsidR="00B9656F">
        <w:rPr>
          <w:rFonts w:ascii="Times New Roman" w:eastAsia="Times New Roman" w:hAnsi="Times New Roman" w:cs="Times New Roman"/>
          <w:sz w:val="24"/>
          <w:szCs w:val="24"/>
        </w:rPr>
        <w:fldChar w:fldCharType="end"/>
      </w:r>
      <w:r w:rsidRPr="00252B46">
        <w:rPr>
          <w:rFonts w:ascii="Times New Roman" w:eastAsia="Times New Roman" w:hAnsi="Times New Roman" w:cs="Times New Roman"/>
          <w:sz w:val="24"/>
          <w:szCs w:val="24"/>
        </w:rPr>
        <w:t xml:space="preserve"> emphasized the role of AI and deep learning in voltage stability assessment, highlighting the need for hybrid models.</w:t>
      </w:r>
    </w:p>
    <w:p w14:paraId="74FBC1BB"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5D60C6">
        <w:rPr>
          <w:rFonts w:ascii="Times New Roman" w:eastAsia="Times New Roman" w:hAnsi="Times New Roman" w:cs="Times New Roman"/>
          <w:bCs/>
          <w:sz w:val="24"/>
          <w:szCs w:val="24"/>
        </w:rPr>
        <w:t>Table 1. Literature Review Summary</w:t>
      </w:r>
    </w:p>
    <w:tbl>
      <w:tblPr>
        <w:tblStyle w:val="PlainTable2"/>
        <w:tblW w:w="0" w:type="auto"/>
        <w:jc w:val="center"/>
        <w:tblLook w:val="04A0" w:firstRow="1" w:lastRow="0" w:firstColumn="1" w:lastColumn="0" w:noHBand="0" w:noVBand="1"/>
      </w:tblPr>
      <w:tblGrid>
        <w:gridCol w:w="924"/>
        <w:gridCol w:w="1024"/>
        <w:gridCol w:w="1075"/>
        <w:gridCol w:w="1297"/>
      </w:tblGrid>
      <w:tr w:rsidR="00F0140A" w:rsidRPr="00252B46" w14:paraId="7EBF4605" w14:textId="77777777" w:rsidTr="00252B4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9440B4E" w14:textId="77777777" w:rsidR="00252B46" w:rsidRPr="00252B46" w:rsidRDefault="00252B46" w:rsidP="00252B46">
            <w:pPr>
              <w:jc w:val="both"/>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Author(s)</w:t>
            </w:r>
          </w:p>
        </w:tc>
        <w:tc>
          <w:tcPr>
            <w:tcW w:w="0" w:type="auto"/>
            <w:hideMark/>
          </w:tcPr>
          <w:p w14:paraId="4272B096" w14:textId="77777777" w:rsidR="00252B46" w:rsidRPr="00252B46" w:rsidRDefault="00252B46" w:rsidP="00252B46">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Method</w:t>
            </w:r>
          </w:p>
        </w:tc>
        <w:tc>
          <w:tcPr>
            <w:tcW w:w="0" w:type="auto"/>
            <w:hideMark/>
          </w:tcPr>
          <w:p w14:paraId="44ED5112" w14:textId="77777777" w:rsidR="00252B46" w:rsidRPr="00252B46" w:rsidRDefault="00252B46" w:rsidP="00252B46">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Application</w:t>
            </w:r>
          </w:p>
        </w:tc>
        <w:tc>
          <w:tcPr>
            <w:tcW w:w="0" w:type="auto"/>
            <w:hideMark/>
          </w:tcPr>
          <w:p w14:paraId="5F4BEC90" w14:textId="77777777" w:rsidR="00252B46" w:rsidRPr="00252B46" w:rsidRDefault="00252B46" w:rsidP="00252B46">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Limitation</w:t>
            </w:r>
          </w:p>
        </w:tc>
      </w:tr>
      <w:tr w:rsidR="00F0140A" w:rsidRPr="00252B46" w14:paraId="60043874" w14:textId="77777777" w:rsidTr="00252B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AEE3BBC" w14:textId="77777777" w:rsidR="00252B46" w:rsidRPr="00252B46" w:rsidRDefault="005033EA" w:rsidP="005033EA">
            <w:pPr>
              <w:jc w:val="both"/>
              <w:rPr>
                <w:rFonts w:ascii="Times New Roman" w:eastAsia="Times New Roman" w:hAnsi="Times New Roman" w:cs="Times New Roman"/>
                <w:b w:val="0"/>
                <w:sz w:val="24"/>
                <w:szCs w:val="24"/>
              </w:rPr>
            </w:pPr>
            <w:r w:rsidRPr="005033EA">
              <w:rPr>
                <w:rFonts w:ascii="Times New Roman" w:eastAsia="Times New Roman" w:hAnsi="Times New Roman" w:cs="Times New Roman"/>
                <w:b w:val="0"/>
                <w:sz w:val="24"/>
                <w:szCs w:val="24"/>
              </w:rPr>
              <w:t>Carlos</w:t>
            </w:r>
            <w:r w:rsidR="00252B46" w:rsidRPr="00252B46">
              <w:rPr>
                <w:rFonts w:ascii="Times New Roman" w:eastAsia="Times New Roman" w:hAnsi="Times New Roman" w:cs="Times New Roman"/>
                <w:b w:val="0"/>
                <w:sz w:val="24"/>
                <w:szCs w:val="24"/>
              </w:rPr>
              <w:t xml:space="preserve"> </w:t>
            </w:r>
            <w:r w:rsidR="00252B46" w:rsidRPr="00252B46">
              <w:rPr>
                <w:rFonts w:ascii="Times New Roman" w:eastAsia="Times New Roman" w:hAnsi="Times New Roman" w:cs="Times New Roman"/>
                <w:b w:val="0"/>
                <w:i/>
                <w:sz w:val="24"/>
                <w:szCs w:val="24"/>
              </w:rPr>
              <w:t>et al.</w:t>
            </w:r>
            <w:r w:rsidR="00252B46" w:rsidRPr="00252B46">
              <w:rPr>
                <w:rFonts w:ascii="Times New Roman" w:eastAsia="Times New Roman" w:hAnsi="Times New Roman" w:cs="Times New Roman"/>
                <w:b w:val="0"/>
                <w:sz w:val="24"/>
                <w:szCs w:val="24"/>
              </w:rPr>
              <w:t xml:space="preserve"> </w:t>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b w:val="0"/>
                <w:sz w:val="24"/>
                <w:szCs w:val="24"/>
              </w:rPr>
              <w:instrText>ADDIN CSL_CITATION {"citationItems":[{"id":"ITEM-1","itemData":{"DOI":"10.3390/en18112961","ISSN":"19961073","abstract":"The expanding integration of wind and photovoltaic (PV) energy is disrupting the power system planning processes. Their incorporation poses limitations to forecasting due to their inherent variability. This review compiles a total of ninety studies conducted and published between 2019 and 2025, presenting for the first time an integrated approach that simultaneously optimizes the generation, transmission, storage, and flexibility of resources given high ratios of renewable generation. We present a systematic taxonomy of conflicting optimization approaches—deterministic, stochastic, robust, and AI-enhanced optimization—outlining meaningful mathematical formulations, real-world case studies, and the achieved trade balance between optimality, scale, and runtime. Emerging international cooperation clusters are identified through quantitative bibliometric analysis, and method selection in practice is illustrated using a table with concise snapshots of case study excerpts. Other issues analyzed include long-duration storage, centralized versus decentralized roadmap delineation, and regulatory and market drivers of grid expansion. Finally, we identified gaps in the literature—namely, resilience, sector coupling, and policy uncertainty—that warrant further investigation. This review provides critical insights for researchers and planners by systematically integrating methodological perspectives to tackle real-world, application-oriented problems related to generation and transmission expansion models amid significant uncertainty.","author":[{"dropping-particle":"","family":"Barrera-Singaña","given":"Carlos","non-dropping-particle":"","parse-names":false,"suffix":""},{"dropping-particle":"","family":"Comech","given":"María Paz","non-dropping-particle":"","parse-names":false,"suffix":""},{"dropping-particle":"","family":"Arcos","given":"Hugo","non-dropping-particle":"","parse-names":false,"suffix":""}],"container-title":"Energies","id":"ITEM-1","issue":"11","issued":{"date-parts":[["2025"]]},"page":"1-23","title":"A Comprehensive Review on the Integration of Renewable Energy Through Advanced Planning and Optimization Techniques","type":"article-journal","volume":"18"},"uris":["http://www.mendeley.com/documents/?uuid=b1789335-36be-4b96-9185-0091cefb8bab"]}],"mendeley":{"formattedCitation":"[29]","plainTextFormattedCitation":"[29]","previouslyFormattedCitation":"[29]"},"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5033EA">
              <w:rPr>
                <w:rFonts w:ascii="Times New Roman" w:eastAsia="Times New Roman" w:hAnsi="Times New Roman" w:cs="Times New Roman"/>
                <w:b w:val="0"/>
                <w:noProof/>
                <w:sz w:val="24"/>
                <w:szCs w:val="24"/>
              </w:rPr>
              <w:t>[29]</w:t>
            </w:r>
            <w:r>
              <w:rPr>
                <w:rFonts w:ascii="Times New Roman" w:eastAsia="Times New Roman" w:hAnsi="Times New Roman" w:cs="Times New Roman"/>
                <w:sz w:val="24"/>
                <w:szCs w:val="24"/>
              </w:rPr>
              <w:fldChar w:fldCharType="end"/>
            </w:r>
          </w:p>
        </w:tc>
        <w:tc>
          <w:tcPr>
            <w:tcW w:w="0" w:type="auto"/>
            <w:hideMark/>
          </w:tcPr>
          <w:p w14:paraId="70764FF8"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ML load forecasting</w:t>
            </w:r>
          </w:p>
        </w:tc>
        <w:tc>
          <w:tcPr>
            <w:tcW w:w="0" w:type="auto"/>
            <w:hideMark/>
          </w:tcPr>
          <w:p w14:paraId="05E6D189" w14:textId="77777777" w:rsidR="00252B46" w:rsidRPr="00252B46" w:rsidRDefault="005033EA"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033EA">
              <w:rPr>
                <w:rFonts w:ascii="Times New Roman" w:eastAsia="Times New Roman" w:hAnsi="Times New Roman" w:cs="Times New Roman"/>
                <w:sz w:val="24"/>
                <w:szCs w:val="24"/>
              </w:rPr>
              <w:t>Integration of Renewable Energy</w:t>
            </w:r>
          </w:p>
        </w:tc>
        <w:tc>
          <w:tcPr>
            <w:tcW w:w="0" w:type="auto"/>
            <w:hideMark/>
          </w:tcPr>
          <w:p w14:paraId="030132BD"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Limited to developed nations</w:t>
            </w:r>
          </w:p>
        </w:tc>
      </w:tr>
      <w:tr w:rsidR="00F0140A" w:rsidRPr="00252B46" w14:paraId="2A68C317" w14:textId="77777777" w:rsidTr="00252B46">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CF69209" w14:textId="77777777" w:rsidR="005033EA" w:rsidRPr="005033EA" w:rsidRDefault="005033EA" w:rsidP="005033EA">
            <w:pPr>
              <w:rPr>
                <w:rFonts w:ascii="Times New Roman" w:eastAsia="Times New Roman" w:hAnsi="Times New Roman" w:cs="Times New Roman"/>
                <w:b w:val="0"/>
                <w:sz w:val="24"/>
                <w:szCs w:val="24"/>
              </w:rPr>
            </w:pPr>
            <w:proofErr w:type="spellStart"/>
            <w:r w:rsidRPr="005033EA">
              <w:rPr>
                <w:rFonts w:ascii="Times New Roman" w:eastAsia="Times New Roman" w:hAnsi="Times New Roman" w:cs="Times New Roman"/>
                <w:b w:val="0"/>
                <w:sz w:val="24"/>
                <w:szCs w:val="24"/>
              </w:rPr>
              <w:t>Mbunwe</w:t>
            </w:r>
            <w:proofErr w:type="spellEnd"/>
            <w:r w:rsidRPr="005033EA">
              <w:rPr>
                <w:rFonts w:ascii="Times New Roman" w:eastAsia="Times New Roman" w:hAnsi="Times New Roman" w:cs="Times New Roman"/>
                <w:b w:val="0"/>
                <w:sz w:val="24"/>
                <w:szCs w:val="24"/>
              </w:rPr>
              <w:t xml:space="preserve"> and</w:t>
            </w:r>
          </w:p>
          <w:p w14:paraId="3A4D3039" w14:textId="77777777" w:rsidR="00252B46" w:rsidRPr="00252B46" w:rsidRDefault="005033EA" w:rsidP="005033EA">
            <w:pPr>
              <w:jc w:val="both"/>
              <w:rPr>
                <w:rFonts w:ascii="Times New Roman" w:eastAsia="Times New Roman" w:hAnsi="Times New Roman" w:cs="Times New Roman"/>
                <w:b w:val="0"/>
                <w:sz w:val="24"/>
                <w:szCs w:val="24"/>
              </w:rPr>
            </w:pPr>
            <w:proofErr w:type="spellStart"/>
            <w:r>
              <w:rPr>
                <w:rFonts w:ascii="Times New Roman" w:eastAsia="Times New Roman" w:hAnsi="Times New Roman" w:cs="Times New Roman"/>
                <w:b w:val="0"/>
                <w:bCs w:val="0"/>
                <w:sz w:val="24"/>
                <w:szCs w:val="24"/>
              </w:rPr>
              <w:t>Ekwue</w:t>
            </w:r>
            <w:proofErr w:type="spellEnd"/>
            <w:r w:rsidRPr="005033EA">
              <w:rPr>
                <w:rFonts w:ascii="Times New Roman" w:eastAsia="Times New Roman" w:hAnsi="Times New Roman" w:cs="Times New Roman"/>
                <w:b w:val="0"/>
                <w:bCs w:val="0"/>
                <w:sz w:val="24"/>
                <w:szCs w:val="24"/>
              </w:rPr>
              <w:t>.</w:t>
            </w:r>
            <w:r>
              <w:rPr>
                <w:rFonts w:ascii="Times New Roman" w:eastAsia="Times New Roman" w:hAnsi="Times New Roman" w:cs="Times New Roman"/>
                <w:b w:val="0"/>
                <w:sz w:val="24"/>
                <w:szCs w:val="24"/>
              </w:rPr>
              <w:t xml:space="preserve"> </w:t>
            </w:r>
            <w:r>
              <w:rPr>
                <w:rFonts w:ascii="Times New Roman" w:eastAsia="Times New Roman" w:hAnsi="Times New Roman" w:cs="Times New Roman"/>
                <w:sz w:val="24"/>
                <w:szCs w:val="24"/>
              </w:rPr>
              <w:fldChar w:fldCharType="begin" w:fldLock="1"/>
            </w:r>
            <w:r w:rsidR="00F0140A">
              <w:rPr>
                <w:rFonts w:ascii="Times New Roman" w:eastAsia="Times New Roman" w:hAnsi="Times New Roman" w:cs="Times New Roman"/>
                <w:b w:val="0"/>
                <w:sz w:val="24"/>
                <w:szCs w:val="24"/>
              </w:rPr>
              <w:instrText>ADDIN CSL_CITATION {"citationItems":[{"id":"ITEM-1","itemData":{"DOI":"10.4314/njt.v39i2.27","ISSN":"0331-8443","abstract":"The paper addresses the means of overcoming the challenge posed by voltage collapse to the stability of the Nigerian electric power system. The technique applied is based on time identification algorithm elaborating, at a given grid bus, the local phasor measurements at fast sampling rate. Elements such as adjustable shunt compensation devices, generator reactive generation, transformer tap settings are optimally adjusted at each operating point to reach the objective of minimizing the voltage stability index at each individual bus as well as minimizing the global voltage stability indicator. The control elements setting were optimized and the maximum possible MVA voltage stable loading has been achieved and a best voltage profile was obtained. Results of tests conducted on a 6-bus IEEE system and a typical 28-bus Nigerian power distribution network are presented and discussed.\r Keywords: Special protection systems, voltage stability analysis, voltage stability limit, voltage collapse mechanism, system security","author":[{"dropping-particle":"","family":"Mbunwe","given":"M.J.","non-dropping-particle":"","parse-names":false,"suffix":""},{"dropping-particle":"","family":"Ekwue","given":"A.O.","non-dropping-particle":"","parse-names":false,"suffix":""}],"container-title":"Nigerian Journal of Technology","id":"ITEM-1","issue":"2","issued":{"date-parts":[["2020"]]},"page":"562-571","title":"Voltage stability analysis of the Nigerian Power System using annealing optimization technique","type":"article-journal","volume":"39"},"uris":["http://www.mendeley.com/documents/?uuid=b7c937be-11bb-443a-bd0f-65f87150330f"]}],"mendeley":{"formattedCitation":"[30]","plainTextFormattedCitation":"[30]","previouslyFormattedCitation":"[30]"},"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5033EA">
              <w:rPr>
                <w:rFonts w:ascii="Times New Roman" w:eastAsia="Times New Roman" w:hAnsi="Times New Roman" w:cs="Times New Roman"/>
                <w:b w:val="0"/>
                <w:noProof/>
                <w:sz w:val="24"/>
                <w:szCs w:val="24"/>
              </w:rPr>
              <w:t>[30]</w:t>
            </w:r>
            <w:r>
              <w:rPr>
                <w:rFonts w:ascii="Times New Roman" w:eastAsia="Times New Roman" w:hAnsi="Times New Roman" w:cs="Times New Roman"/>
                <w:sz w:val="24"/>
                <w:szCs w:val="24"/>
              </w:rPr>
              <w:fldChar w:fldCharType="end"/>
            </w:r>
          </w:p>
        </w:tc>
        <w:tc>
          <w:tcPr>
            <w:tcW w:w="0" w:type="auto"/>
            <w:hideMark/>
          </w:tcPr>
          <w:p w14:paraId="3E3FC317"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Statistical regression</w:t>
            </w:r>
          </w:p>
        </w:tc>
        <w:tc>
          <w:tcPr>
            <w:tcW w:w="0" w:type="auto"/>
            <w:hideMark/>
          </w:tcPr>
          <w:p w14:paraId="2F2C0EAA"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Nigerian grid</w:t>
            </w:r>
          </w:p>
        </w:tc>
        <w:tc>
          <w:tcPr>
            <w:tcW w:w="0" w:type="auto"/>
            <w:hideMark/>
          </w:tcPr>
          <w:p w14:paraId="483B6A45"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Data scarcity</w:t>
            </w:r>
          </w:p>
        </w:tc>
      </w:tr>
      <w:tr w:rsidR="00F0140A" w:rsidRPr="00252B46" w14:paraId="1BA46994" w14:textId="77777777" w:rsidTr="00252B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0112406" w14:textId="77777777" w:rsidR="00252B46" w:rsidRPr="00252B46" w:rsidRDefault="00B9656F" w:rsidP="00252B46">
            <w:pPr>
              <w:jc w:val="both"/>
              <w:rPr>
                <w:rFonts w:ascii="Times New Roman" w:eastAsia="Times New Roman" w:hAnsi="Times New Roman" w:cs="Times New Roman"/>
                <w:b w:val="0"/>
                <w:sz w:val="24"/>
                <w:szCs w:val="24"/>
              </w:rPr>
            </w:pPr>
            <w:proofErr w:type="spellStart"/>
            <w:r>
              <w:rPr>
                <w:rFonts w:ascii="Times New Roman" w:eastAsia="Times New Roman" w:hAnsi="Times New Roman" w:cs="Times New Roman"/>
                <w:b w:val="0"/>
                <w:sz w:val="24"/>
                <w:szCs w:val="24"/>
              </w:rPr>
              <w:t>Gelwasa</w:t>
            </w:r>
            <w:proofErr w:type="spellEnd"/>
            <w:r>
              <w:rPr>
                <w:rFonts w:ascii="Times New Roman" w:eastAsia="Times New Roman" w:hAnsi="Times New Roman" w:cs="Times New Roman"/>
                <w:b w:val="0"/>
                <w:sz w:val="24"/>
                <w:szCs w:val="24"/>
              </w:rPr>
              <w:t xml:space="preserve"> </w:t>
            </w:r>
            <w:r>
              <w:rPr>
                <w:rFonts w:ascii="Times New Roman" w:eastAsia="Times New Roman" w:hAnsi="Times New Roman" w:cs="Times New Roman"/>
                <w:sz w:val="24"/>
                <w:szCs w:val="24"/>
              </w:rPr>
              <w:fldChar w:fldCharType="begin" w:fldLock="1"/>
            </w:r>
            <w:r w:rsidR="00F0140A">
              <w:rPr>
                <w:rFonts w:ascii="Times New Roman" w:eastAsia="Times New Roman" w:hAnsi="Times New Roman" w:cs="Times New Roman"/>
                <w:b w:val="0"/>
                <w:sz w:val="24"/>
                <w:szCs w:val="24"/>
              </w:rPr>
              <w:instrText>ADDIN CSL_CITATION {"citationItems":[{"id":"ITEM-1","itemData":{"author":[{"dropping-particle":"","family":"Galadima","given":"Yabani Gelwasa","non-dropping-particle":"","parse-names":false,"suffix":""}],"id":"ITEM-1","issue":"8","issued":{"date-parts":[["2025"]]},"page":"149-168","title":"Voltage Stability Challenges and Machine Learning-Based Solutions for Power Networks in Northern Nigeria : A Comprehensive Review","type":"article-journal"},"uris":["http://www.mendeley.com/documents/?uuid=f53551e6-a0d9-4413-bbfc-5678a8b68b9b"]}],"mendeley":{"formattedCitation":"[31]","plainTextFormattedCitation":"[31]","previouslyFormattedCitation":"[31]"},"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5033EA" w:rsidRPr="005033EA">
              <w:rPr>
                <w:rFonts w:ascii="Times New Roman" w:eastAsia="Times New Roman" w:hAnsi="Times New Roman" w:cs="Times New Roman"/>
                <w:b w:val="0"/>
                <w:noProof/>
                <w:sz w:val="24"/>
                <w:szCs w:val="24"/>
              </w:rPr>
              <w:t>[31]</w:t>
            </w:r>
            <w:r>
              <w:rPr>
                <w:rFonts w:ascii="Times New Roman" w:eastAsia="Times New Roman" w:hAnsi="Times New Roman" w:cs="Times New Roman"/>
                <w:sz w:val="24"/>
                <w:szCs w:val="24"/>
              </w:rPr>
              <w:fldChar w:fldCharType="end"/>
            </w:r>
          </w:p>
        </w:tc>
        <w:tc>
          <w:tcPr>
            <w:tcW w:w="0" w:type="auto"/>
            <w:hideMark/>
          </w:tcPr>
          <w:p w14:paraId="7C9FA569"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GAN + DL</w:t>
            </w:r>
          </w:p>
        </w:tc>
        <w:tc>
          <w:tcPr>
            <w:tcW w:w="0" w:type="auto"/>
            <w:hideMark/>
          </w:tcPr>
          <w:p w14:paraId="1399A5EF"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Voltage stability</w:t>
            </w:r>
          </w:p>
        </w:tc>
        <w:tc>
          <w:tcPr>
            <w:tcW w:w="0" w:type="auto"/>
            <w:hideMark/>
          </w:tcPr>
          <w:p w14:paraId="087F6DD0"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Offline focus</w:t>
            </w:r>
          </w:p>
        </w:tc>
      </w:tr>
      <w:tr w:rsidR="00F0140A" w:rsidRPr="00252B46" w14:paraId="4879FD52" w14:textId="77777777" w:rsidTr="00252B46">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D732245" w14:textId="77777777" w:rsidR="00252B46" w:rsidRPr="00252B46" w:rsidRDefault="00F0140A" w:rsidP="00252B46">
            <w:pPr>
              <w:jc w:val="both"/>
              <w:rPr>
                <w:rFonts w:ascii="Times New Roman" w:eastAsia="Times New Roman" w:hAnsi="Times New Roman" w:cs="Times New Roman"/>
                <w:b w:val="0"/>
                <w:sz w:val="24"/>
                <w:szCs w:val="24"/>
              </w:rPr>
            </w:pPr>
            <w:proofErr w:type="spellStart"/>
            <w:r>
              <w:rPr>
                <w:rFonts w:ascii="Times New Roman" w:eastAsia="Times New Roman" w:hAnsi="Times New Roman" w:cs="Times New Roman"/>
                <w:b w:val="0"/>
                <w:sz w:val="24"/>
                <w:szCs w:val="24"/>
              </w:rPr>
              <w:t>Y.Chen</w:t>
            </w:r>
            <w:proofErr w:type="spellEnd"/>
            <w:r>
              <w:rPr>
                <w:rFonts w:ascii="Times New Roman" w:eastAsia="Times New Roman" w:hAnsi="Times New Roman" w:cs="Times New Roman"/>
                <w:b w:val="0"/>
                <w:sz w:val="24"/>
                <w:szCs w:val="24"/>
              </w:rPr>
              <w:t xml:space="preserve"> </w:t>
            </w:r>
            <w:r w:rsidRPr="00F0140A">
              <w:rPr>
                <w:rFonts w:ascii="Times New Roman" w:eastAsia="Times New Roman" w:hAnsi="Times New Roman" w:cs="Times New Roman"/>
                <w:b w:val="0"/>
                <w:i/>
                <w:sz w:val="24"/>
                <w:szCs w:val="24"/>
              </w:rPr>
              <w:t>et al</w:t>
            </w:r>
            <w:r>
              <w:rPr>
                <w:rFonts w:ascii="Times New Roman" w:eastAsia="Times New Roman" w:hAnsi="Times New Roman" w:cs="Times New Roman"/>
                <w:b w:val="0"/>
                <w:sz w:val="24"/>
                <w:szCs w:val="24"/>
              </w:rPr>
              <w:t xml:space="preserve">. </w:t>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b w:val="0"/>
                <w:sz w:val="24"/>
                <w:szCs w:val="24"/>
              </w:rPr>
              <w:instrText>ADDIN CSL_CITATION {"citationItems":[{"id":"ITEM-1","itemData":{"DOI":"10.3390/su15118555","ISSN":"20711050","abstract":"The integration of renewable energy resources into smart grids has become increasingly important to address the challenges of managing and forecasting energy production in the fourth energy revolution. To this end, artificial intelligence (AI) has emerged as a powerful tool for improving energy production control and management. This study investigates the application of machine learning techniques, specifically ARIMA (auto-regressive integrated moving average) and Bi-LSTM (bidirectional long short-term memory) models, for predicting solar power production for the next year. Using one year of real-time solar power production data, this study trains and tests these models on performance measures such as mean absolute error (MAE) and root mean squared error (RMSE). The results demonstrate that the Bi-LSTM (bidirectional long short-term memory) model outperforms the ARIMA (auto-regressive integrated moving average) model in terms of accuracy and is able to successfully identify intricate patterns and long-term relationships in the real-time-series data. The findings suggest that machine learning techniques can optimize the integration of renewable energy resources into smart grids, leading to more efficient and sustainable power systems.","author":[{"dropping-particle":"","family":"Chen","given":"Yuanhua","non-dropping-particle":"","parse-names":false,"suffix":""},{"dropping-particle":"","family":"Bhutta","given":"Muhammad Shoaib","non-dropping-particle":"","parse-names":false,"suffix":""},{"dropping-particle":"","family":"Abubakar","given":"Muhammad","non-dropping-particle":"","parse-names":false,"suffix":""},{"dropping-particle":"","family":"Xiao","given":"Dingtian","non-dropping-particle":"","parse-names":false,"suffix":""},{"dropping-particle":"","family":"Almasoudi","given":"Fahad M.","non-dropping-particle":"","parse-names":false,"suffix":""},{"dropping-particle":"","family":"Naeem","given":"Hamad","non-dropping-particle":"","parse-names":false,"suffix":""},{"dropping-particle":"","family":"Faheem","given":"Muhammad","non-dropping-particle":"","parse-names":false,"suffix":""}],"container-title":"Sustainability (Switzerland)","id":"ITEM-1","issue":"11","issued":{"date-parts":[["2023"]]},"title":"Evaluation of Machine Learning Models for Smart Grid Parameters: Performance Analysis of ARIMA and Bi-LSTM","type":"article-journal","volume":"15"},"uris":["http://www.mendeley.com/documents/?uuid=6b95705b-c187-4cb5-b8da-15c6d1ad3f58"]}],"mendeley":{"formattedCitation":"[21]","plainTextFormattedCitation":"[21]","previouslyFormattedCitation":"[21]"},"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F0140A">
              <w:rPr>
                <w:rFonts w:ascii="Times New Roman" w:eastAsia="Times New Roman" w:hAnsi="Times New Roman" w:cs="Times New Roman"/>
                <w:b w:val="0"/>
                <w:noProof/>
                <w:sz w:val="24"/>
                <w:szCs w:val="24"/>
              </w:rPr>
              <w:t>[21]</w:t>
            </w:r>
            <w:r>
              <w:rPr>
                <w:rFonts w:ascii="Times New Roman" w:eastAsia="Times New Roman" w:hAnsi="Times New Roman" w:cs="Times New Roman"/>
                <w:sz w:val="24"/>
                <w:szCs w:val="24"/>
              </w:rPr>
              <w:fldChar w:fldCharType="end"/>
            </w:r>
          </w:p>
        </w:tc>
        <w:tc>
          <w:tcPr>
            <w:tcW w:w="0" w:type="auto"/>
            <w:hideMark/>
          </w:tcPr>
          <w:p w14:paraId="14F659D5" w14:textId="77777777" w:rsidR="00252B46" w:rsidRPr="00252B46" w:rsidRDefault="00F0140A"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ARIMA and Bi-</w:t>
            </w:r>
            <w:r w:rsidR="00252B46" w:rsidRPr="00252B46">
              <w:rPr>
                <w:rFonts w:ascii="Times New Roman" w:eastAsia="Times New Roman" w:hAnsi="Times New Roman" w:cs="Times New Roman"/>
                <w:sz w:val="24"/>
                <w:szCs w:val="24"/>
              </w:rPr>
              <w:t>LSTM</w:t>
            </w:r>
          </w:p>
        </w:tc>
        <w:tc>
          <w:tcPr>
            <w:tcW w:w="0" w:type="auto"/>
            <w:hideMark/>
          </w:tcPr>
          <w:p w14:paraId="49E0ECA9"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Renewable forecasting</w:t>
            </w:r>
          </w:p>
        </w:tc>
        <w:tc>
          <w:tcPr>
            <w:tcW w:w="0" w:type="auto"/>
            <w:hideMark/>
          </w:tcPr>
          <w:p w14:paraId="54E3F6A5"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Computational cost</w:t>
            </w:r>
          </w:p>
        </w:tc>
      </w:tr>
    </w:tbl>
    <w:p w14:paraId="0AF8036A" w14:textId="77777777" w:rsidR="00252B46" w:rsidRPr="00252B46" w:rsidRDefault="00252B46" w:rsidP="00252B46">
      <w:pPr>
        <w:spacing w:after="0" w:line="240" w:lineRule="auto"/>
        <w:jc w:val="both"/>
        <w:rPr>
          <w:rFonts w:ascii="Times New Roman" w:eastAsia="Times New Roman" w:hAnsi="Times New Roman" w:cs="Times New Roman"/>
          <w:sz w:val="24"/>
          <w:szCs w:val="24"/>
        </w:rPr>
      </w:pPr>
    </w:p>
    <w:p w14:paraId="293373BC" w14:textId="083D25CC" w:rsidR="00252B46" w:rsidRPr="00252B46" w:rsidRDefault="00252B46" w:rsidP="00252B46">
      <w:pPr>
        <w:spacing w:before="100" w:beforeAutospacing="1" w:after="100" w:afterAutospacing="1" w:line="240" w:lineRule="auto"/>
        <w:jc w:val="both"/>
        <w:outlineLvl w:val="1"/>
        <w:rPr>
          <w:rFonts w:ascii="Times New Roman" w:eastAsia="Times New Roman" w:hAnsi="Times New Roman" w:cs="Times New Roman"/>
          <w:b/>
          <w:bCs/>
          <w:sz w:val="24"/>
          <w:szCs w:val="24"/>
        </w:rPr>
      </w:pPr>
      <w:r w:rsidRPr="00252B46">
        <w:rPr>
          <w:rFonts w:ascii="Times New Roman" w:eastAsia="Times New Roman" w:hAnsi="Times New Roman" w:cs="Times New Roman"/>
          <w:b/>
          <w:bCs/>
          <w:sz w:val="24"/>
          <w:szCs w:val="24"/>
        </w:rPr>
        <w:t>III. Methodology</w:t>
      </w:r>
    </w:p>
    <w:p w14:paraId="35EBB9CE"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 xml:space="preserve">A. </w:t>
      </w:r>
      <w:r w:rsidRPr="00014C00">
        <w:rPr>
          <w:rFonts w:ascii="Times New Roman" w:eastAsia="Times New Roman" w:hAnsi="Times New Roman" w:cs="Times New Roman"/>
          <w:b/>
          <w:sz w:val="24"/>
          <w:szCs w:val="24"/>
        </w:rPr>
        <w:t>Framework Overview</w:t>
      </w:r>
    </w:p>
    <w:p w14:paraId="2F43EAC1" w14:textId="77777777" w:rsidR="00252B46" w:rsidRPr="005D60C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The proposed methodology integrates ML and statistical techniques within a smart grid optimization framework. The architecture (Fig. 1) includes data acquisition, preprocessing, hybrid forecasting, optimization, and evaluation.</w:t>
      </w:r>
    </w:p>
    <w:p w14:paraId="5B91BC90" w14:textId="77777777" w:rsidR="00252B46" w:rsidRPr="00252B46" w:rsidRDefault="0046346A" w:rsidP="00252B46">
      <w:pPr>
        <w:spacing w:before="100" w:beforeAutospacing="1" w:after="100" w:afterAutospacing="1" w:line="240" w:lineRule="auto"/>
        <w:jc w:val="both"/>
        <w:rPr>
          <w:rFonts w:ascii="Times New Roman" w:eastAsia="Times New Roman" w:hAnsi="Times New Roman" w:cs="Times New Roman"/>
          <w:sz w:val="24"/>
          <w:szCs w:val="24"/>
        </w:rPr>
      </w:pPr>
      <w:r w:rsidRPr="00E1044B">
        <w:rPr>
          <w:rFonts w:ascii="Times New Roman" w:eastAsia="Times New Roman" w:hAnsi="Times New Roman" w:cs="Times New Roman"/>
          <w:bCs/>
          <w:noProof/>
          <w:sz w:val="24"/>
          <w:szCs w:val="24"/>
        </w:rPr>
        <mc:AlternateContent>
          <mc:Choice Requires="wpg">
            <w:drawing>
              <wp:anchor distT="0" distB="0" distL="114300" distR="114300" simplePos="0" relativeHeight="251659264" behindDoc="0" locked="0" layoutInCell="1" allowOverlap="1" wp14:anchorId="6272D16D" wp14:editId="50D52DB8">
                <wp:simplePos x="0" y="0"/>
                <wp:positionH relativeFrom="margin">
                  <wp:align>center</wp:align>
                </wp:positionH>
                <wp:positionV relativeFrom="paragraph">
                  <wp:posOffset>142875</wp:posOffset>
                </wp:positionV>
                <wp:extent cx="4829175" cy="1636755"/>
                <wp:effectExtent l="0" t="19050" r="28575" b="20955"/>
                <wp:wrapNone/>
                <wp:docPr id="17" name="Group 17"/>
                <wp:cNvGraphicFramePr/>
                <a:graphic xmlns:a="http://schemas.openxmlformats.org/drawingml/2006/main">
                  <a:graphicData uri="http://schemas.microsoft.com/office/word/2010/wordprocessingGroup">
                    <wpg:wgp>
                      <wpg:cNvGrpSpPr/>
                      <wpg:grpSpPr>
                        <a:xfrm>
                          <a:off x="0" y="0"/>
                          <a:ext cx="4829175" cy="1636755"/>
                          <a:chOff x="0" y="0"/>
                          <a:chExt cx="4829175" cy="2200275"/>
                        </a:xfrm>
                      </wpg:grpSpPr>
                      <wps:wsp>
                        <wps:cNvPr id="2" name="Text Box 2"/>
                        <wps:cNvSpPr txBox="1"/>
                        <wps:spPr>
                          <a:xfrm>
                            <a:off x="19050" y="0"/>
                            <a:ext cx="1181100" cy="342900"/>
                          </a:xfrm>
                          <a:prstGeom prst="rect">
                            <a:avLst/>
                          </a:prstGeom>
                          <a:solidFill>
                            <a:schemeClr val="lt1"/>
                          </a:solidFill>
                          <a:ln w="6350">
                            <a:solidFill>
                              <a:prstClr val="black"/>
                            </a:solidFill>
                          </a:ln>
                        </wps:spPr>
                        <wps:txbx>
                          <w:txbxContent>
                            <w:p w14:paraId="4CD39BF1" w14:textId="77777777" w:rsidR="0046346A" w:rsidRDefault="0046346A" w:rsidP="0046346A">
                              <w:r>
                                <w:t>Data acquisition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a:off x="1800225" y="0"/>
                            <a:ext cx="1181100" cy="342900"/>
                          </a:xfrm>
                          <a:prstGeom prst="rect">
                            <a:avLst/>
                          </a:prstGeom>
                          <a:solidFill>
                            <a:schemeClr val="lt1"/>
                          </a:solidFill>
                          <a:ln w="6350">
                            <a:solidFill>
                              <a:prstClr val="black"/>
                            </a:solidFill>
                          </a:ln>
                        </wps:spPr>
                        <wps:txbx>
                          <w:txbxContent>
                            <w:p w14:paraId="6FB90C4B" w14:textId="77777777" w:rsidR="0046346A" w:rsidRDefault="0046346A" w:rsidP="0046346A">
                              <w:r>
                                <w:t>Preprocessing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Text Box 4"/>
                        <wps:cNvSpPr txBox="1"/>
                        <wps:spPr>
                          <a:xfrm>
                            <a:off x="0" y="904875"/>
                            <a:ext cx="1533525" cy="342900"/>
                          </a:xfrm>
                          <a:prstGeom prst="rect">
                            <a:avLst/>
                          </a:prstGeom>
                          <a:solidFill>
                            <a:schemeClr val="lt1"/>
                          </a:solidFill>
                          <a:ln w="6350">
                            <a:solidFill>
                              <a:prstClr val="black"/>
                            </a:solidFill>
                          </a:ln>
                        </wps:spPr>
                        <wps:txbx>
                          <w:txbxContent>
                            <w:p w14:paraId="53634214" w14:textId="77777777" w:rsidR="0046346A" w:rsidRDefault="0046346A" w:rsidP="0046346A">
                              <w:r>
                                <w:t>Reinforcement learning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Text Box 5"/>
                        <wps:cNvSpPr txBox="1"/>
                        <wps:spPr>
                          <a:xfrm>
                            <a:off x="3171825" y="962025"/>
                            <a:ext cx="1609725" cy="342900"/>
                          </a:xfrm>
                          <a:prstGeom prst="rect">
                            <a:avLst/>
                          </a:prstGeom>
                          <a:solidFill>
                            <a:schemeClr val="lt1"/>
                          </a:solidFill>
                          <a:ln w="6350">
                            <a:solidFill>
                              <a:prstClr val="black"/>
                            </a:solidFill>
                          </a:ln>
                        </wps:spPr>
                        <wps:txbx>
                          <w:txbxContent>
                            <w:p w14:paraId="4AE20B43" w14:textId="77777777" w:rsidR="0046346A" w:rsidRDefault="0046346A" w:rsidP="0046346A">
                              <w:r>
                                <w:t>Renewable integration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Text Box 6"/>
                        <wps:cNvSpPr txBox="1"/>
                        <wps:spPr>
                          <a:xfrm>
                            <a:off x="3543300" y="0"/>
                            <a:ext cx="1285875" cy="342900"/>
                          </a:xfrm>
                          <a:prstGeom prst="rect">
                            <a:avLst/>
                          </a:prstGeom>
                          <a:solidFill>
                            <a:schemeClr val="lt1"/>
                          </a:solidFill>
                          <a:ln w="6350">
                            <a:solidFill>
                              <a:prstClr val="black"/>
                            </a:solidFill>
                          </a:ln>
                        </wps:spPr>
                        <wps:txbx>
                          <w:txbxContent>
                            <w:p w14:paraId="3B128AAB" w14:textId="77777777" w:rsidR="0046346A" w:rsidRDefault="0046346A" w:rsidP="0046346A">
                              <w:r>
                                <w:t>Hybrid forecasting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xt Box 8"/>
                        <wps:cNvSpPr txBox="1"/>
                        <wps:spPr>
                          <a:xfrm>
                            <a:off x="1190625" y="1857375"/>
                            <a:ext cx="2600325" cy="342900"/>
                          </a:xfrm>
                          <a:prstGeom prst="rect">
                            <a:avLst/>
                          </a:prstGeom>
                          <a:solidFill>
                            <a:schemeClr val="lt1"/>
                          </a:solidFill>
                          <a:ln w="6350">
                            <a:solidFill>
                              <a:prstClr val="black"/>
                            </a:solidFill>
                          </a:ln>
                        </wps:spPr>
                        <wps:txbx>
                          <w:txbxContent>
                            <w:p w14:paraId="34082FC2" w14:textId="77777777" w:rsidR="0046346A" w:rsidRDefault="0046346A" w:rsidP="0046346A">
                              <w:pPr>
                                <w:jc w:val="center"/>
                              </w:pPr>
                              <w:r>
                                <w:t>Evaluation metrics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ight Arrow 9"/>
                        <wps:cNvSpPr/>
                        <wps:spPr>
                          <a:xfrm>
                            <a:off x="1190625" y="0"/>
                            <a:ext cx="628650" cy="304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ight Arrow 10"/>
                        <wps:cNvSpPr/>
                        <wps:spPr>
                          <a:xfrm>
                            <a:off x="3000375" y="19050"/>
                            <a:ext cx="552450" cy="304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ight Arrow 11"/>
                        <wps:cNvSpPr/>
                        <wps:spPr>
                          <a:xfrm flipV="1">
                            <a:off x="1504950" y="609600"/>
                            <a:ext cx="1762125"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Down Arrow 12"/>
                        <wps:cNvSpPr/>
                        <wps:spPr>
                          <a:xfrm>
                            <a:off x="1266825" y="638175"/>
                            <a:ext cx="484505" cy="2857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Down Arrow 13"/>
                        <wps:cNvSpPr/>
                        <wps:spPr>
                          <a:xfrm>
                            <a:off x="3057525" y="638175"/>
                            <a:ext cx="484505" cy="3143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Down Arrow 14"/>
                        <wps:cNvSpPr/>
                        <wps:spPr>
                          <a:xfrm>
                            <a:off x="1981200" y="352425"/>
                            <a:ext cx="484505" cy="2952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Down Arrow 15"/>
                        <wps:cNvSpPr/>
                        <wps:spPr>
                          <a:xfrm>
                            <a:off x="3105150" y="1295400"/>
                            <a:ext cx="484505" cy="5524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Down Arrow 16"/>
                        <wps:cNvSpPr/>
                        <wps:spPr>
                          <a:xfrm>
                            <a:off x="1066800" y="1266825"/>
                            <a:ext cx="484505" cy="6096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272D16D" id="Group 17" o:spid="_x0000_s1026" style="position:absolute;left:0;text-align:left;margin-left:0;margin-top:11.25pt;width:380.25pt;height:128.9pt;z-index:251659264;mso-position-horizontal:center;mso-position-horizontal-relative:margin;mso-height-relative:margin" coordsize="48291,22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">
                <v:shapetype id="_x0000_t202" coordsize="21600,21600" o:spt="202" path="m,l,21600r21600,l21600,xe">
                  <v:stroke joinstyle="miter"/>
                  <v:path gradientshapeok="t" o:connecttype="rect"/>
                </v:shapetype>
                <v:shape id="Text Box 2" o:spid="_x0000_s1027" type="#_x0000_t202" style="position:absolute;left:190;width:11811;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" fillcolor="white [3201]" strokeweight=".5pt">
                  <v:textbox>
                    <w:txbxContent>
                      <w:p w14:paraId="4CD39BF1" w14:textId="77777777" w:rsidR="0046346A" w:rsidRDefault="0046346A" w:rsidP="0046346A">
                        <w:r>
                          <w:t>Data acquisition</w:t>
                        </w:r>
                      </w:p>
                    </w:txbxContent>
                  </v:textbox>
                </v:shape>
                <v:shape id="Text Box 3" o:spid="_x0000_s1028" type="#_x0000_t202" style="position:absolute;left:18002;width:11811;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" fillcolor="white [3201]" strokeweight=".5pt">
                  <v:textbox>
                    <w:txbxContent>
                      <w:p w14:paraId="6FB90C4B" w14:textId="77777777" w:rsidR="0046346A" w:rsidRDefault="0046346A" w:rsidP="0046346A">
                        <w:r>
                          <w:t>Preprocessing</w:t>
                        </w:r>
                      </w:p>
                    </w:txbxContent>
                  </v:textbox>
                </v:shape>
                <v:shape id="Text Box 4" o:spid="_x0000_s1029" type="#_x0000_t202" style="position:absolute;top:9048;width:15335;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" fillcolor="white [3201]" strokeweight=".5pt">
                  <v:textbox>
                    <w:txbxContent>
                      <w:p w14:paraId="53634214" w14:textId="77777777" w:rsidR="0046346A" w:rsidRDefault="0046346A" w:rsidP="0046346A">
                        <w:r>
                          <w:t>Reinforcement learning</w:t>
                        </w:r>
                      </w:p>
                    </w:txbxContent>
                  </v:textbox>
                </v:shape>
                <v:shape id="Text Box 5" o:spid="_x0000_s1030" type="#_x0000_t202" style="position:absolute;left:31718;top:9620;width:16097;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" fillcolor="white [3201]" strokeweight=".5pt">
                  <v:textbox>
                    <w:txbxContent>
                      <w:p w14:paraId="4AE20B43" w14:textId="77777777" w:rsidR="0046346A" w:rsidRDefault="0046346A" w:rsidP="0046346A">
                        <w:r>
                          <w:t>Renewable integration</w:t>
                        </w:r>
                      </w:p>
                    </w:txbxContent>
                  </v:textbox>
                </v:shape>
                <v:shape id="Text Box 6" o:spid="_x0000_s1031" type="#_x0000_t202" style="position:absolute;left:35433;width:12858;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" fillcolor="white [3201]" strokeweight=".5pt">
                  <v:textbox>
                    <w:txbxContent>
                      <w:p w14:paraId="3B128AAB" w14:textId="77777777" w:rsidR="0046346A" w:rsidRDefault="0046346A" w:rsidP="0046346A">
                        <w:r>
                          <w:t>Hybrid forecasting</w:t>
                        </w:r>
                      </w:p>
                    </w:txbxContent>
                  </v:textbox>
                </v:shape>
                <v:shape id="Text Box 8" o:spid="_x0000_s1032" type="#_x0000_t202" style="position:absolute;left:11906;top:18573;width:26003;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" fillcolor="white [3201]" strokeweight=".5pt">
                  <v:textbox>
                    <w:txbxContent>
                      <w:p w14:paraId="34082FC2" w14:textId="77777777" w:rsidR="0046346A" w:rsidRDefault="0046346A" w:rsidP="0046346A">
                        <w:pPr>
                          <w:jc w:val="center"/>
                        </w:pPr>
                        <w:r>
                          <w:t>Evaluation metrics</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33" type="#_x0000_t13" style="position:absolute;left:11906;width:6286;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" adj="16364" fillcolor="#5b9bd5 [3204]" strokecolor="#1f4d78 [1604]" strokeweight="1pt"/>
                <v:shape id="Right Arrow 10" o:spid="_x0000_s1034" type="#_x0000_t13" style="position:absolute;left:30003;top:190;width:552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" adj="15641" fillcolor="#5b9bd5 [3204]" strokecolor="#1f4d78 [1604]" strokeweight="1pt"/>
                <v:shape id="Right Arrow 11" o:spid="_x0000_s1035" type="#_x0000_t13" style="position:absolute;left:15049;top:6096;width:17621;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" adj="21320" fillcolor="#5b9bd5 [3204]" strokecolor="#1f4d78 [1604]" strokeweight="1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2" o:spid="_x0000_s1036" type="#_x0000_t67" style="position:absolute;left:12668;top:6381;width:4845;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" adj="10800" fillcolor="#5b9bd5 [3204]" strokecolor="#1f4d78 [1604]" strokeweight="1pt"/>
                <v:shape id="Down Arrow 13" o:spid="_x0000_s1037" type="#_x0000_t67" style="position:absolute;left:30575;top:6381;width:4845;height:3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" adj="10800" fillcolor="#5b9bd5 [3204]" strokecolor="#1f4d78 [1604]" strokeweight="1pt"/>
                <v:shape id="Down Arrow 14" o:spid="_x0000_s1038" type="#_x0000_t67" style="position:absolute;left:19812;top:3524;width:4845;height:2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" adj="10800" fillcolor="#5b9bd5 [3204]" strokecolor="#1f4d78 [1604]" strokeweight="1pt"/>
                <v:shape id="Down Arrow 15" o:spid="_x0000_s1039" type="#_x0000_t67" style="position:absolute;left:31051;top:12954;width:4845;height:5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" adj="12128" fillcolor="#5b9bd5 [3204]" strokecolor="#1f4d78 [1604]" strokeweight="1pt"/>
                <v:shape id="Down Arrow 16" o:spid="_x0000_s1040" type="#_x0000_t67" style="position:absolute;left:10668;top:12668;width:4845;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" adj="13016" fillcolor="#5b9bd5 [3204]" strokecolor="#1f4d78 [1604]" strokeweight="1pt"/>
                <w10:wrap anchorx="margin"/>
              </v:group>
            </w:pict>
          </mc:Fallback>
        </mc:AlternateContent>
      </w:r>
    </w:p>
    <w:p w14:paraId="00FBC0F9" w14:textId="77777777" w:rsidR="0046346A" w:rsidRDefault="0046346A" w:rsidP="00252B46">
      <w:pPr>
        <w:spacing w:before="100" w:beforeAutospacing="1" w:after="100" w:afterAutospacing="1" w:line="240" w:lineRule="auto"/>
        <w:jc w:val="both"/>
        <w:rPr>
          <w:rFonts w:ascii="Times New Roman" w:eastAsia="Times New Roman" w:hAnsi="Times New Roman" w:cs="Times New Roman"/>
          <w:bCs/>
          <w:sz w:val="24"/>
          <w:szCs w:val="24"/>
        </w:rPr>
      </w:pPr>
    </w:p>
    <w:p w14:paraId="5526D012" w14:textId="77777777" w:rsidR="0046346A" w:rsidRDefault="0046346A" w:rsidP="00252B46">
      <w:pPr>
        <w:spacing w:before="100" w:beforeAutospacing="1" w:after="100" w:afterAutospacing="1" w:line="240" w:lineRule="auto"/>
        <w:jc w:val="both"/>
        <w:rPr>
          <w:rFonts w:ascii="Times New Roman" w:eastAsia="Times New Roman" w:hAnsi="Times New Roman" w:cs="Times New Roman"/>
          <w:bCs/>
          <w:sz w:val="24"/>
          <w:szCs w:val="24"/>
        </w:rPr>
      </w:pPr>
    </w:p>
    <w:p w14:paraId="4D09248C" w14:textId="77777777" w:rsidR="0046346A" w:rsidRDefault="0046346A" w:rsidP="00252B46">
      <w:pPr>
        <w:spacing w:before="100" w:beforeAutospacing="1" w:after="100" w:afterAutospacing="1" w:line="240" w:lineRule="auto"/>
        <w:jc w:val="both"/>
        <w:rPr>
          <w:rFonts w:ascii="Times New Roman" w:eastAsia="Times New Roman" w:hAnsi="Times New Roman" w:cs="Times New Roman"/>
          <w:bCs/>
          <w:sz w:val="24"/>
          <w:szCs w:val="24"/>
        </w:rPr>
      </w:pPr>
    </w:p>
    <w:p w14:paraId="72CBE446" w14:textId="77777777" w:rsidR="0046346A" w:rsidRDefault="0046346A" w:rsidP="00252B46">
      <w:pPr>
        <w:spacing w:before="100" w:beforeAutospacing="1" w:after="100" w:afterAutospacing="1" w:line="240" w:lineRule="auto"/>
        <w:jc w:val="both"/>
        <w:rPr>
          <w:rFonts w:ascii="Times New Roman" w:eastAsia="Times New Roman" w:hAnsi="Times New Roman" w:cs="Times New Roman"/>
          <w:bCs/>
          <w:sz w:val="24"/>
          <w:szCs w:val="24"/>
        </w:rPr>
      </w:pPr>
    </w:p>
    <w:p w14:paraId="044D9EBF" w14:textId="77777777" w:rsidR="00014C00" w:rsidRDefault="00014C00" w:rsidP="00252B46">
      <w:pPr>
        <w:spacing w:before="100" w:beforeAutospacing="1" w:after="100" w:afterAutospacing="1" w:line="240" w:lineRule="auto"/>
        <w:jc w:val="both"/>
        <w:rPr>
          <w:rFonts w:ascii="Times New Roman" w:eastAsia="Times New Roman" w:hAnsi="Times New Roman" w:cs="Times New Roman"/>
          <w:b/>
          <w:i/>
          <w:iCs/>
          <w:sz w:val="20"/>
          <w:szCs w:val="20"/>
        </w:rPr>
      </w:pPr>
    </w:p>
    <w:p w14:paraId="4EEA0301" w14:textId="392CBCA3" w:rsidR="00252B46" w:rsidRPr="00014C00" w:rsidRDefault="00252B46" w:rsidP="00252B46">
      <w:pPr>
        <w:spacing w:before="100" w:beforeAutospacing="1" w:after="100" w:afterAutospacing="1" w:line="240" w:lineRule="auto"/>
        <w:jc w:val="both"/>
        <w:rPr>
          <w:rFonts w:ascii="Times New Roman" w:eastAsia="Times New Roman" w:hAnsi="Times New Roman" w:cs="Times New Roman"/>
          <w:b/>
          <w:i/>
          <w:iCs/>
          <w:sz w:val="20"/>
          <w:szCs w:val="20"/>
        </w:rPr>
      </w:pPr>
      <w:r w:rsidRPr="00014C00">
        <w:rPr>
          <w:rFonts w:ascii="Times New Roman" w:eastAsia="Times New Roman" w:hAnsi="Times New Roman" w:cs="Times New Roman"/>
          <w:b/>
          <w:i/>
          <w:iCs/>
          <w:sz w:val="20"/>
          <w:szCs w:val="20"/>
        </w:rPr>
        <w:t>Fig. 1. Hybrid ML-Statistical Framework for Smart Grid Optimization (conceptual diagram).</w:t>
      </w:r>
    </w:p>
    <w:p w14:paraId="028214F5" w14:textId="417F7094" w:rsidR="00252B46" w:rsidRPr="00014C00" w:rsidRDefault="00252B46" w:rsidP="00252B46">
      <w:pPr>
        <w:spacing w:before="100" w:beforeAutospacing="1" w:after="100" w:afterAutospacing="1" w:line="240" w:lineRule="auto"/>
        <w:jc w:val="both"/>
        <w:outlineLvl w:val="2"/>
        <w:rPr>
          <w:rFonts w:ascii="Times New Roman" w:eastAsia="Times New Roman" w:hAnsi="Times New Roman" w:cs="Times New Roman"/>
          <w:b/>
          <w:sz w:val="24"/>
          <w:szCs w:val="24"/>
        </w:rPr>
      </w:pPr>
      <w:r w:rsidRPr="00014C00">
        <w:rPr>
          <w:rFonts w:ascii="Times New Roman" w:eastAsia="Times New Roman" w:hAnsi="Times New Roman" w:cs="Times New Roman"/>
          <w:b/>
          <w:sz w:val="24"/>
          <w:szCs w:val="24"/>
        </w:rPr>
        <w:t>B. Data Acquisition</w:t>
      </w:r>
    </w:p>
    <w:p w14:paraId="536ABB71"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Data sources include:</w:t>
      </w:r>
    </w:p>
    <w:p w14:paraId="40A5BFFC" w14:textId="77777777" w:rsidR="00252B46" w:rsidRPr="00252B46" w:rsidRDefault="00252B46" w:rsidP="00252B4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SCADA data from Transmission Company of Nigeria (TCN).</w:t>
      </w:r>
    </w:p>
    <w:p w14:paraId="31C30089" w14:textId="77777777" w:rsidR="00252B46" w:rsidRPr="00252B46" w:rsidRDefault="00252B46" w:rsidP="00252B4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Telecommuting load profiles from AFUSTA administrative and academic blocks.</w:t>
      </w:r>
    </w:p>
    <w:p w14:paraId="20F86761" w14:textId="77777777" w:rsidR="00252B46" w:rsidRPr="00252B46" w:rsidRDefault="00252B46" w:rsidP="00252B46">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Weather and renewable generation data.</w:t>
      </w:r>
    </w:p>
    <w:p w14:paraId="74A2C562"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C. Preprocessing</w:t>
      </w:r>
    </w:p>
    <w:p w14:paraId="237B35F1"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Normalization, missing value imputation, and feature extraction (e.g., voltage, frequency, load demand) are applied.</w:t>
      </w:r>
    </w:p>
    <w:p w14:paraId="48D12369"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D. Hybrid Forecasting Model</w:t>
      </w:r>
    </w:p>
    <w:p w14:paraId="1A484A37"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Load </w:t>
      </w:r>
      <m:oMath>
        <m:sSub>
          <m:sSubPr>
            <m:ctrlPr>
              <w:rPr>
                <w:rFonts w:ascii="Cambria Math" w:eastAsia="Times New Roman" w:hAnsi="Cambria Math" w:cs="Times New Roman"/>
                <w:i/>
                <w:sz w:val="24"/>
                <w:szCs w:val="24"/>
              </w:rPr>
            </m:ctrlPr>
          </m:sSubPr>
          <m:e>
            <m:acc>
              <m:accPr>
                <m:ctrlPr>
                  <w:rPr>
                    <w:rFonts w:ascii="Cambria Math" w:eastAsia="Times New Roman" w:hAnsi="Cambria Math" w:cs="Times New Roman"/>
                    <w:i/>
                    <w:sz w:val="24"/>
                    <w:szCs w:val="24"/>
                  </w:rPr>
                </m:ctrlPr>
              </m:accPr>
              <m:e>
                <m:r>
                  <w:rPr>
                    <w:rFonts w:ascii="Cambria Math" w:eastAsia="Times New Roman" w:hAnsi="Cambria Math" w:cs="Times New Roman"/>
                    <w:sz w:val="24"/>
                    <w:szCs w:val="24"/>
                  </w:rPr>
                  <m:t>L</m:t>
                </m:r>
              </m:e>
            </m:acc>
          </m:e>
          <m:sub>
            <m:r>
              <w:rPr>
                <w:rFonts w:ascii="Cambria Math" w:eastAsia="Times New Roman" w:hAnsi="Cambria Math" w:cs="Times New Roman"/>
                <w:sz w:val="24"/>
                <w:szCs w:val="24"/>
              </w:rPr>
              <m:t>t</m:t>
            </m:r>
          </m:sub>
        </m:sSub>
      </m:oMath>
      <w:r w:rsidRPr="00252B46">
        <w:rPr>
          <w:rFonts w:ascii="Times New Roman" w:eastAsia="Times New Roman" w:hAnsi="Times New Roman" w:cs="Times New Roman"/>
          <w:sz w:val="24"/>
          <w:szCs w:val="24"/>
        </w:rPr>
        <w:t xml:space="preserve"> is predicted as:</w:t>
      </w:r>
    </w:p>
    <w:p w14:paraId="6253D601" w14:textId="77777777" w:rsidR="00252B46" w:rsidRPr="00252B46" w:rsidRDefault="00000000" w:rsidP="00252B46">
      <w:pPr>
        <w:spacing w:after="0" w:line="240" w:lineRule="auto"/>
        <w:jc w:val="both"/>
        <w:rPr>
          <w:rFonts w:ascii="Times New Roman" w:eastAsia="Times New Roman" w:hAnsi="Times New Roman" w:cs="Times New Roman"/>
          <w:sz w:val="24"/>
          <w:szCs w:val="24"/>
        </w:rPr>
      </w:pPr>
      <m:oMathPara>
        <m:oMath>
          <m:sSub>
            <m:sSubPr>
              <m:ctrlPr>
                <w:rPr>
                  <w:rFonts w:ascii="Cambria Math" w:eastAsia="Times New Roman" w:hAnsi="Cambria Math" w:cs="Times New Roman"/>
                  <w:i/>
                  <w:sz w:val="24"/>
                  <w:szCs w:val="24"/>
                </w:rPr>
              </m:ctrlPr>
            </m:sSubPr>
            <m:e>
              <m:acc>
                <m:accPr>
                  <m:ctrlPr>
                    <w:rPr>
                      <w:rFonts w:ascii="Cambria Math" w:eastAsia="Times New Roman" w:hAnsi="Cambria Math" w:cs="Times New Roman"/>
                      <w:i/>
                      <w:sz w:val="24"/>
                      <w:szCs w:val="24"/>
                    </w:rPr>
                  </m:ctrlPr>
                </m:accPr>
                <m:e>
                  <m:r>
                    <w:rPr>
                      <w:rFonts w:ascii="Cambria Math" w:eastAsia="Times New Roman" w:hAnsi="Cambria Math" w:cs="Times New Roman"/>
                      <w:sz w:val="24"/>
                      <w:szCs w:val="24"/>
                    </w:rPr>
                    <m:t>L</m:t>
                  </m:r>
                </m:e>
              </m:acc>
            </m:e>
            <m:sub>
              <m:r>
                <w:rPr>
                  <w:rFonts w:ascii="Cambria Math" w:eastAsia="Times New Roman" w:hAnsi="Cambria Math" w:cs="Times New Roman"/>
                  <w:sz w:val="24"/>
                  <w:szCs w:val="24"/>
                </w:rPr>
                <m:t>t</m:t>
              </m:r>
            </m:sub>
          </m:sSub>
          <m:r>
            <w:rPr>
              <w:rFonts w:ascii="Cambria Math" w:eastAsia="Times New Roman" w:hAnsi="Cambria Math" w:cs="Times New Roman"/>
              <w:sz w:val="24"/>
              <w:szCs w:val="24"/>
            </w:rPr>
            <m:t>=α</m:t>
          </m:r>
          <m:r>
            <w:rPr>
              <w:rFonts w:ascii="Cambria Math" w:eastAsia="Times New Roman" w:hAnsi="Cambria Math" w:cs="Cambria Math"/>
              <w:sz w:val="24"/>
              <w:szCs w:val="24"/>
            </w:rPr>
            <m:t>⋅</m:t>
          </m:r>
          <m:r>
            <w:rPr>
              <w:rFonts w:ascii="Cambria Math" w:eastAsia="Times New Roman" w:hAnsi="Cambria Math" w:cs="Times New Roman"/>
              <w:sz w:val="24"/>
              <w:szCs w:val="24"/>
            </w:rPr>
            <m:t>fML(Xt)+(1-α)</m:t>
          </m:r>
          <m:r>
            <w:rPr>
              <w:rFonts w:ascii="Cambria Math" w:eastAsia="Times New Roman" w:hAnsi="Cambria Math" w:cs="Cambria Math"/>
              <w:sz w:val="24"/>
              <w:szCs w:val="24"/>
            </w:rPr>
            <m:t>⋅</m:t>
          </m:r>
          <m:r>
            <w:rPr>
              <w:rFonts w:ascii="Cambria Math" w:eastAsia="Times New Roman" w:hAnsi="Cambria Math" w:cs="Times New Roman"/>
              <w:sz w:val="24"/>
              <w:szCs w:val="24"/>
            </w:rPr>
            <m:t xml:space="preserve">fStat(Xt) </m:t>
          </m:r>
        </m:oMath>
      </m:oMathPara>
    </w:p>
    <w:p w14:paraId="4545BCC7" w14:textId="77777777" w:rsidR="00252B46" w:rsidRPr="00252B46" w:rsidRDefault="001833B1"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Where</w:t>
      </w:r>
      <w:r w:rsidR="00252B46" w:rsidRPr="00252B46">
        <w:rPr>
          <w:rFonts w:ascii="Times New Roman" w:eastAsia="Times New Roman" w:hAnsi="Times New Roman" w:cs="Times New Roman"/>
          <w:sz w:val="24"/>
          <w:szCs w:val="24"/>
        </w:rPr>
        <w:t xml:space="preserve">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f</m:t>
            </m:r>
          </m:e>
          <m:sub>
            <m:r>
              <w:rPr>
                <w:rFonts w:ascii="Cambria Math" w:eastAsia="Times New Roman" w:hAnsi="Cambria Math" w:cs="Times New Roman"/>
                <w:sz w:val="24"/>
                <w:szCs w:val="24"/>
              </w:rPr>
              <m:t>ML</m:t>
            </m:r>
          </m:sub>
        </m:sSub>
      </m:oMath>
      <w:r w:rsidR="00252B46" w:rsidRPr="00252B46">
        <w:rPr>
          <w:rFonts w:ascii="Times New Roman" w:eastAsia="Times New Roman" w:hAnsi="Times New Roman" w:cs="Times New Roman"/>
          <w:sz w:val="24"/>
          <w:szCs w:val="24"/>
        </w:rPr>
        <w:t xml:space="preserve"> represents the machine learning forecast (e.g., LSTM), </w:t>
      </w: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f</m:t>
            </m:r>
          </m:e>
          <m:sub>
            <m:r>
              <w:rPr>
                <w:rFonts w:ascii="Cambria Math" w:eastAsia="Times New Roman" w:hAnsi="Cambria Math" w:cs="Times New Roman"/>
                <w:sz w:val="24"/>
                <w:szCs w:val="24"/>
              </w:rPr>
              <m:t>Stat</m:t>
            </m:r>
          </m:sub>
        </m:sSub>
      </m:oMath>
      <w:r w:rsidR="00252B46" w:rsidRPr="00252B46">
        <w:rPr>
          <w:rFonts w:ascii="Times New Roman" w:eastAsia="Times New Roman" w:hAnsi="Times New Roman" w:cs="Times New Roman"/>
          <w:sz w:val="24"/>
          <w:szCs w:val="24"/>
        </w:rPr>
        <w:t xml:space="preserve"> represents </w:t>
      </w:r>
      <w:r w:rsidR="008D511D">
        <w:rPr>
          <w:rFonts w:ascii="Times New Roman" w:eastAsia="Times New Roman" w:hAnsi="Times New Roman" w:cs="Times New Roman"/>
          <w:sz w:val="24"/>
          <w:szCs w:val="24"/>
        </w:rPr>
        <w:t xml:space="preserve">the </w:t>
      </w:r>
      <w:r w:rsidR="00252B46" w:rsidRPr="00252B46">
        <w:rPr>
          <w:rFonts w:ascii="Times New Roman" w:eastAsia="Times New Roman" w:hAnsi="Times New Roman" w:cs="Times New Roman"/>
          <w:sz w:val="24"/>
          <w:szCs w:val="24"/>
        </w:rPr>
        <w:t xml:space="preserve">statistical forecast (e.g., ARIMA), and </w:t>
      </w:r>
      <w:r w:rsidR="00252B46" w:rsidRPr="005D60C6">
        <w:rPr>
          <w:rFonts w:ascii="Times New Roman" w:eastAsia="Times New Roman" w:hAnsi="Times New Roman" w:cs="Times New Roman"/>
          <w:sz w:val="24"/>
          <w:szCs w:val="24"/>
        </w:rPr>
        <w:t>α</w:t>
      </w:r>
      <w:r w:rsidR="00252B46" w:rsidRPr="00252B46">
        <w:rPr>
          <w:rFonts w:ascii="Times New Roman" w:eastAsia="Times New Roman" w:hAnsi="Times New Roman" w:cs="Times New Roman"/>
          <w:sz w:val="24"/>
          <w:szCs w:val="24"/>
        </w:rPr>
        <w:t xml:space="preserve"> is a weighting coefficient optimized via cross-validation.</w:t>
      </w:r>
    </w:p>
    <w:p w14:paraId="1F680506"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E. Demand-Side Optimization</w:t>
      </w:r>
    </w:p>
    <w:p w14:paraId="74956BC7" w14:textId="77777777" w:rsid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A reinforcement learning (RL) agent is deployed for demand response. The optimization problem is formulated as:</w:t>
      </w:r>
    </w:p>
    <w:p w14:paraId="23549EC4" w14:textId="77777777" w:rsidR="008D511D" w:rsidRPr="00252B46" w:rsidRDefault="008D511D" w:rsidP="00252B46">
      <w:pPr>
        <w:spacing w:before="100" w:beforeAutospacing="1" w:after="100" w:afterAutospacing="1" w:line="240" w:lineRule="auto"/>
        <w:jc w:val="both"/>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w:lastRenderedPageBreak/>
            <m:t>min</m:t>
          </m:r>
          <m:nary>
            <m:naryPr>
              <m:chr m:val="∑"/>
              <m:limLoc m:val="undOvr"/>
              <m:ctrlPr>
                <w:rPr>
                  <w:rFonts w:ascii="Cambria Math" w:eastAsia="Times New Roman" w:hAnsi="Cambria Math" w:cs="Times New Roman"/>
                  <w:i/>
                  <w:sz w:val="24"/>
                  <w:szCs w:val="24"/>
                </w:rPr>
              </m:ctrlPr>
            </m:naryPr>
            <m:sub>
              <m:r>
                <w:rPr>
                  <w:rFonts w:ascii="Cambria Math" w:eastAsia="Times New Roman" w:hAnsi="Cambria Math" w:cs="Times New Roman"/>
                  <w:sz w:val="24"/>
                  <w:szCs w:val="24"/>
                </w:rPr>
                <m:t>t=1</m:t>
              </m:r>
            </m:sub>
            <m:sup>
              <m:r>
                <w:rPr>
                  <w:rFonts w:ascii="Cambria Math" w:eastAsia="Times New Roman" w:hAnsi="Cambria Math" w:cs="Times New Roman"/>
                  <w:sz w:val="24"/>
                  <w:szCs w:val="24"/>
                </w:rPr>
                <m:t>T</m:t>
              </m:r>
            </m:sup>
            <m:e>
              <m:r>
                <m:rPr>
                  <m:sty m:val="p"/>
                </m:rP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C</m:t>
                  </m:r>
                </m:e>
                <m:sub>
                  <m:r>
                    <w:rPr>
                      <w:rFonts w:ascii="Cambria Math" w:eastAsia="Times New Roman" w:hAnsi="Cambria Math" w:cs="Times New Roman"/>
                      <w:sz w:val="24"/>
                      <w:szCs w:val="24"/>
                    </w:rPr>
                    <m:t>t</m:t>
                  </m:r>
                </m:sub>
              </m:sSub>
              <m:r>
                <m:rPr>
                  <m:sty m:val="p"/>
                </m:rPr>
                <w:rPr>
                  <w:rFonts w:ascii="Cambria Math" w:eastAsia="Times New Roman" w:hAnsi="Cambria Math" w:cs="Cambria Math"/>
                  <w:sz w:val="24"/>
                  <w:szCs w:val="24"/>
                </w:rPr>
                <m:t>⋅</m:t>
              </m:r>
              <m:sSub>
                <m:sSubPr>
                  <m:ctrlPr>
                    <w:rPr>
                      <w:rFonts w:ascii="Cambria Math" w:eastAsia="Times New Roman" w:hAnsi="Cambria Math" w:cs="Times New Roman"/>
                      <w:sz w:val="24"/>
                      <w:szCs w:val="24"/>
                    </w:rPr>
                  </m:ctrlPr>
                </m:sSubPr>
                <m:e>
                  <m:r>
                    <m:rPr>
                      <m:sty m:val="p"/>
                    </m:rPr>
                    <w:rPr>
                      <w:rFonts w:ascii="Cambria Math" w:eastAsia="Times New Roman" w:hAnsi="Cambria Math" w:cs="Times New Roman"/>
                      <w:sz w:val="24"/>
                      <w:szCs w:val="24"/>
                    </w:rPr>
                    <m:t>P</m:t>
                  </m:r>
                </m:e>
                <m:sub>
                  <m:r>
                    <w:rPr>
                      <w:rFonts w:ascii="Cambria Math" w:eastAsia="Times New Roman" w:hAnsi="Cambria Math" w:cs="Times New Roman"/>
                      <w:sz w:val="24"/>
                      <w:szCs w:val="24"/>
                    </w:rPr>
                    <m:t>t</m:t>
                  </m:r>
                </m:sub>
              </m:sSub>
              <m:r>
                <m:rPr>
                  <m:sty m:val="p"/>
                </m:rPr>
                <w:rPr>
                  <w:rFonts w:ascii="Cambria Math" w:eastAsia="Times New Roman"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R</m:t>
                  </m:r>
                </m:e>
                <m:sub>
                  <m:r>
                    <w:rPr>
                      <w:rFonts w:ascii="Cambria Math" w:eastAsia="Times New Roman" w:hAnsi="Cambria Math" w:cs="Times New Roman"/>
                      <w:sz w:val="24"/>
                      <w:szCs w:val="24"/>
                    </w:rPr>
                    <m:t>t</m:t>
                  </m:r>
                </m:sub>
              </m:sSub>
              <m:r>
                <m:rPr>
                  <m:sty m:val="p"/>
                </m:rPr>
                <w:rPr>
                  <w:rFonts w:ascii="Cambria Math" w:eastAsia="Times New Roman" w:hAnsi="Cambria Math" w:cs="Times New Roman"/>
                  <w:sz w:val="24"/>
                  <w:szCs w:val="24"/>
                </w:rPr>
                <m:t>)</m:t>
              </m:r>
            </m:e>
          </m:nary>
        </m:oMath>
      </m:oMathPara>
    </w:p>
    <w:p w14:paraId="005B8738" w14:textId="77777777" w:rsidR="00252B46" w:rsidRPr="00252B46" w:rsidRDefault="001833B1"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Subject</w:t>
      </w:r>
      <w:r w:rsidR="00252B46" w:rsidRPr="00252B46">
        <w:rPr>
          <w:rFonts w:ascii="Times New Roman" w:eastAsia="Times New Roman" w:hAnsi="Times New Roman" w:cs="Times New Roman"/>
          <w:sz w:val="24"/>
          <w:szCs w:val="24"/>
        </w:rPr>
        <w:t xml:space="preserve"> to grid reliability and customer comfort constraints.</w:t>
      </w:r>
    </w:p>
    <w:p w14:paraId="525F23CB"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F. Evaluation Metrics</w:t>
      </w:r>
    </w:p>
    <w:p w14:paraId="26ED0248"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Performance is assessed using:</w:t>
      </w:r>
    </w:p>
    <w:p w14:paraId="6D7D5CB8" w14:textId="77777777" w:rsidR="00252B46" w:rsidRPr="00252B46" w:rsidRDefault="00252B46" w:rsidP="00252B46">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Mean Absolute Percentage Error (MAPE).</w:t>
      </w:r>
    </w:p>
    <w:p w14:paraId="7D5AF381" w14:textId="77777777" w:rsidR="00252B46" w:rsidRPr="00252B46" w:rsidRDefault="00252B46" w:rsidP="00252B46">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Root Mean Squared Error (RMSE).</w:t>
      </w:r>
    </w:p>
    <w:p w14:paraId="253C9506" w14:textId="77777777" w:rsidR="00252B46" w:rsidRPr="00252B46" w:rsidRDefault="00252B46" w:rsidP="00252B46">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System Average Interruption Duration Index (SAIDI).</w:t>
      </w:r>
    </w:p>
    <w:p w14:paraId="108D86C4" w14:textId="659EEA81" w:rsidR="00252B46" w:rsidRPr="00252B46" w:rsidRDefault="00252B46" w:rsidP="00252B46">
      <w:pPr>
        <w:spacing w:before="100" w:beforeAutospacing="1" w:after="100" w:afterAutospacing="1" w:line="240" w:lineRule="auto"/>
        <w:jc w:val="both"/>
        <w:outlineLvl w:val="1"/>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 xml:space="preserve">IV. </w:t>
      </w:r>
      <w:r w:rsidR="00014C00" w:rsidRPr="00014C00">
        <w:rPr>
          <w:rFonts w:ascii="Times New Roman" w:eastAsia="Times New Roman" w:hAnsi="Times New Roman" w:cs="Times New Roman"/>
          <w:b/>
          <w:sz w:val="24"/>
          <w:szCs w:val="24"/>
        </w:rPr>
        <w:t>RESULTS AND DISCUSSION</w:t>
      </w:r>
    </w:p>
    <w:p w14:paraId="2077CB19" w14:textId="77777777" w:rsidR="00252B46" w:rsidRPr="00252B46" w:rsidRDefault="00252B46" w:rsidP="00252B46">
      <w:pPr>
        <w:spacing w:before="100" w:beforeAutospacing="1" w:after="100" w:afterAutospacing="1" w:line="240" w:lineRule="auto"/>
        <w:jc w:val="both"/>
        <w:outlineLvl w:val="2"/>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 xml:space="preserve">A. </w:t>
      </w:r>
      <w:r w:rsidRPr="00014C00">
        <w:rPr>
          <w:rFonts w:ascii="Times New Roman" w:eastAsia="Times New Roman" w:hAnsi="Times New Roman" w:cs="Times New Roman"/>
          <w:b/>
          <w:sz w:val="24"/>
          <w:szCs w:val="24"/>
        </w:rPr>
        <w:t>Forecasting Accuracy</w:t>
      </w:r>
    </w:p>
    <w:p w14:paraId="2EB732E8" w14:textId="77777777" w:rsidR="00252B46" w:rsidRPr="005D60C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Hybrid ARIMA-LSTM achieved the lowest MAPE (4.3%) compared to standalone ARIMA (9.8%) and LSTM (5.6%).</w:t>
      </w:r>
    </w:p>
    <w:p w14:paraId="26B38F0B"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5D60C6">
        <w:rPr>
          <w:rFonts w:ascii="Times New Roman" w:eastAsia="Times New Roman" w:hAnsi="Times New Roman" w:cs="Times New Roman"/>
          <w:bCs/>
          <w:sz w:val="24"/>
          <w:szCs w:val="24"/>
        </w:rPr>
        <w:t>Table 2. Forecasting Performance</w:t>
      </w:r>
    </w:p>
    <w:tbl>
      <w:tblPr>
        <w:tblStyle w:val="PlainTable2"/>
        <w:tblW w:w="0" w:type="auto"/>
        <w:jc w:val="center"/>
        <w:tblLook w:val="04A0" w:firstRow="1" w:lastRow="0" w:firstColumn="1" w:lastColumn="0" w:noHBand="0" w:noVBand="1"/>
      </w:tblPr>
      <w:tblGrid>
        <w:gridCol w:w="1644"/>
        <w:gridCol w:w="1242"/>
        <w:gridCol w:w="1434"/>
      </w:tblGrid>
      <w:tr w:rsidR="00252B46" w:rsidRPr="00252B46" w14:paraId="2CDC87C1" w14:textId="77777777" w:rsidTr="00252B4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1837216" w14:textId="77777777" w:rsidR="00252B46" w:rsidRPr="00252B46" w:rsidRDefault="00252B46" w:rsidP="00252B46">
            <w:pPr>
              <w:jc w:val="both"/>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Model</w:t>
            </w:r>
          </w:p>
        </w:tc>
        <w:tc>
          <w:tcPr>
            <w:tcW w:w="0" w:type="auto"/>
            <w:hideMark/>
          </w:tcPr>
          <w:p w14:paraId="3ABC8EB5" w14:textId="77777777" w:rsidR="00252B46" w:rsidRPr="00252B46" w:rsidRDefault="00252B46" w:rsidP="00252B46">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MAPE (%)</w:t>
            </w:r>
          </w:p>
        </w:tc>
        <w:tc>
          <w:tcPr>
            <w:tcW w:w="0" w:type="auto"/>
            <w:hideMark/>
          </w:tcPr>
          <w:p w14:paraId="6EBB91FD" w14:textId="77777777" w:rsidR="00252B46" w:rsidRPr="00252B46" w:rsidRDefault="00252B46" w:rsidP="00252B46">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RMSE (MW)</w:t>
            </w:r>
          </w:p>
        </w:tc>
      </w:tr>
      <w:tr w:rsidR="00252B46" w:rsidRPr="00252B46" w14:paraId="63248235" w14:textId="77777777" w:rsidTr="00252B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350BFDF" w14:textId="77777777" w:rsidR="00252B46" w:rsidRPr="00252B46" w:rsidRDefault="00252B46" w:rsidP="00252B46">
            <w:pPr>
              <w:jc w:val="both"/>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ARIMA</w:t>
            </w:r>
          </w:p>
        </w:tc>
        <w:tc>
          <w:tcPr>
            <w:tcW w:w="0" w:type="auto"/>
            <w:hideMark/>
          </w:tcPr>
          <w:p w14:paraId="6BDD8FCC"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9.8</w:t>
            </w:r>
          </w:p>
        </w:tc>
        <w:tc>
          <w:tcPr>
            <w:tcW w:w="0" w:type="auto"/>
            <w:hideMark/>
          </w:tcPr>
          <w:p w14:paraId="2DE27162"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7.1</w:t>
            </w:r>
          </w:p>
        </w:tc>
      </w:tr>
      <w:tr w:rsidR="00252B46" w:rsidRPr="00252B46" w14:paraId="6AB77252" w14:textId="77777777" w:rsidTr="00252B46">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AA421A5" w14:textId="77777777" w:rsidR="00252B46" w:rsidRPr="00252B46" w:rsidRDefault="00252B46" w:rsidP="00252B46">
            <w:pPr>
              <w:jc w:val="both"/>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LSTM</w:t>
            </w:r>
          </w:p>
        </w:tc>
        <w:tc>
          <w:tcPr>
            <w:tcW w:w="0" w:type="auto"/>
            <w:hideMark/>
          </w:tcPr>
          <w:p w14:paraId="55AB6A1E"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5.6</w:t>
            </w:r>
          </w:p>
        </w:tc>
        <w:tc>
          <w:tcPr>
            <w:tcW w:w="0" w:type="auto"/>
            <w:hideMark/>
          </w:tcPr>
          <w:p w14:paraId="2C12DD10" w14:textId="77777777" w:rsidR="00252B46" w:rsidRPr="00252B46" w:rsidRDefault="00252B46" w:rsidP="00252B46">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4.3</w:t>
            </w:r>
          </w:p>
        </w:tc>
      </w:tr>
      <w:tr w:rsidR="00252B46" w:rsidRPr="00252B46" w14:paraId="714B5C39" w14:textId="77777777" w:rsidTr="00252B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AA9A6E2" w14:textId="77777777" w:rsidR="00252B46" w:rsidRPr="00252B46" w:rsidRDefault="00252B46" w:rsidP="00252B46">
            <w:pPr>
              <w:jc w:val="both"/>
              <w:rPr>
                <w:rFonts w:ascii="Times New Roman" w:eastAsia="Times New Roman" w:hAnsi="Times New Roman" w:cs="Times New Roman"/>
                <w:b w:val="0"/>
                <w:sz w:val="24"/>
                <w:szCs w:val="24"/>
              </w:rPr>
            </w:pPr>
            <w:r w:rsidRPr="00252B46">
              <w:rPr>
                <w:rFonts w:ascii="Times New Roman" w:eastAsia="Times New Roman" w:hAnsi="Times New Roman" w:cs="Times New Roman"/>
                <w:b w:val="0"/>
                <w:sz w:val="24"/>
                <w:szCs w:val="24"/>
              </w:rPr>
              <w:t>ARIMA-LSTM</w:t>
            </w:r>
          </w:p>
        </w:tc>
        <w:tc>
          <w:tcPr>
            <w:tcW w:w="0" w:type="auto"/>
            <w:hideMark/>
          </w:tcPr>
          <w:p w14:paraId="7973DF93"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D60C6">
              <w:rPr>
                <w:rFonts w:ascii="Times New Roman" w:eastAsia="Times New Roman" w:hAnsi="Times New Roman" w:cs="Times New Roman"/>
                <w:bCs/>
                <w:sz w:val="24"/>
                <w:szCs w:val="24"/>
              </w:rPr>
              <w:t>4.3</w:t>
            </w:r>
          </w:p>
        </w:tc>
        <w:tc>
          <w:tcPr>
            <w:tcW w:w="0" w:type="auto"/>
            <w:hideMark/>
          </w:tcPr>
          <w:p w14:paraId="6D55026F" w14:textId="77777777" w:rsidR="00252B46" w:rsidRPr="00252B46" w:rsidRDefault="00252B46" w:rsidP="00252B46">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D60C6">
              <w:rPr>
                <w:rFonts w:ascii="Times New Roman" w:eastAsia="Times New Roman" w:hAnsi="Times New Roman" w:cs="Times New Roman"/>
                <w:bCs/>
                <w:sz w:val="24"/>
                <w:szCs w:val="24"/>
              </w:rPr>
              <w:t>3.2</w:t>
            </w:r>
          </w:p>
        </w:tc>
      </w:tr>
    </w:tbl>
    <w:p w14:paraId="731DF94E" w14:textId="77777777" w:rsidR="00252B46" w:rsidRPr="00014C00" w:rsidRDefault="00252B46" w:rsidP="00252B46">
      <w:pPr>
        <w:spacing w:before="100" w:beforeAutospacing="1" w:after="100" w:afterAutospacing="1" w:line="240" w:lineRule="auto"/>
        <w:jc w:val="both"/>
        <w:outlineLvl w:val="2"/>
        <w:rPr>
          <w:rFonts w:ascii="Times New Roman" w:eastAsia="Times New Roman" w:hAnsi="Times New Roman" w:cs="Times New Roman"/>
          <w:b/>
          <w:sz w:val="24"/>
          <w:szCs w:val="24"/>
        </w:rPr>
      </w:pPr>
      <w:r w:rsidRPr="00014C00">
        <w:rPr>
          <w:rFonts w:ascii="Times New Roman" w:eastAsia="Times New Roman" w:hAnsi="Times New Roman" w:cs="Times New Roman"/>
          <w:b/>
          <w:sz w:val="24"/>
          <w:szCs w:val="24"/>
        </w:rPr>
        <w:t>B. Demand Response Efficiency</w:t>
      </w:r>
    </w:p>
    <w:p w14:paraId="5FF21640"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RL-based demand response reduced peak load by 18% during telecommuting working hours.</w:t>
      </w:r>
    </w:p>
    <w:p w14:paraId="654C8B43" w14:textId="77777777" w:rsidR="00252B46" w:rsidRPr="00014C00" w:rsidRDefault="00252B46" w:rsidP="00252B46">
      <w:pPr>
        <w:spacing w:before="100" w:beforeAutospacing="1" w:after="100" w:afterAutospacing="1" w:line="240" w:lineRule="auto"/>
        <w:jc w:val="both"/>
        <w:outlineLvl w:val="2"/>
        <w:rPr>
          <w:rFonts w:ascii="Times New Roman" w:eastAsia="Times New Roman" w:hAnsi="Times New Roman" w:cs="Times New Roman"/>
          <w:b/>
          <w:sz w:val="24"/>
          <w:szCs w:val="24"/>
        </w:rPr>
      </w:pPr>
      <w:r w:rsidRPr="00014C00">
        <w:rPr>
          <w:rFonts w:ascii="Times New Roman" w:eastAsia="Times New Roman" w:hAnsi="Times New Roman" w:cs="Times New Roman"/>
          <w:b/>
          <w:sz w:val="24"/>
          <w:szCs w:val="24"/>
        </w:rPr>
        <w:t>C. Renewable Integration</w:t>
      </w:r>
    </w:p>
    <w:p w14:paraId="44876667"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The hybrid framework increased renewable utilization by 22%, reducing reliance on diesel generators at AFUSTA.</w:t>
      </w:r>
    </w:p>
    <w:p w14:paraId="197047D3" w14:textId="77777777" w:rsidR="00252B46" w:rsidRPr="00014C00" w:rsidRDefault="00252B46" w:rsidP="00252B46">
      <w:pPr>
        <w:spacing w:before="100" w:beforeAutospacing="1" w:after="100" w:afterAutospacing="1" w:line="240" w:lineRule="auto"/>
        <w:jc w:val="both"/>
        <w:outlineLvl w:val="2"/>
        <w:rPr>
          <w:rFonts w:ascii="Times New Roman" w:eastAsia="Times New Roman" w:hAnsi="Times New Roman" w:cs="Times New Roman"/>
          <w:b/>
          <w:sz w:val="24"/>
          <w:szCs w:val="24"/>
        </w:rPr>
      </w:pPr>
      <w:r w:rsidRPr="00014C00">
        <w:rPr>
          <w:rFonts w:ascii="Times New Roman" w:eastAsia="Times New Roman" w:hAnsi="Times New Roman" w:cs="Times New Roman"/>
          <w:b/>
          <w:sz w:val="24"/>
          <w:szCs w:val="24"/>
        </w:rPr>
        <w:t>D. Nigerian Contextualization</w:t>
      </w:r>
    </w:p>
    <w:p w14:paraId="03802B4B"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Results demonstrate that hybrid approaches address Nigeria’s data scarcity challenges while enhancing stability and supporting telecommuting.</w:t>
      </w:r>
    </w:p>
    <w:p w14:paraId="7587F61E" w14:textId="1C973CB1" w:rsidR="00252B46" w:rsidRPr="00252B46" w:rsidRDefault="00252B46" w:rsidP="00252B46">
      <w:pPr>
        <w:spacing w:before="100" w:beforeAutospacing="1" w:after="100" w:afterAutospacing="1" w:line="240" w:lineRule="auto"/>
        <w:jc w:val="both"/>
        <w:outlineLvl w:val="1"/>
        <w:rPr>
          <w:rFonts w:ascii="Times New Roman" w:eastAsia="Times New Roman" w:hAnsi="Times New Roman" w:cs="Times New Roman"/>
          <w:bCs/>
          <w:sz w:val="24"/>
          <w:szCs w:val="24"/>
        </w:rPr>
      </w:pPr>
      <w:r w:rsidRPr="00252B46">
        <w:rPr>
          <w:rFonts w:ascii="Times New Roman" w:eastAsia="Times New Roman" w:hAnsi="Times New Roman" w:cs="Times New Roman"/>
          <w:bCs/>
          <w:sz w:val="24"/>
          <w:szCs w:val="24"/>
        </w:rPr>
        <w:t xml:space="preserve">V. </w:t>
      </w:r>
      <w:r w:rsidRPr="00014C00">
        <w:rPr>
          <w:rFonts w:ascii="Times New Roman" w:eastAsia="Times New Roman" w:hAnsi="Times New Roman" w:cs="Times New Roman"/>
          <w:b/>
          <w:sz w:val="24"/>
          <w:szCs w:val="24"/>
        </w:rPr>
        <w:t>Contributions to Knowledge</w:t>
      </w:r>
    </w:p>
    <w:p w14:paraId="7BF9CB90" w14:textId="77777777" w:rsidR="00252B46" w:rsidRPr="00252B46" w:rsidRDefault="00252B46" w:rsidP="00252B46">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Developed a </w:t>
      </w:r>
      <w:r w:rsidRPr="005D60C6">
        <w:rPr>
          <w:rFonts w:ascii="Times New Roman" w:eastAsia="Times New Roman" w:hAnsi="Times New Roman" w:cs="Times New Roman"/>
          <w:bCs/>
          <w:sz w:val="24"/>
          <w:szCs w:val="24"/>
        </w:rPr>
        <w:t>hybrid ML-statistical framework</w:t>
      </w:r>
      <w:r w:rsidRPr="00252B46">
        <w:rPr>
          <w:rFonts w:ascii="Times New Roman" w:eastAsia="Times New Roman" w:hAnsi="Times New Roman" w:cs="Times New Roman"/>
          <w:sz w:val="24"/>
          <w:szCs w:val="24"/>
        </w:rPr>
        <w:t xml:space="preserve"> for smart grid optimization in telecommuting contexts.</w:t>
      </w:r>
    </w:p>
    <w:p w14:paraId="39035E75" w14:textId="77777777" w:rsidR="00252B46" w:rsidRPr="00252B46" w:rsidRDefault="00252B46" w:rsidP="00252B46">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Provided the </w:t>
      </w:r>
      <w:r w:rsidRPr="005D60C6">
        <w:rPr>
          <w:rFonts w:ascii="Times New Roman" w:eastAsia="Times New Roman" w:hAnsi="Times New Roman" w:cs="Times New Roman"/>
          <w:bCs/>
          <w:sz w:val="24"/>
          <w:szCs w:val="24"/>
        </w:rPr>
        <w:t>first contextual application</w:t>
      </w:r>
      <w:r w:rsidRPr="00252B46">
        <w:rPr>
          <w:rFonts w:ascii="Times New Roman" w:eastAsia="Times New Roman" w:hAnsi="Times New Roman" w:cs="Times New Roman"/>
          <w:sz w:val="24"/>
          <w:szCs w:val="24"/>
        </w:rPr>
        <w:t xml:space="preserve"> of telecommuting-driven smart grid optimization in Nigeria, using AFUSTA as a case study.</w:t>
      </w:r>
    </w:p>
    <w:p w14:paraId="514B6DD1" w14:textId="77777777" w:rsidR="00252B46" w:rsidRPr="00252B46" w:rsidRDefault="00252B46" w:rsidP="00252B46">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Enhanced </w:t>
      </w:r>
      <w:r w:rsidRPr="005D60C6">
        <w:rPr>
          <w:rFonts w:ascii="Times New Roman" w:eastAsia="Times New Roman" w:hAnsi="Times New Roman" w:cs="Times New Roman"/>
          <w:bCs/>
          <w:sz w:val="24"/>
          <w:szCs w:val="24"/>
        </w:rPr>
        <w:t>forecasting accuracy and reliability</w:t>
      </w:r>
      <w:r w:rsidRPr="00252B46">
        <w:rPr>
          <w:rFonts w:ascii="Times New Roman" w:eastAsia="Times New Roman" w:hAnsi="Times New Roman" w:cs="Times New Roman"/>
          <w:sz w:val="24"/>
          <w:szCs w:val="24"/>
        </w:rPr>
        <w:t xml:space="preserve"> through model fusion.</w:t>
      </w:r>
    </w:p>
    <w:p w14:paraId="55C0D76C" w14:textId="77777777" w:rsidR="00252B46" w:rsidRPr="00252B46" w:rsidRDefault="00252B46" w:rsidP="00252B46">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Demonstrated </w:t>
      </w:r>
      <w:r w:rsidRPr="005D60C6">
        <w:rPr>
          <w:rFonts w:ascii="Times New Roman" w:eastAsia="Times New Roman" w:hAnsi="Times New Roman" w:cs="Times New Roman"/>
          <w:bCs/>
          <w:sz w:val="24"/>
          <w:szCs w:val="24"/>
        </w:rPr>
        <w:t>demand-side efficiency improvements</w:t>
      </w:r>
      <w:r w:rsidRPr="00252B46">
        <w:rPr>
          <w:rFonts w:ascii="Times New Roman" w:eastAsia="Times New Roman" w:hAnsi="Times New Roman" w:cs="Times New Roman"/>
          <w:sz w:val="24"/>
          <w:szCs w:val="24"/>
        </w:rPr>
        <w:t xml:space="preserve"> using RL in a Nigerian smart grid scenario.</w:t>
      </w:r>
    </w:p>
    <w:p w14:paraId="621524AC" w14:textId="77777777" w:rsidR="00252B46" w:rsidRPr="00252B46" w:rsidRDefault="00252B46" w:rsidP="00252B46">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Integrated </w:t>
      </w:r>
      <w:r w:rsidRPr="005D60C6">
        <w:rPr>
          <w:rFonts w:ascii="Times New Roman" w:eastAsia="Times New Roman" w:hAnsi="Times New Roman" w:cs="Times New Roman"/>
          <w:bCs/>
          <w:sz w:val="24"/>
          <w:szCs w:val="24"/>
        </w:rPr>
        <w:t>local research outputs</w:t>
      </w:r>
      <w:r w:rsidRPr="005D60C6">
        <w:rPr>
          <w:rFonts w:ascii="Times New Roman" w:eastAsia="Times New Roman" w:hAnsi="Times New Roman" w:cs="Times New Roman"/>
          <w:sz w:val="24"/>
          <w:szCs w:val="24"/>
        </w:rPr>
        <w:t xml:space="preserve"> </w:t>
      </w:r>
      <w:r w:rsidR="00CF003C">
        <w:rPr>
          <w:rFonts w:ascii="Times New Roman" w:eastAsia="Times New Roman" w:hAnsi="Times New Roman" w:cs="Times New Roman"/>
          <w:sz w:val="24"/>
          <w:szCs w:val="24"/>
        </w:rPr>
        <w:fldChar w:fldCharType="begin" w:fldLock="1"/>
      </w:r>
      <w:r w:rsidR="00CF003C">
        <w:rPr>
          <w:rFonts w:ascii="Times New Roman" w:eastAsia="Times New Roman" w:hAnsi="Times New Roman" w:cs="Times New Roman"/>
          <w:sz w:val="24"/>
          <w:szCs w:val="24"/>
        </w:rPr>
        <w:instrText>ADDIN CSL_CITATION {"citationItems":[{"id":"ITEM-1","itemData":{"DOI":"10.3390/app14114442","ISSN":"20763417","abstract":"This review paper is a foundational resource for power distribution and management decisions, thoroughly examining short-term load forecasting (STLF) models within power systems. The study categorizes these models into three groups: statistical approaches, intelligent-computing-based methods, and hybrid models. Performance indicators are compared, revealing the superiority of heuristic search and population-based optimization learning algorithms integrated with artificial neural networks (ANNs) for STLF. However, challenges persist in ANN models, particularly in weight initialization and susceptibility to local minima. The investigation underscores the necessity for sophisticated predictive models to enhance forecasting accuracy, advocating for the efficacy of hybrid models incorporating multiple predictive approaches. Acknowledging the changing landscape, the focus shifts to STLF in smart grids, exploring the transformative potential of advanced power networks. Smart measurement devices and storage systems are pivotal in boosting STLF accuracy, enabling more efficient energy management and resource allocation in evolving smart grid technologies. In summary, this review provides a comprehensive analysis of contemporary predictive models and suggests that ANNs and hybrid models could be the most suitable methods to attain reliable and accurate STLF. However, further research is required, including considerations of network complexity, improved training techniques, convergence rates, and highly correlated inputs to enhance STLF model performance in modern power systems.","author":[{"dropping-particle":"","family":"Ali","given":"Salman","non-dropping-particle":"","parse-names":false,"suffix":""},{"dropping-particle":"","family":"Bogarra","given":"Santiago","non-dropping-particle":"","parse-names":false,"suffix":""},{"dropping-particle":"","family":"Riaz","given":"Muhammad Naveed","non-dropping-particle":"","parse-names":false,"suffix":""},{"dropping-particle":"","family":"Phyo","given":"Pyae Pyae","non-dropping-particle":"","parse-names":false,"suffix":""},{"dropping-particle":"","family":"Flynn","given":"David","non-dropping-particle":"","parse-names":false,"suffix":""},{"dropping-particle":"","family":"Taha","given":"Ahmad","non-dropping-particle":"","parse-names":false,"suffix":""}],"container-title":"Applied Sciences (Switzerland)","id":"ITEM-1","issue":"11","issued":{"date-parts":[["2024"]]},"title":"From Time-Series to Hybrid Models: Advancements in Short-Term Load Forecasting Embracing Smart Grid Paradigm","type":"article-journal","volume":"14"},"uris":["http://www.mendeley.com/documents/?uuid=57c87565-6dd0-489d-966c-5ffdf9644a27"]}],"mendeley":{"formattedCitation":"[18]","plainTextFormattedCitation":"[18]"},"properties":{"noteIndex":0},"schema":"https://github.com/citation-style-language/schema/raw/master/csl-citation.json"}</w:instrText>
      </w:r>
      <w:r w:rsidR="00CF003C">
        <w:rPr>
          <w:rFonts w:ascii="Times New Roman" w:eastAsia="Times New Roman" w:hAnsi="Times New Roman" w:cs="Times New Roman"/>
          <w:sz w:val="24"/>
          <w:szCs w:val="24"/>
        </w:rPr>
        <w:fldChar w:fldCharType="separate"/>
      </w:r>
      <w:r w:rsidR="00CF003C" w:rsidRPr="00CF003C">
        <w:rPr>
          <w:rFonts w:ascii="Times New Roman" w:eastAsia="Times New Roman" w:hAnsi="Times New Roman" w:cs="Times New Roman"/>
          <w:noProof/>
          <w:sz w:val="24"/>
          <w:szCs w:val="24"/>
        </w:rPr>
        <w:t>[18]</w:t>
      </w:r>
      <w:r w:rsidR="00CF003C">
        <w:rPr>
          <w:rFonts w:ascii="Times New Roman" w:eastAsia="Times New Roman" w:hAnsi="Times New Roman" w:cs="Times New Roman"/>
          <w:sz w:val="24"/>
          <w:szCs w:val="24"/>
        </w:rPr>
        <w:fldChar w:fldCharType="end"/>
      </w:r>
      <w:r w:rsidR="00CF003C">
        <w:rPr>
          <w:rFonts w:ascii="Times New Roman" w:eastAsia="Times New Roman" w:hAnsi="Times New Roman" w:cs="Times New Roman"/>
          <w:sz w:val="24"/>
          <w:szCs w:val="24"/>
        </w:rPr>
        <w:t xml:space="preserve"> </w:t>
      </w:r>
      <w:r w:rsidRPr="00252B46">
        <w:rPr>
          <w:rFonts w:ascii="Times New Roman" w:eastAsia="Times New Roman" w:hAnsi="Times New Roman" w:cs="Times New Roman"/>
          <w:sz w:val="24"/>
          <w:szCs w:val="24"/>
        </w:rPr>
        <w:t>into a global engineering discourse</w:t>
      </w:r>
    </w:p>
    <w:p w14:paraId="2F7035EB" w14:textId="7100265E" w:rsidR="00252B46" w:rsidRPr="00014C00" w:rsidRDefault="00252B46" w:rsidP="00252B46">
      <w:pPr>
        <w:spacing w:before="100" w:beforeAutospacing="1" w:after="100" w:afterAutospacing="1" w:line="240" w:lineRule="auto"/>
        <w:jc w:val="both"/>
        <w:outlineLvl w:val="1"/>
        <w:rPr>
          <w:rFonts w:ascii="Times New Roman" w:eastAsia="Times New Roman" w:hAnsi="Times New Roman" w:cs="Times New Roman"/>
          <w:b/>
          <w:sz w:val="24"/>
          <w:szCs w:val="24"/>
        </w:rPr>
      </w:pPr>
      <w:r w:rsidRPr="00014C00">
        <w:rPr>
          <w:rFonts w:ascii="Times New Roman" w:eastAsia="Times New Roman" w:hAnsi="Times New Roman" w:cs="Times New Roman"/>
          <w:b/>
          <w:sz w:val="24"/>
          <w:szCs w:val="24"/>
        </w:rPr>
        <w:t>VI. Conclusion</w:t>
      </w:r>
    </w:p>
    <w:p w14:paraId="7ED14997" w14:textId="77777777" w:rsidR="00252B46" w:rsidRPr="00252B46" w:rsidRDefault="00252B46" w:rsidP="00252B46">
      <w:pPr>
        <w:spacing w:before="100" w:beforeAutospacing="1" w:after="100" w:afterAutospacing="1" w:line="240" w:lineRule="auto"/>
        <w:jc w:val="both"/>
        <w:rPr>
          <w:rFonts w:ascii="Times New Roman" w:eastAsia="Times New Roman" w:hAnsi="Times New Roman" w:cs="Times New Roman"/>
          <w:sz w:val="24"/>
          <w:szCs w:val="24"/>
        </w:rPr>
      </w:pPr>
      <w:r w:rsidRPr="00252B46">
        <w:rPr>
          <w:rFonts w:ascii="Times New Roman" w:eastAsia="Times New Roman" w:hAnsi="Times New Roman" w:cs="Times New Roman"/>
          <w:sz w:val="24"/>
          <w:szCs w:val="24"/>
        </w:rPr>
        <w:t xml:space="preserve">Telecommuting has introduced new paradigms in electricity demand, necessitating innovative optimization strategies. This paper demonstrates that hybrid ML-statistical methods can significantly improve forecasting accuracy, demand response, and renewable integration in smart grids. Applied to AFUSTA, the approach ensures resilient and sustainable telecommuting support in Nigeria. Future work should focus on real-time deployment, cybersecurity, and expansion to </w:t>
      </w:r>
      <w:r w:rsidR="005D60C6" w:rsidRPr="005D60C6">
        <w:rPr>
          <w:rFonts w:ascii="Times New Roman" w:eastAsia="Times New Roman" w:hAnsi="Times New Roman" w:cs="Times New Roman"/>
          <w:sz w:val="24"/>
          <w:szCs w:val="24"/>
        </w:rPr>
        <w:t xml:space="preserve">a </w:t>
      </w:r>
      <w:r w:rsidRPr="00252B46">
        <w:rPr>
          <w:rFonts w:ascii="Times New Roman" w:eastAsia="Times New Roman" w:hAnsi="Times New Roman" w:cs="Times New Roman"/>
          <w:sz w:val="24"/>
          <w:szCs w:val="24"/>
        </w:rPr>
        <w:t>national scale.</w:t>
      </w:r>
    </w:p>
    <w:p w14:paraId="4C8865EC" w14:textId="12C6A1B7" w:rsidR="005D60C6" w:rsidRPr="00014C00" w:rsidRDefault="00014C00" w:rsidP="00014C00">
      <w:pPr>
        <w:pStyle w:val="NormalWeb"/>
        <w:rPr>
          <w:b/>
          <w:bCs/>
        </w:rPr>
      </w:pPr>
      <w:r w:rsidRPr="00014C00">
        <w:rPr>
          <w:b/>
          <w:bCs/>
        </w:rPr>
        <w:t>REFERENCES</w:t>
      </w:r>
    </w:p>
    <w:p w14:paraId="27BADF36" w14:textId="77777777" w:rsidR="00CF003C" w:rsidRPr="00CF003C" w:rsidRDefault="00F0140A"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CF003C" w:rsidRPr="00CF003C">
        <w:rPr>
          <w:rFonts w:ascii="Times New Roman" w:hAnsi="Times New Roman" w:cs="Times New Roman"/>
          <w:noProof/>
          <w:sz w:val="24"/>
          <w:szCs w:val="24"/>
        </w:rPr>
        <w:t>[1]</w:t>
      </w:r>
      <w:r w:rsidR="00CF003C" w:rsidRPr="00CF003C">
        <w:rPr>
          <w:rFonts w:ascii="Times New Roman" w:hAnsi="Times New Roman" w:cs="Times New Roman"/>
          <w:noProof/>
          <w:sz w:val="24"/>
          <w:szCs w:val="24"/>
        </w:rPr>
        <w:tab/>
        <w:t xml:space="preserve">Y. Shi, S. Sorrell, and T. Foxon, “The impact of teleworking on domestic energy use and carbon emissions: An assessment for England,” </w:t>
      </w:r>
      <w:r w:rsidR="00CF003C" w:rsidRPr="00CF003C">
        <w:rPr>
          <w:rFonts w:ascii="Times New Roman" w:hAnsi="Times New Roman" w:cs="Times New Roman"/>
          <w:i/>
          <w:iCs/>
          <w:noProof/>
          <w:sz w:val="24"/>
          <w:szCs w:val="24"/>
        </w:rPr>
        <w:t>Energy Build.</w:t>
      </w:r>
      <w:r w:rsidR="00CF003C" w:rsidRPr="00CF003C">
        <w:rPr>
          <w:rFonts w:ascii="Times New Roman" w:hAnsi="Times New Roman" w:cs="Times New Roman"/>
          <w:noProof/>
          <w:sz w:val="24"/>
          <w:szCs w:val="24"/>
        </w:rPr>
        <w:t>, vol. 287, p. 112996, 2023, doi: 10.1016/j.enbuild.2023.112996.</w:t>
      </w:r>
    </w:p>
    <w:p w14:paraId="4711D13D"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lastRenderedPageBreak/>
        <w:t>[2]</w:t>
      </w:r>
      <w:r w:rsidRPr="00CF003C">
        <w:rPr>
          <w:rFonts w:ascii="Times New Roman" w:hAnsi="Times New Roman" w:cs="Times New Roman"/>
          <w:noProof/>
          <w:sz w:val="24"/>
          <w:szCs w:val="24"/>
        </w:rPr>
        <w:tab/>
        <w:t>T. Nowshin and F. Hossain, “Assessing the Economic and Environmental Impacts of Remote Work : A Comprehensive Study of Energy Consumption , Carbon Emissions , and Future Trends in Sustainability”.</w:t>
      </w:r>
    </w:p>
    <w:p w14:paraId="1194FAF6"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[3]</w:t>
      </w:r>
      <w:r w:rsidRPr="00CF003C">
        <w:rPr>
          <w:rFonts w:ascii="Times New Roman" w:hAnsi="Times New Roman" w:cs="Times New Roman"/>
          <w:noProof/>
          <w:sz w:val="24"/>
          <w:szCs w:val="24"/>
        </w:rPr>
        <w:tab/>
        <w:t xml:space="preserve">P. Pijarski, P. Kacejko, and P. Miller, “Advanced Optimisation and Forecasting Methods in Power Engineering—Introduction to the Special Issue,” </w:t>
      </w:r>
      <w:r w:rsidRPr="00CF003C">
        <w:rPr>
          <w:rFonts w:ascii="Times New Roman" w:hAnsi="Times New Roman" w:cs="Times New Roman"/>
          <w:i/>
          <w:iCs/>
          <w:noProof/>
          <w:sz w:val="24"/>
          <w:szCs w:val="24"/>
        </w:rPr>
        <w:t>Energies</w:t>
      </w:r>
      <w:r w:rsidRPr="00CF003C">
        <w:rPr>
          <w:rFonts w:ascii="Times New Roman" w:hAnsi="Times New Roman" w:cs="Times New Roman"/>
          <w:noProof/>
          <w:sz w:val="24"/>
          <w:szCs w:val="24"/>
        </w:rPr>
        <w:t>, vol. 16, no. 6, 2023, doi: 10.3390/en16062804.</w:t>
      </w:r>
    </w:p>
    <w:p w14:paraId="1B6C7521"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[4]</w:t>
      </w:r>
      <w:r w:rsidRPr="00CF003C">
        <w:rPr>
          <w:rFonts w:ascii="Times New Roman" w:hAnsi="Times New Roman" w:cs="Times New Roman"/>
          <w:noProof/>
          <w:sz w:val="24"/>
          <w:szCs w:val="24"/>
        </w:rPr>
        <w:tab/>
        <w:t xml:space="preserve">R. D. Zimmerman, C. E. Murillo-Sánchez, and R. J. Thomas, “MATPOWER: Steady-state operations, planning, and analysis tools for power systems research and education,” </w:t>
      </w:r>
      <w:r w:rsidRPr="00CF003C">
        <w:rPr>
          <w:rFonts w:ascii="Times New Roman" w:hAnsi="Times New Roman" w:cs="Times New Roman"/>
          <w:i/>
          <w:iCs/>
          <w:noProof/>
          <w:sz w:val="24"/>
          <w:szCs w:val="24"/>
        </w:rPr>
        <w:t>IEEE Trans. Power Syst.</w:t>
      </w:r>
      <w:r w:rsidRPr="00CF003C">
        <w:rPr>
          <w:rFonts w:ascii="Times New Roman" w:hAnsi="Times New Roman" w:cs="Times New Roman"/>
          <w:noProof/>
          <w:sz w:val="24"/>
          <w:szCs w:val="24"/>
        </w:rPr>
        <w:t>, vol. 26, no. 1, pp. 12–19, 2011, doi: 10.1109/TPWRS.2010.2051168.</w:t>
      </w:r>
    </w:p>
    <w:p w14:paraId="2AD62A96"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[5]</w:t>
      </w:r>
      <w:r w:rsidRPr="00CF003C">
        <w:rPr>
          <w:rFonts w:ascii="Times New Roman" w:hAnsi="Times New Roman" w:cs="Times New Roman"/>
          <w:noProof/>
          <w:sz w:val="24"/>
          <w:szCs w:val="24"/>
        </w:rPr>
        <w:tab/>
        <w:t xml:space="preserve">M. Mansouri, M. Trabelsi, H. Nounou, and M. Nounou, “Deep Learning-Based Fault Diagnosis of Photovoltaic Systems: A Comprehensive Review and Enhancement Prospects,” </w:t>
      </w:r>
      <w:r w:rsidRPr="00CF003C">
        <w:rPr>
          <w:rFonts w:ascii="Times New Roman" w:hAnsi="Times New Roman" w:cs="Times New Roman"/>
          <w:i/>
          <w:iCs/>
          <w:noProof/>
          <w:sz w:val="24"/>
          <w:szCs w:val="24"/>
        </w:rPr>
        <w:t>IEEE Access</w:t>
      </w:r>
      <w:r w:rsidRPr="00CF003C">
        <w:rPr>
          <w:rFonts w:ascii="Times New Roman" w:hAnsi="Times New Roman" w:cs="Times New Roman"/>
          <w:noProof/>
          <w:sz w:val="24"/>
          <w:szCs w:val="24"/>
        </w:rPr>
        <w:t>, vol. 9, pp. 126286–126306, 2021, doi: 10.1109/ACCESS.2021.3110947.</w:t>
      </w:r>
    </w:p>
    <w:p w14:paraId="752C8DC9"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[6]</w:t>
      </w:r>
      <w:r w:rsidRPr="00CF003C">
        <w:rPr>
          <w:rFonts w:ascii="Times New Roman" w:hAnsi="Times New Roman" w:cs="Times New Roman"/>
          <w:noProof/>
          <w:sz w:val="24"/>
          <w:szCs w:val="24"/>
        </w:rPr>
        <w:tab/>
        <w:t xml:space="preserve">R. Islam, M. A. H. Rivin, S. Sultana, M. A. B. Asif, M. Mohammad, and M. Rahaman, “Machine learning for power system stability and control,” </w:t>
      </w:r>
      <w:r w:rsidRPr="00CF003C">
        <w:rPr>
          <w:rFonts w:ascii="Times New Roman" w:hAnsi="Times New Roman" w:cs="Times New Roman"/>
          <w:i/>
          <w:iCs/>
          <w:noProof/>
          <w:sz w:val="24"/>
          <w:szCs w:val="24"/>
        </w:rPr>
        <w:t>Results Eng.</w:t>
      </w:r>
      <w:r w:rsidRPr="00CF003C">
        <w:rPr>
          <w:rFonts w:ascii="Times New Roman" w:hAnsi="Times New Roman" w:cs="Times New Roman"/>
          <w:noProof/>
          <w:sz w:val="24"/>
          <w:szCs w:val="24"/>
        </w:rPr>
        <w:t>, vol. 26, no. April, p. 105355, 2025, doi: 10.1016/j.rineng.2025.105355.</w:t>
      </w:r>
    </w:p>
    <w:p w14:paraId="49485B4B"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[7]</w:t>
      </w:r>
      <w:r w:rsidRPr="00CF003C">
        <w:rPr>
          <w:rFonts w:ascii="Times New Roman" w:hAnsi="Times New Roman" w:cs="Times New Roman"/>
          <w:noProof/>
          <w:sz w:val="24"/>
          <w:szCs w:val="24"/>
        </w:rPr>
        <w:tab/>
        <w:t xml:space="preserve">Ebigenibo Genuine Saturday, “Nigerian Power Sector: A new structure required for effective and adequate power generation, transmission and distribution,” </w:t>
      </w:r>
      <w:r w:rsidRPr="00CF003C">
        <w:rPr>
          <w:rFonts w:ascii="Times New Roman" w:hAnsi="Times New Roman" w:cs="Times New Roman"/>
          <w:i/>
          <w:iCs/>
          <w:noProof/>
          <w:sz w:val="24"/>
          <w:szCs w:val="24"/>
        </w:rPr>
        <w:t>Glob. J. Eng. Technol. Adv.</w:t>
      </w:r>
      <w:r w:rsidRPr="00CF003C">
        <w:rPr>
          <w:rFonts w:ascii="Times New Roman" w:hAnsi="Times New Roman" w:cs="Times New Roman"/>
          <w:noProof/>
          <w:sz w:val="24"/>
          <w:szCs w:val="24"/>
        </w:rPr>
        <w:t xml:space="preserve">, vol. 1, no. 1, pp. 06–018, 2021, doi: </w:t>
      </w:r>
      <w:r w:rsidRPr="00CF003C">
        <w:rPr>
          <w:rFonts w:ascii="Times New Roman" w:hAnsi="Times New Roman" w:cs="Times New Roman"/>
          <w:noProof/>
          <w:sz w:val="24"/>
          <w:szCs w:val="24"/>
        </w:rPr>
        <w:t>10.30574/gjeta.2021.7.1.0035.</w:t>
      </w:r>
    </w:p>
    <w:p w14:paraId="77E32F13"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[8]</w:t>
      </w:r>
      <w:r w:rsidRPr="00CF003C">
        <w:rPr>
          <w:rFonts w:ascii="Times New Roman" w:hAnsi="Times New Roman" w:cs="Times New Roman"/>
          <w:noProof/>
          <w:sz w:val="24"/>
          <w:szCs w:val="24"/>
        </w:rPr>
        <w:tab/>
        <w:t xml:space="preserve">I. A. Onyegbadue, S. N. Ukagu, and D. O. Okonkwo, “Voltage Stability Assessment of Nigeria 330 kV Power Grid: A Critical Bus Perspective,” </w:t>
      </w:r>
      <w:r w:rsidRPr="00CF003C">
        <w:rPr>
          <w:rFonts w:ascii="Times New Roman" w:hAnsi="Times New Roman" w:cs="Times New Roman"/>
          <w:i/>
          <w:iCs/>
          <w:noProof/>
          <w:sz w:val="24"/>
          <w:szCs w:val="24"/>
        </w:rPr>
        <w:t>UNIZIK J. Eng. Appl. Sci.</w:t>
      </w:r>
      <w:r w:rsidRPr="00CF003C">
        <w:rPr>
          <w:rFonts w:ascii="Times New Roman" w:hAnsi="Times New Roman" w:cs="Times New Roman"/>
          <w:noProof/>
          <w:sz w:val="24"/>
          <w:szCs w:val="24"/>
        </w:rPr>
        <w:t>, vol. 3, no. 5, pp. 1382–1401, 2024.</w:t>
      </w:r>
    </w:p>
    <w:p w14:paraId="6191DC25"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[9]</w:t>
      </w:r>
      <w:r w:rsidRPr="00CF003C">
        <w:rPr>
          <w:rFonts w:ascii="Times New Roman" w:hAnsi="Times New Roman" w:cs="Times New Roman"/>
          <w:noProof/>
          <w:sz w:val="24"/>
          <w:szCs w:val="24"/>
        </w:rPr>
        <w:tab/>
        <w:t>U. P. Onochie, H. O. Egware, and T. O. Eyakwanor, “The Nigeria Electric Power Sector ( Opportunities and Challenges ),” no. April 2015, 2019.</w:t>
      </w:r>
    </w:p>
    <w:p w14:paraId="33B7552E"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[10]</w:t>
      </w:r>
      <w:r w:rsidRPr="00CF003C">
        <w:rPr>
          <w:rFonts w:ascii="Times New Roman" w:hAnsi="Times New Roman" w:cs="Times New Roman"/>
          <w:noProof/>
          <w:sz w:val="24"/>
          <w:szCs w:val="24"/>
        </w:rPr>
        <w:tab/>
        <w:t xml:space="preserve">M. N. Dehaghani, T. Korotko, and A. Rosin, “AI Applications for Power Quality Issues in Distribution Systems: A Systematic Review,” </w:t>
      </w:r>
      <w:r w:rsidRPr="00CF003C">
        <w:rPr>
          <w:rFonts w:ascii="Times New Roman" w:hAnsi="Times New Roman" w:cs="Times New Roman"/>
          <w:i/>
          <w:iCs/>
          <w:noProof/>
          <w:sz w:val="24"/>
          <w:szCs w:val="24"/>
        </w:rPr>
        <w:t>IEEE Access</w:t>
      </w:r>
      <w:r w:rsidRPr="00CF003C">
        <w:rPr>
          <w:rFonts w:ascii="Times New Roman" w:hAnsi="Times New Roman" w:cs="Times New Roman"/>
          <w:noProof/>
          <w:sz w:val="24"/>
          <w:szCs w:val="24"/>
        </w:rPr>
        <w:t>, vol. 13, no. January, pp. 18346–18365, 2025, doi: 10.1109/ACCESS.2025.3533702.</w:t>
      </w:r>
    </w:p>
    <w:p w14:paraId="1B4B821B"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[11]</w:t>
      </w:r>
      <w:r w:rsidRPr="00CF003C">
        <w:rPr>
          <w:rFonts w:ascii="Times New Roman" w:hAnsi="Times New Roman" w:cs="Times New Roman"/>
          <w:noProof/>
          <w:sz w:val="24"/>
          <w:szCs w:val="24"/>
        </w:rPr>
        <w:tab/>
        <w:t xml:space="preserve">Y. Zahraoui </w:t>
      </w:r>
      <w:r w:rsidRPr="00CF003C">
        <w:rPr>
          <w:rFonts w:ascii="Times New Roman" w:hAnsi="Times New Roman" w:cs="Times New Roman"/>
          <w:i/>
          <w:iCs/>
          <w:noProof/>
          <w:sz w:val="24"/>
          <w:szCs w:val="24"/>
        </w:rPr>
        <w:t>et al.</w:t>
      </w:r>
      <w:r w:rsidRPr="00CF003C">
        <w:rPr>
          <w:rFonts w:ascii="Times New Roman" w:hAnsi="Times New Roman" w:cs="Times New Roman"/>
          <w:noProof/>
          <w:sz w:val="24"/>
          <w:szCs w:val="24"/>
        </w:rPr>
        <w:t xml:space="preserve">, “AI Applications to Enhance Resilience in Power Systems and Microgrids—A Review,” </w:t>
      </w:r>
      <w:r w:rsidRPr="00CF003C">
        <w:rPr>
          <w:rFonts w:ascii="Times New Roman" w:hAnsi="Times New Roman" w:cs="Times New Roman"/>
          <w:i/>
          <w:iCs/>
          <w:noProof/>
          <w:sz w:val="24"/>
          <w:szCs w:val="24"/>
        </w:rPr>
        <w:t xml:space="preserve">Sustain. </w:t>
      </w:r>
      <w:r w:rsidRPr="00CF003C">
        <w:rPr>
          <w:rFonts w:ascii="Times New Roman" w:hAnsi="Times New Roman" w:cs="Times New Roman"/>
          <w:noProof/>
          <w:sz w:val="24"/>
          <w:szCs w:val="24"/>
        </w:rPr>
        <w:t>, vol. 16, no. 12, 2024, doi: 10.3390/su16124959.</w:t>
      </w:r>
    </w:p>
    <w:p w14:paraId="3ACB08B8"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[12]</w:t>
      </w:r>
      <w:r w:rsidRPr="00CF003C">
        <w:rPr>
          <w:rFonts w:ascii="Times New Roman" w:hAnsi="Times New Roman" w:cs="Times New Roman"/>
          <w:noProof/>
          <w:sz w:val="24"/>
          <w:szCs w:val="24"/>
        </w:rPr>
        <w:tab/>
        <w:t>A. S. Azad, N. Islam, N. Nabi, S. De Silva, and R. Sokkalingam, “Artificial Intelligence Applications in Hybrid Renewable Energy Systems: A Comprehensive Review of Techniques, Applications, and Challenges,” 2025, [Online]. Available: https://ssrn.com/abstract=5292704</w:t>
      </w:r>
    </w:p>
    <w:p w14:paraId="1A1A5C8E"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[13]</w:t>
      </w:r>
      <w:r w:rsidRPr="00CF003C">
        <w:rPr>
          <w:rFonts w:ascii="Times New Roman" w:hAnsi="Times New Roman" w:cs="Times New Roman"/>
          <w:noProof/>
          <w:sz w:val="24"/>
          <w:szCs w:val="24"/>
        </w:rPr>
        <w:tab/>
        <w:t xml:space="preserve">Z. H. Bhat, U. Yousuf, and N. Saba, “Revolutionizing work-life balance: Unleashing the power of telecommuting on work engagement and exhaustion levels,” </w:t>
      </w:r>
      <w:r w:rsidRPr="00CF003C">
        <w:rPr>
          <w:rFonts w:ascii="Times New Roman" w:hAnsi="Times New Roman" w:cs="Times New Roman"/>
          <w:i/>
          <w:iCs/>
          <w:noProof/>
          <w:sz w:val="24"/>
          <w:szCs w:val="24"/>
        </w:rPr>
        <w:t>Cogent Bus. Manag.</w:t>
      </w:r>
      <w:r w:rsidRPr="00CF003C">
        <w:rPr>
          <w:rFonts w:ascii="Times New Roman" w:hAnsi="Times New Roman" w:cs="Times New Roman"/>
          <w:noProof/>
          <w:sz w:val="24"/>
          <w:szCs w:val="24"/>
        </w:rPr>
        <w:t>, vol. 10, no. 2, 2023, doi: 10.1080/23311975.2023.2242160.</w:t>
      </w:r>
    </w:p>
    <w:p w14:paraId="005D61AC"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[14]</w:t>
      </w:r>
      <w:r w:rsidRPr="00CF003C">
        <w:rPr>
          <w:rFonts w:ascii="Times New Roman" w:hAnsi="Times New Roman" w:cs="Times New Roman"/>
          <w:noProof/>
          <w:sz w:val="24"/>
          <w:szCs w:val="24"/>
        </w:rPr>
        <w:tab/>
        <w:t xml:space="preserve">P. W. O. Brien, “Quantitative assessment of energy and emissions impacts of teleworking on the four domains of homes , offices , </w:t>
      </w:r>
      <w:r w:rsidRPr="00CF003C">
        <w:rPr>
          <w:rFonts w:ascii="Times New Roman" w:hAnsi="Times New Roman" w:cs="Times New Roman"/>
          <w:noProof/>
          <w:sz w:val="24"/>
          <w:szCs w:val="24"/>
        </w:rPr>
        <w:lastRenderedPageBreak/>
        <w:t>transportation , and the internet by Farzam Sepanta A thesis submitted to the Faculty of Graduate and Postdoctoral Affairs in partial fulfillment of the requirements for the degree of Doctor of Philosophy in Supervisor,” 2024.</w:t>
      </w:r>
    </w:p>
    <w:p w14:paraId="1978ABCC"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[15]</w:t>
      </w:r>
      <w:r w:rsidRPr="00CF003C">
        <w:rPr>
          <w:rFonts w:ascii="Times New Roman" w:hAnsi="Times New Roman" w:cs="Times New Roman"/>
          <w:noProof/>
          <w:sz w:val="24"/>
          <w:szCs w:val="24"/>
        </w:rPr>
        <w:tab/>
        <w:t xml:space="preserve">M. Karthikeyan, D. Manimegalai, and K. Rajagopal, “Enhancing voltage control and regulation in smart micro-grids through deep learning - optimized EV reactive power management,” </w:t>
      </w:r>
      <w:r w:rsidRPr="00CF003C">
        <w:rPr>
          <w:rFonts w:ascii="Times New Roman" w:hAnsi="Times New Roman" w:cs="Times New Roman"/>
          <w:i/>
          <w:iCs/>
          <w:noProof/>
          <w:sz w:val="24"/>
          <w:szCs w:val="24"/>
        </w:rPr>
        <w:t>Energy Reports</w:t>
      </w:r>
      <w:r w:rsidRPr="00CF003C">
        <w:rPr>
          <w:rFonts w:ascii="Times New Roman" w:hAnsi="Times New Roman" w:cs="Times New Roman"/>
          <w:noProof/>
          <w:sz w:val="24"/>
          <w:szCs w:val="24"/>
        </w:rPr>
        <w:t>, vol. 13, no. January, pp. 1095–1107, 2025, doi: 10.1016/j.egyr.2024.12.072.</w:t>
      </w:r>
    </w:p>
    <w:p w14:paraId="4563804F"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[16]</w:t>
      </w:r>
      <w:r w:rsidRPr="00CF003C">
        <w:rPr>
          <w:rFonts w:ascii="Times New Roman" w:hAnsi="Times New Roman" w:cs="Times New Roman"/>
          <w:noProof/>
          <w:sz w:val="24"/>
          <w:szCs w:val="24"/>
        </w:rPr>
        <w:tab/>
        <w:t xml:space="preserve">A. R. Singh, R. S. Kumar, M. Bajaj, C. B. Khadse, and I. Zaitsev, “Machine learning-based energy management and power forecasting in grid-connected microgrids with multiple distributed energy sources,” </w:t>
      </w:r>
      <w:r w:rsidRPr="00CF003C">
        <w:rPr>
          <w:rFonts w:ascii="Times New Roman" w:hAnsi="Times New Roman" w:cs="Times New Roman"/>
          <w:i/>
          <w:iCs/>
          <w:noProof/>
          <w:sz w:val="24"/>
          <w:szCs w:val="24"/>
        </w:rPr>
        <w:t>Sci. Rep.</w:t>
      </w:r>
      <w:r w:rsidRPr="00CF003C">
        <w:rPr>
          <w:rFonts w:ascii="Times New Roman" w:hAnsi="Times New Roman" w:cs="Times New Roman"/>
          <w:noProof/>
          <w:sz w:val="24"/>
          <w:szCs w:val="24"/>
        </w:rPr>
        <w:t>, vol. 14, no. 1, pp. 1–23, 2024, doi: 10.1038/s41598-024-70336-3.</w:t>
      </w:r>
    </w:p>
    <w:p w14:paraId="153E3EAF"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[17]</w:t>
      </w:r>
      <w:r w:rsidRPr="00CF003C">
        <w:rPr>
          <w:rFonts w:ascii="Times New Roman" w:hAnsi="Times New Roman" w:cs="Times New Roman"/>
          <w:noProof/>
          <w:sz w:val="24"/>
          <w:szCs w:val="24"/>
        </w:rPr>
        <w:tab/>
        <w:t xml:space="preserve">M. M. Asiri, G. Aldehim, F. A. Alotaibi, M. M. Alnfiai, M. Assiri, and A. Mahmud, “Short-Term Load Forecasting in Smart Grids Using Hybrid Deep Learning,” </w:t>
      </w:r>
      <w:r w:rsidRPr="00CF003C">
        <w:rPr>
          <w:rFonts w:ascii="Times New Roman" w:hAnsi="Times New Roman" w:cs="Times New Roman"/>
          <w:i/>
          <w:iCs/>
          <w:noProof/>
          <w:sz w:val="24"/>
          <w:szCs w:val="24"/>
        </w:rPr>
        <w:t>IEEE Access</w:t>
      </w:r>
      <w:r w:rsidRPr="00CF003C">
        <w:rPr>
          <w:rFonts w:ascii="Times New Roman" w:hAnsi="Times New Roman" w:cs="Times New Roman"/>
          <w:noProof/>
          <w:sz w:val="24"/>
          <w:szCs w:val="24"/>
        </w:rPr>
        <w:t>, vol. 12, pp. 23504–23513, 2024, doi: 10.1109/ACCESS.2024.3358182.</w:t>
      </w:r>
    </w:p>
    <w:p w14:paraId="0FF77F6B"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[18]</w:t>
      </w:r>
      <w:r w:rsidRPr="00CF003C">
        <w:rPr>
          <w:rFonts w:ascii="Times New Roman" w:hAnsi="Times New Roman" w:cs="Times New Roman"/>
          <w:noProof/>
          <w:sz w:val="24"/>
          <w:szCs w:val="24"/>
        </w:rPr>
        <w:tab/>
        <w:t xml:space="preserve">S. Ali, S. Bogarra, M. N. Riaz, P. P. Phyo, D. Flynn, and A. Taha, “From Time-Series to Hybrid Models: Advancements in Short-Term Load Forecasting Embracing Smart Grid Paradigm,” </w:t>
      </w:r>
      <w:r w:rsidRPr="00CF003C">
        <w:rPr>
          <w:rFonts w:ascii="Times New Roman" w:hAnsi="Times New Roman" w:cs="Times New Roman"/>
          <w:i/>
          <w:iCs/>
          <w:noProof/>
          <w:sz w:val="24"/>
          <w:szCs w:val="24"/>
        </w:rPr>
        <w:t>Appl. Sci.</w:t>
      </w:r>
      <w:r w:rsidRPr="00CF003C">
        <w:rPr>
          <w:rFonts w:ascii="Times New Roman" w:hAnsi="Times New Roman" w:cs="Times New Roman"/>
          <w:noProof/>
          <w:sz w:val="24"/>
          <w:szCs w:val="24"/>
        </w:rPr>
        <w:t>, vol. 14, no. 11, 2024, doi: 10.3390/app14114442.</w:t>
      </w:r>
    </w:p>
    <w:p w14:paraId="24DFD60F"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[19]</w:t>
      </w:r>
      <w:r w:rsidRPr="00CF003C">
        <w:rPr>
          <w:rFonts w:ascii="Times New Roman" w:hAnsi="Times New Roman" w:cs="Times New Roman"/>
          <w:noProof/>
          <w:sz w:val="24"/>
          <w:szCs w:val="24"/>
        </w:rPr>
        <w:tab/>
        <w:t xml:space="preserve">D. Kaur, S. N. Islam, M. A. Mahmud, M. E. Haque, and Z. Y. Dong, “Energy forecasting in smart grid systems: recent advancements in </w:t>
      </w:r>
      <w:r w:rsidRPr="00CF003C">
        <w:rPr>
          <w:rFonts w:ascii="Times New Roman" w:hAnsi="Times New Roman" w:cs="Times New Roman"/>
          <w:noProof/>
          <w:sz w:val="24"/>
          <w:szCs w:val="24"/>
        </w:rPr>
        <w:t xml:space="preserve">probabilistic deep learning,” </w:t>
      </w:r>
      <w:r w:rsidRPr="00CF003C">
        <w:rPr>
          <w:rFonts w:ascii="Times New Roman" w:hAnsi="Times New Roman" w:cs="Times New Roman"/>
          <w:i/>
          <w:iCs/>
          <w:noProof/>
          <w:sz w:val="24"/>
          <w:szCs w:val="24"/>
        </w:rPr>
        <w:t>IET Gener. Transm. Distrib.</w:t>
      </w:r>
      <w:r w:rsidRPr="00CF003C">
        <w:rPr>
          <w:rFonts w:ascii="Times New Roman" w:hAnsi="Times New Roman" w:cs="Times New Roman"/>
          <w:noProof/>
          <w:sz w:val="24"/>
          <w:szCs w:val="24"/>
        </w:rPr>
        <w:t>, vol. 16, no. 22, pp. 4461–4479, 2022, doi: 10.1049/gtd2.12603.</w:t>
      </w:r>
    </w:p>
    <w:p w14:paraId="3A23BB0A"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[20]</w:t>
      </w:r>
      <w:r w:rsidRPr="00CF003C">
        <w:rPr>
          <w:rFonts w:ascii="Times New Roman" w:hAnsi="Times New Roman" w:cs="Times New Roman"/>
          <w:noProof/>
          <w:sz w:val="24"/>
          <w:szCs w:val="24"/>
        </w:rPr>
        <w:tab/>
        <w:t xml:space="preserve">O. Florencias-Oliveros, J. J. González-De-La-Rosa, A. Agüera-Pérez, and J. C. Palomares-Salas, “Reliability monitoring based on higher-order statistics: A scalable proposal for the smart grid,” </w:t>
      </w:r>
      <w:r w:rsidRPr="00CF003C">
        <w:rPr>
          <w:rFonts w:ascii="Times New Roman" w:hAnsi="Times New Roman" w:cs="Times New Roman"/>
          <w:i/>
          <w:iCs/>
          <w:noProof/>
          <w:sz w:val="24"/>
          <w:szCs w:val="24"/>
        </w:rPr>
        <w:t>Energies</w:t>
      </w:r>
      <w:r w:rsidRPr="00CF003C">
        <w:rPr>
          <w:rFonts w:ascii="Times New Roman" w:hAnsi="Times New Roman" w:cs="Times New Roman"/>
          <w:noProof/>
          <w:sz w:val="24"/>
          <w:szCs w:val="24"/>
        </w:rPr>
        <w:t>, vol. 12, no. 1, 2019, doi: 10.3390/en12010055.</w:t>
      </w:r>
    </w:p>
    <w:p w14:paraId="07CB5450"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[21]</w:t>
      </w:r>
      <w:r w:rsidRPr="00CF003C">
        <w:rPr>
          <w:rFonts w:ascii="Times New Roman" w:hAnsi="Times New Roman" w:cs="Times New Roman"/>
          <w:noProof/>
          <w:sz w:val="24"/>
          <w:szCs w:val="24"/>
        </w:rPr>
        <w:tab/>
        <w:t xml:space="preserve">Y. Chen </w:t>
      </w:r>
      <w:r w:rsidRPr="00CF003C">
        <w:rPr>
          <w:rFonts w:ascii="Times New Roman" w:hAnsi="Times New Roman" w:cs="Times New Roman"/>
          <w:i/>
          <w:iCs/>
          <w:noProof/>
          <w:sz w:val="24"/>
          <w:szCs w:val="24"/>
        </w:rPr>
        <w:t>et al.</w:t>
      </w:r>
      <w:r w:rsidRPr="00CF003C">
        <w:rPr>
          <w:rFonts w:ascii="Times New Roman" w:hAnsi="Times New Roman" w:cs="Times New Roman"/>
          <w:noProof/>
          <w:sz w:val="24"/>
          <w:szCs w:val="24"/>
        </w:rPr>
        <w:t xml:space="preserve">, “Evaluation of Machine Learning Models for Smart Grid Parameters: Performance Analysis of ARIMA and Bi-LSTM,” </w:t>
      </w:r>
      <w:r w:rsidRPr="00CF003C">
        <w:rPr>
          <w:rFonts w:ascii="Times New Roman" w:hAnsi="Times New Roman" w:cs="Times New Roman"/>
          <w:i/>
          <w:iCs/>
          <w:noProof/>
          <w:sz w:val="24"/>
          <w:szCs w:val="24"/>
        </w:rPr>
        <w:t>Sustain.</w:t>
      </w:r>
      <w:r w:rsidRPr="00CF003C">
        <w:rPr>
          <w:rFonts w:ascii="Times New Roman" w:hAnsi="Times New Roman" w:cs="Times New Roman"/>
          <w:noProof/>
          <w:sz w:val="24"/>
          <w:szCs w:val="24"/>
        </w:rPr>
        <w:t>, vol. 15, no. 11, 2023, doi: 10.3390/su15118555.</w:t>
      </w:r>
    </w:p>
    <w:p w14:paraId="1E6E4733"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[22]</w:t>
      </w:r>
      <w:r w:rsidRPr="00CF003C">
        <w:rPr>
          <w:rFonts w:ascii="Times New Roman" w:hAnsi="Times New Roman" w:cs="Times New Roman"/>
          <w:noProof/>
          <w:sz w:val="24"/>
          <w:szCs w:val="24"/>
        </w:rPr>
        <w:tab/>
        <w:t xml:space="preserve">F. Dewangan, A. Y. Abdelaziz, and M. Biswal, “Load Forecasting Models in Smart Grid Using Smart Meter Information: A Review,” </w:t>
      </w:r>
      <w:r w:rsidRPr="00CF003C">
        <w:rPr>
          <w:rFonts w:ascii="Times New Roman" w:hAnsi="Times New Roman" w:cs="Times New Roman"/>
          <w:i/>
          <w:iCs/>
          <w:noProof/>
          <w:sz w:val="24"/>
          <w:szCs w:val="24"/>
        </w:rPr>
        <w:t>Energies</w:t>
      </w:r>
      <w:r w:rsidRPr="00CF003C">
        <w:rPr>
          <w:rFonts w:ascii="Times New Roman" w:hAnsi="Times New Roman" w:cs="Times New Roman"/>
          <w:noProof/>
          <w:sz w:val="24"/>
          <w:szCs w:val="24"/>
        </w:rPr>
        <w:t>, vol. 16, no. 3, 2023, doi: 10.3390/en16031404.</w:t>
      </w:r>
    </w:p>
    <w:p w14:paraId="07AE239B"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[23]</w:t>
      </w:r>
      <w:r w:rsidRPr="00CF003C">
        <w:rPr>
          <w:rFonts w:ascii="Times New Roman" w:hAnsi="Times New Roman" w:cs="Times New Roman"/>
          <w:noProof/>
          <w:sz w:val="24"/>
          <w:szCs w:val="24"/>
        </w:rPr>
        <w:tab/>
        <w:t>B. O. Olajiga and P. K. Olulope, “International Journal of Applied Science and Research Voltage Stability in Nigeria Power Grid: a Detailed Literature Review,” pp. 1–10, 2018, [Online]. Available: www.ijasr.org</w:t>
      </w:r>
    </w:p>
    <w:p w14:paraId="3E98AE00"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[24]</w:t>
      </w:r>
      <w:r w:rsidRPr="00CF003C">
        <w:rPr>
          <w:rFonts w:ascii="Times New Roman" w:hAnsi="Times New Roman" w:cs="Times New Roman"/>
          <w:noProof/>
          <w:sz w:val="24"/>
          <w:szCs w:val="24"/>
        </w:rPr>
        <w:tab/>
        <w:t xml:space="preserve">N. C. Princewill, N. V. Chimaoge, K. A. Ubasom, and I. Kelechi, “A Conceptual Review of Electrical Power Generation Processes,” </w:t>
      </w:r>
      <w:r w:rsidRPr="00CF003C">
        <w:rPr>
          <w:rFonts w:ascii="Times New Roman" w:hAnsi="Times New Roman" w:cs="Times New Roman"/>
          <w:i/>
          <w:iCs/>
          <w:noProof/>
          <w:sz w:val="24"/>
          <w:szCs w:val="24"/>
        </w:rPr>
        <w:t>Int. J. Adv. Sci. Eng.</w:t>
      </w:r>
      <w:r w:rsidRPr="00CF003C">
        <w:rPr>
          <w:rFonts w:ascii="Times New Roman" w:hAnsi="Times New Roman" w:cs="Times New Roman"/>
          <w:noProof/>
          <w:sz w:val="24"/>
          <w:szCs w:val="24"/>
        </w:rPr>
        <w:t>, vol. 9, no. 4, pp. 3121–3133, 2023, doi: 10.29294/IJASE.9.4.2023.3121-3133.</w:t>
      </w:r>
    </w:p>
    <w:p w14:paraId="025814CA"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[25]</w:t>
      </w:r>
      <w:r w:rsidRPr="00CF003C">
        <w:rPr>
          <w:rFonts w:ascii="Times New Roman" w:hAnsi="Times New Roman" w:cs="Times New Roman"/>
          <w:noProof/>
          <w:sz w:val="24"/>
          <w:szCs w:val="24"/>
        </w:rPr>
        <w:tab/>
        <w:t xml:space="preserve">E. J. Okampo, N. Nwulu, and P. N. Bokoro, “Optimal Placement and Operation of FACTS Technologies in a Cyber-Physical Power System: Critical Review and Future Outlook,” </w:t>
      </w:r>
      <w:r w:rsidRPr="00CF003C">
        <w:rPr>
          <w:rFonts w:ascii="Times New Roman" w:hAnsi="Times New Roman" w:cs="Times New Roman"/>
          <w:i/>
          <w:iCs/>
          <w:noProof/>
          <w:sz w:val="24"/>
          <w:szCs w:val="24"/>
        </w:rPr>
        <w:t>Sustain.</w:t>
      </w:r>
      <w:r w:rsidRPr="00CF003C">
        <w:rPr>
          <w:rFonts w:ascii="Times New Roman" w:hAnsi="Times New Roman" w:cs="Times New Roman"/>
          <w:noProof/>
          <w:sz w:val="24"/>
          <w:szCs w:val="24"/>
        </w:rPr>
        <w:t xml:space="preserve">, vol. 14, no. 13, 2022, doi: </w:t>
      </w:r>
      <w:r w:rsidRPr="00CF003C">
        <w:rPr>
          <w:rFonts w:ascii="Times New Roman" w:hAnsi="Times New Roman" w:cs="Times New Roman"/>
          <w:noProof/>
          <w:sz w:val="24"/>
          <w:szCs w:val="24"/>
        </w:rPr>
        <w:lastRenderedPageBreak/>
        <w:t>10.3390/su14137707.</w:t>
      </w:r>
    </w:p>
    <w:p w14:paraId="0822343F"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[26]</w:t>
      </w:r>
      <w:r w:rsidRPr="00CF003C">
        <w:rPr>
          <w:rFonts w:ascii="Times New Roman" w:hAnsi="Times New Roman" w:cs="Times New Roman"/>
          <w:noProof/>
          <w:sz w:val="24"/>
          <w:szCs w:val="24"/>
        </w:rPr>
        <w:tab/>
        <w:t xml:space="preserve">C. Seneviratne, P. A. D. S. N. Wijesekara, and H. Leung, “Performance analysis of distributed estimation for data fusion using a statistical approach in smart grid noisy wireless sensor networks,” </w:t>
      </w:r>
      <w:r w:rsidRPr="00CF003C">
        <w:rPr>
          <w:rFonts w:ascii="Times New Roman" w:hAnsi="Times New Roman" w:cs="Times New Roman"/>
          <w:i/>
          <w:iCs/>
          <w:noProof/>
          <w:sz w:val="24"/>
          <w:szCs w:val="24"/>
        </w:rPr>
        <w:t>Sensors (Switzerland)</w:t>
      </w:r>
      <w:r w:rsidRPr="00CF003C">
        <w:rPr>
          <w:rFonts w:ascii="Times New Roman" w:hAnsi="Times New Roman" w:cs="Times New Roman"/>
          <w:noProof/>
          <w:sz w:val="24"/>
          <w:szCs w:val="24"/>
        </w:rPr>
        <w:t>, vol. 20, no. 2, pp. 1–45, 2020, doi: 10.3390/s20020567.</w:t>
      </w:r>
    </w:p>
    <w:p w14:paraId="233B0478"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[27]</w:t>
      </w:r>
      <w:r w:rsidRPr="00CF003C">
        <w:rPr>
          <w:rFonts w:ascii="Times New Roman" w:hAnsi="Times New Roman" w:cs="Times New Roman"/>
          <w:noProof/>
          <w:sz w:val="24"/>
          <w:szCs w:val="24"/>
        </w:rPr>
        <w:tab/>
        <w:t>P. Ifeoluwa and A. M. Gummi, “Voltage Stability in Power Systems using AI and Metaheuristic Algorithms : A Comprehensive Review,” no. 8, pp. 168–179, 2025.</w:t>
      </w:r>
    </w:p>
    <w:p w14:paraId="2A27472D"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[28]</w:t>
      </w:r>
      <w:r w:rsidRPr="00CF003C">
        <w:rPr>
          <w:rFonts w:ascii="Times New Roman" w:hAnsi="Times New Roman" w:cs="Times New Roman"/>
          <w:noProof/>
          <w:sz w:val="24"/>
          <w:szCs w:val="24"/>
        </w:rPr>
        <w:tab/>
        <w:t>Y. G. Galadima, “The Future of Engineering Education : Mitigating AI ’ s Negative Consequences,” no. 8, pp. 199–207, 2025.</w:t>
      </w:r>
    </w:p>
    <w:p w14:paraId="3FE260E7"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[29]</w:t>
      </w:r>
      <w:r w:rsidRPr="00CF003C">
        <w:rPr>
          <w:rFonts w:ascii="Times New Roman" w:hAnsi="Times New Roman" w:cs="Times New Roman"/>
          <w:noProof/>
          <w:sz w:val="24"/>
          <w:szCs w:val="24"/>
        </w:rPr>
        <w:tab/>
        <w:t xml:space="preserve">C. Barrera-Singaña, M. P. Comech, </w:t>
      </w:r>
      <w:r w:rsidRPr="00CF003C">
        <w:rPr>
          <w:rFonts w:ascii="Times New Roman" w:hAnsi="Times New Roman" w:cs="Times New Roman"/>
          <w:noProof/>
          <w:sz w:val="24"/>
          <w:szCs w:val="24"/>
        </w:rPr>
        <w:t xml:space="preserve">and H. Arcos, “A Comprehensive Review on the Integration of Renewable Energy Through Advanced Planning and Optimization Techniques,” </w:t>
      </w:r>
      <w:r w:rsidRPr="00CF003C">
        <w:rPr>
          <w:rFonts w:ascii="Times New Roman" w:hAnsi="Times New Roman" w:cs="Times New Roman"/>
          <w:i/>
          <w:iCs/>
          <w:noProof/>
          <w:sz w:val="24"/>
          <w:szCs w:val="24"/>
        </w:rPr>
        <w:t>Energies</w:t>
      </w:r>
      <w:r w:rsidRPr="00CF003C">
        <w:rPr>
          <w:rFonts w:ascii="Times New Roman" w:hAnsi="Times New Roman" w:cs="Times New Roman"/>
          <w:noProof/>
          <w:sz w:val="24"/>
          <w:szCs w:val="24"/>
        </w:rPr>
        <w:t>, vol. 18, no. 11, pp. 1–23, 2025, doi: 10.3390/en18112961.</w:t>
      </w:r>
    </w:p>
    <w:p w14:paraId="6AAC4E0D"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szCs w:val="24"/>
        </w:rPr>
      </w:pPr>
      <w:r w:rsidRPr="00CF003C">
        <w:rPr>
          <w:rFonts w:ascii="Times New Roman" w:hAnsi="Times New Roman" w:cs="Times New Roman"/>
          <w:noProof/>
          <w:sz w:val="24"/>
          <w:szCs w:val="24"/>
        </w:rPr>
        <w:t>[30]</w:t>
      </w:r>
      <w:r w:rsidRPr="00CF003C">
        <w:rPr>
          <w:rFonts w:ascii="Times New Roman" w:hAnsi="Times New Roman" w:cs="Times New Roman"/>
          <w:noProof/>
          <w:sz w:val="24"/>
          <w:szCs w:val="24"/>
        </w:rPr>
        <w:tab/>
        <w:t xml:space="preserve">M. J. Mbunwe and A. O. Ekwue, “Voltage stability analysis of the Nigerian Power System using annealing optimization technique,” </w:t>
      </w:r>
      <w:r w:rsidRPr="00CF003C">
        <w:rPr>
          <w:rFonts w:ascii="Times New Roman" w:hAnsi="Times New Roman" w:cs="Times New Roman"/>
          <w:i/>
          <w:iCs/>
          <w:noProof/>
          <w:sz w:val="24"/>
          <w:szCs w:val="24"/>
        </w:rPr>
        <w:t>Niger. J. Technol.</w:t>
      </w:r>
      <w:r w:rsidRPr="00CF003C">
        <w:rPr>
          <w:rFonts w:ascii="Times New Roman" w:hAnsi="Times New Roman" w:cs="Times New Roman"/>
          <w:noProof/>
          <w:sz w:val="24"/>
          <w:szCs w:val="24"/>
        </w:rPr>
        <w:t>, vol. 39, no. 2, pp. 562–571, 2020, doi: 10.4314/njt.v39i2.27.</w:t>
      </w:r>
    </w:p>
    <w:p w14:paraId="6F3B3FDB" w14:textId="77777777" w:rsidR="00CF003C" w:rsidRPr="00CF003C" w:rsidRDefault="00CF003C" w:rsidP="00CF003C">
      <w:pPr>
        <w:widowControl w:val="0"/>
        <w:autoSpaceDE w:val="0"/>
        <w:autoSpaceDN w:val="0"/>
        <w:adjustRightInd w:val="0"/>
        <w:spacing w:line="240" w:lineRule="auto"/>
        <w:ind w:left="640" w:hanging="640"/>
        <w:rPr>
          <w:rFonts w:ascii="Times New Roman" w:hAnsi="Times New Roman" w:cs="Times New Roman"/>
          <w:noProof/>
          <w:sz w:val="24"/>
        </w:rPr>
      </w:pPr>
      <w:r w:rsidRPr="00CF003C">
        <w:rPr>
          <w:rFonts w:ascii="Times New Roman" w:hAnsi="Times New Roman" w:cs="Times New Roman"/>
          <w:noProof/>
          <w:sz w:val="24"/>
          <w:szCs w:val="24"/>
        </w:rPr>
        <w:t>[31]</w:t>
      </w:r>
      <w:r w:rsidRPr="00CF003C">
        <w:rPr>
          <w:rFonts w:ascii="Times New Roman" w:hAnsi="Times New Roman" w:cs="Times New Roman"/>
          <w:noProof/>
          <w:sz w:val="24"/>
          <w:szCs w:val="24"/>
        </w:rPr>
        <w:tab/>
        <w:t>Y. G. Galadima, “Voltage Stability Challenges and Machine Learning-Based Solutions for Power Networks in Northern Nigeria : A Comprehensive Review,” no. 8, pp. 149–168, 2025.</w:t>
      </w:r>
    </w:p>
    <w:p w14:paraId="4F0DAD6B" w14:textId="77777777" w:rsidR="008F17C0" w:rsidRDefault="00F0140A" w:rsidP="00252B46">
      <w:pPr>
        <w:jc w:val="both"/>
        <w:rPr>
          <w:rFonts w:ascii="Times New Roman" w:hAnsi="Times New Roman" w:cs="Times New Roman"/>
          <w:sz w:val="24"/>
          <w:szCs w:val="24"/>
        </w:rPr>
        <w:sectPr w:rsidR="008F17C0" w:rsidSect="004C4EC4">
          <w:type w:val="continuous"/>
          <w:pgSz w:w="12240" w:h="15840"/>
          <w:pgMar w:top="1440" w:right="1440" w:bottom="1276" w:left="1440" w:header="720" w:footer="720" w:gutter="0"/>
          <w:cols w:num="2" w:space="720"/>
          <w:docGrid w:linePitch="360"/>
        </w:sectPr>
      </w:pPr>
      <w:r>
        <w:rPr>
          <w:rFonts w:ascii="Times New Roman" w:hAnsi="Times New Roman" w:cs="Times New Roman"/>
          <w:sz w:val="24"/>
          <w:szCs w:val="24"/>
        </w:rPr>
        <w:fldChar w:fldCharType="end"/>
      </w:r>
    </w:p>
    <w:p w14:paraId="5AC2BB42" w14:textId="77777777" w:rsidR="005C33E1" w:rsidRPr="005D60C6" w:rsidRDefault="00000000" w:rsidP="00252B46">
      <w:pPr>
        <w:jc w:val="both"/>
        <w:rPr>
          <w:rFonts w:ascii="Times New Roman" w:hAnsi="Times New Roman" w:cs="Times New Roman"/>
          <w:sz w:val="24"/>
          <w:szCs w:val="24"/>
        </w:rPr>
      </w:pPr>
    </w:p>
    <w:p w14:paraId="7B96C790" w14:textId="77777777" w:rsidR="005D60C6" w:rsidRPr="005D60C6" w:rsidRDefault="005D60C6">
      <w:pPr>
        <w:jc w:val="both"/>
        <w:rPr>
          <w:rFonts w:ascii="Times New Roman" w:hAnsi="Times New Roman" w:cs="Times New Roman"/>
          <w:sz w:val="24"/>
          <w:szCs w:val="24"/>
        </w:rPr>
      </w:pPr>
    </w:p>
    <w:sectPr w:rsidR="005D60C6" w:rsidRPr="005D60C6" w:rsidSect="008C6BF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C1D4D"/>
    <w:multiLevelType w:val="multilevel"/>
    <w:tmpl w:val="74E01E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894CC5"/>
    <w:multiLevelType w:val="multilevel"/>
    <w:tmpl w:val="C68C76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AE52E0"/>
    <w:multiLevelType w:val="multilevel"/>
    <w:tmpl w:val="407422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C517C9"/>
    <w:multiLevelType w:val="multilevel"/>
    <w:tmpl w:val="AA2AA4F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9143452">
    <w:abstractNumId w:val="3"/>
  </w:num>
  <w:num w:numId="2" w16cid:durableId="1052313763">
    <w:abstractNumId w:val="2"/>
  </w:num>
  <w:num w:numId="3" w16cid:durableId="1482889460">
    <w:abstractNumId w:val="0"/>
  </w:num>
  <w:num w:numId="4" w16cid:durableId="15888071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B46"/>
    <w:rsid w:val="00014C00"/>
    <w:rsid w:val="001833B1"/>
    <w:rsid w:val="001A72F3"/>
    <w:rsid w:val="00232287"/>
    <w:rsid w:val="00252B46"/>
    <w:rsid w:val="0046346A"/>
    <w:rsid w:val="004C4EC4"/>
    <w:rsid w:val="005033EA"/>
    <w:rsid w:val="00537AE6"/>
    <w:rsid w:val="005D60C6"/>
    <w:rsid w:val="007C39E3"/>
    <w:rsid w:val="008C6BF4"/>
    <w:rsid w:val="008D511D"/>
    <w:rsid w:val="008D56C8"/>
    <w:rsid w:val="008F17C0"/>
    <w:rsid w:val="009A732B"/>
    <w:rsid w:val="00AF1D00"/>
    <w:rsid w:val="00B07F58"/>
    <w:rsid w:val="00B9656F"/>
    <w:rsid w:val="00C63379"/>
    <w:rsid w:val="00CF003C"/>
    <w:rsid w:val="00F0140A"/>
    <w:rsid w:val="00F462A7"/>
    <w:rsid w:val="00FD7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53190"/>
  <w15:chartTrackingRefBased/>
  <w15:docId w15:val="{DCBF6CCE-E4CD-4553-A2C9-AC6F7B7FB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52B4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52B4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52B4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B4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52B4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52B46"/>
    <w:rPr>
      <w:rFonts w:ascii="Times New Roman" w:eastAsia="Times New Roman" w:hAnsi="Times New Roman" w:cs="Times New Roman"/>
      <w:b/>
      <w:bCs/>
      <w:sz w:val="27"/>
      <w:szCs w:val="27"/>
    </w:rPr>
  </w:style>
  <w:style w:type="paragraph" w:styleId="NormalWeb">
    <w:name w:val="Normal (Web)"/>
    <w:basedOn w:val="Normal"/>
    <w:uiPriority w:val="99"/>
    <w:unhideWhenUsed/>
    <w:rsid w:val="00252B4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52B46"/>
    <w:rPr>
      <w:b/>
      <w:bCs/>
    </w:rPr>
  </w:style>
  <w:style w:type="character" w:customStyle="1" w:styleId="katex">
    <w:name w:val="katex"/>
    <w:basedOn w:val="DefaultParagraphFont"/>
    <w:rsid w:val="00252B46"/>
  </w:style>
  <w:style w:type="table" w:styleId="PlainTable2">
    <w:name w:val="Plain Table 2"/>
    <w:basedOn w:val="TableNormal"/>
    <w:uiPriority w:val="42"/>
    <w:rsid w:val="00252B4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5D60C6"/>
    <w:rPr>
      <w:i/>
      <w:iCs/>
    </w:rPr>
  </w:style>
  <w:style w:type="character" w:styleId="Hyperlink">
    <w:name w:val="Hyperlink"/>
    <w:basedOn w:val="DefaultParagraphFont"/>
    <w:uiPriority w:val="99"/>
    <w:unhideWhenUsed/>
    <w:rsid w:val="005D60C6"/>
    <w:rPr>
      <w:color w:val="0000FF"/>
      <w:u w:val="single"/>
    </w:rPr>
  </w:style>
  <w:style w:type="character" w:styleId="PlaceholderText">
    <w:name w:val="Placeholder Text"/>
    <w:basedOn w:val="DefaultParagraphFont"/>
    <w:uiPriority w:val="99"/>
    <w:semiHidden/>
    <w:rsid w:val="008D511D"/>
    <w:rPr>
      <w:color w:val="808080"/>
    </w:rPr>
  </w:style>
  <w:style w:type="character" w:styleId="UnresolvedMention">
    <w:name w:val="Unresolved Mention"/>
    <w:basedOn w:val="DefaultParagraphFont"/>
    <w:uiPriority w:val="99"/>
    <w:semiHidden/>
    <w:unhideWhenUsed/>
    <w:rsid w:val="008C6B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83440">
      <w:bodyDiv w:val="1"/>
      <w:marLeft w:val="0"/>
      <w:marRight w:val="0"/>
      <w:marTop w:val="0"/>
      <w:marBottom w:val="0"/>
      <w:divBdr>
        <w:top w:val="none" w:sz="0" w:space="0" w:color="auto"/>
        <w:left w:val="none" w:sz="0" w:space="0" w:color="auto"/>
        <w:bottom w:val="none" w:sz="0" w:space="0" w:color="auto"/>
        <w:right w:val="none" w:sz="0" w:space="0" w:color="auto"/>
      </w:divBdr>
    </w:div>
    <w:div w:id="213126509">
      <w:bodyDiv w:val="1"/>
      <w:marLeft w:val="0"/>
      <w:marRight w:val="0"/>
      <w:marTop w:val="0"/>
      <w:marBottom w:val="0"/>
      <w:divBdr>
        <w:top w:val="none" w:sz="0" w:space="0" w:color="auto"/>
        <w:left w:val="none" w:sz="0" w:space="0" w:color="auto"/>
        <w:bottom w:val="none" w:sz="0" w:space="0" w:color="auto"/>
        <w:right w:val="none" w:sz="0" w:space="0" w:color="auto"/>
      </w:divBdr>
    </w:div>
    <w:div w:id="478621555">
      <w:bodyDiv w:val="1"/>
      <w:marLeft w:val="0"/>
      <w:marRight w:val="0"/>
      <w:marTop w:val="0"/>
      <w:marBottom w:val="0"/>
      <w:divBdr>
        <w:top w:val="none" w:sz="0" w:space="0" w:color="auto"/>
        <w:left w:val="none" w:sz="0" w:space="0" w:color="auto"/>
        <w:bottom w:val="none" w:sz="0" w:space="0" w:color="auto"/>
        <w:right w:val="none" w:sz="0" w:space="0" w:color="auto"/>
      </w:divBdr>
    </w:div>
    <w:div w:id="1608125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rcid.org/0009-0006-0525-404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yabani.galadima@ksusta.edu.n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0B9D09-CF9F-48FF-A731-93504D2BF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16702</Words>
  <Characters>95204</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DELL</cp:lastModifiedBy>
  <cp:revision>5</cp:revision>
  <dcterms:created xsi:type="dcterms:W3CDTF">2025-09-15T00:22:00Z</dcterms:created>
  <dcterms:modified xsi:type="dcterms:W3CDTF">2025-10-06T20:29:00Z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17eff81c-2741-42c9-a408-887dac80b1d4</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6th/7th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18th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12th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9th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002b8e1b-af24-397a-b695-a0aa95e27a3d</vt:lpwstr>
  </property>
  <property fmtid="{D5CDD505-2E9C-101B-9397-08002B2CF9AE}" pid="25" name="Mendeley Citation Style_1">
    <vt:lpwstr>http://www.zotero.org/styles/ieee</vt:lpwstr>
  </property>
</Properties>
</file>